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方正小标宋简体" w:cs="Times New Roman"/>
          <w:b w:val="0"/>
          <w:bCs w:val="0"/>
          <w:sz w:val="44"/>
          <w:szCs w:val="44"/>
        </w:rPr>
      </w:pPr>
    </w:p>
    <w:p>
      <w:pPr>
        <w:jc w:val="center"/>
        <w:rPr>
          <w:rFonts w:hint="default" w:ascii="Times New Roman" w:hAnsi="Times New Roman" w:eastAsia="方正小标宋简体" w:cs="Times New Roman"/>
          <w:b w:val="0"/>
          <w:bCs w:val="0"/>
          <w:sz w:val="44"/>
          <w:szCs w:val="44"/>
        </w:rPr>
      </w:pPr>
    </w:p>
    <w:p>
      <w:pPr>
        <w:jc w:val="center"/>
        <w:rPr>
          <w:rFonts w:hint="default" w:ascii="Times New Roman" w:hAnsi="Times New Roman" w:eastAsia="方正小标宋简体" w:cs="Times New Roman"/>
          <w:b w:val="0"/>
          <w:bCs w:val="0"/>
          <w:sz w:val="44"/>
          <w:szCs w:val="44"/>
        </w:rPr>
      </w:pPr>
    </w:p>
    <w:p>
      <w:pPr>
        <w:jc w:val="center"/>
        <w:rPr>
          <w:rFonts w:hint="default" w:ascii="Times New Roman" w:hAnsi="Times New Roman" w:eastAsia="方正小标宋简体" w:cs="Times New Roman"/>
          <w:b w:val="0"/>
          <w:bCs w:val="0"/>
          <w:sz w:val="44"/>
          <w:szCs w:val="44"/>
        </w:rPr>
      </w:pPr>
    </w:p>
    <w:p>
      <w:pPr>
        <w:jc w:val="center"/>
        <w:rPr>
          <w:rFonts w:hint="default" w:ascii="Times New Roman" w:hAnsi="Times New Roman" w:eastAsia="方正小标宋简体" w:cs="Times New Roman"/>
          <w:b w:val="0"/>
          <w:bCs w:val="0"/>
          <w:sz w:val="44"/>
          <w:szCs w:val="44"/>
        </w:rPr>
      </w:pPr>
    </w:p>
    <w:p>
      <w:pPr>
        <w:jc w:val="center"/>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z w:val="44"/>
          <w:szCs w:val="44"/>
        </w:rPr>
        <w:t>西山区“十四五”人口发展专项规划</w:t>
      </w:r>
    </w:p>
    <w:p>
      <w:pPr>
        <w:jc w:val="center"/>
        <w:rPr>
          <w:rFonts w:hint="eastAsia" w:ascii="黑体" w:hAnsi="黑体" w:eastAsia="黑体" w:cs="黑体"/>
          <w:b w:val="0"/>
          <w:bCs w:val="0"/>
          <w:sz w:val="32"/>
          <w:szCs w:val="32"/>
          <w:lang w:eastAsia="zh-CN"/>
        </w:rPr>
      </w:pPr>
    </w:p>
    <w:p>
      <w:pPr>
        <w:jc w:val="center"/>
        <w:rPr>
          <w:rFonts w:hint="eastAsia" w:ascii="黑体" w:hAnsi="黑体" w:eastAsia="黑体" w:cs="黑体"/>
          <w:b w:val="0"/>
          <w:bCs w:val="0"/>
          <w:sz w:val="32"/>
          <w:szCs w:val="32"/>
          <w:lang w:eastAsia="zh-CN"/>
        </w:rPr>
      </w:pPr>
    </w:p>
    <w:p>
      <w:pPr>
        <w:jc w:val="center"/>
        <w:rPr>
          <w:rFonts w:hint="eastAsia" w:ascii="黑体" w:hAnsi="黑体" w:eastAsia="黑体" w:cs="黑体"/>
          <w:b w:val="0"/>
          <w:bCs w:val="0"/>
          <w:sz w:val="32"/>
          <w:szCs w:val="32"/>
          <w:lang w:eastAsia="zh-CN"/>
        </w:rPr>
      </w:pPr>
      <w:bookmarkStart w:id="174" w:name="_GoBack"/>
      <w:bookmarkEnd w:id="174"/>
    </w:p>
    <w:p>
      <w:pPr>
        <w:jc w:val="center"/>
        <w:rPr>
          <w:rFonts w:hint="eastAsia" w:ascii="黑体" w:hAnsi="黑体" w:eastAsia="黑体" w:cs="黑体"/>
          <w:b w:val="0"/>
          <w:bCs w:val="0"/>
          <w:sz w:val="32"/>
          <w:szCs w:val="32"/>
          <w:lang w:eastAsia="zh-CN"/>
        </w:rPr>
      </w:pPr>
    </w:p>
    <w:p>
      <w:pPr>
        <w:jc w:val="center"/>
        <w:rPr>
          <w:rFonts w:hint="eastAsia" w:ascii="黑体" w:hAnsi="黑体" w:eastAsia="黑体" w:cs="黑体"/>
          <w:b w:val="0"/>
          <w:bCs w:val="0"/>
          <w:sz w:val="32"/>
          <w:szCs w:val="32"/>
          <w:lang w:eastAsia="zh-CN"/>
        </w:rPr>
      </w:pPr>
    </w:p>
    <w:p>
      <w:pPr>
        <w:jc w:val="center"/>
        <w:rPr>
          <w:rFonts w:hint="eastAsia" w:ascii="黑体" w:hAnsi="黑体" w:eastAsia="黑体" w:cs="黑体"/>
          <w:b w:val="0"/>
          <w:bCs w:val="0"/>
          <w:sz w:val="32"/>
          <w:szCs w:val="32"/>
          <w:lang w:eastAsia="zh-CN"/>
        </w:rPr>
      </w:pPr>
    </w:p>
    <w:p>
      <w:pPr>
        <w:jc w:val="both"/>
        <w:rPr>
          <w:rFonts w:hint="eastAsia" w:ascii="黑体" w:hAnsi="黑体" w:eastAsia="黑体" w:cs="黑体"/>
          <w:b w:val="0"/>
          <w:bCs w:val="0"/>
          <w:sz w:val="32"/>
          <w:szCs w:val="32"/>
          <w:lang w:eastAsia="zh-CN"/>
        </w:rPr>
      </w:pPr>
    </w:p>
    <w:p>
      <w:pPr>
        <w:jc w:val="center"/>
        <w:rPr>
          <w:rFonts w:hint="eastAsia" w:ascii="黑体" w:hAnsi="黑体" w:eastAsia="黑体" w:cs="黑体"/>
          <w:b w:val="0"/>
          <w:bCs w:val="0"/>
          <w:sz w:val="32"/>
          <w:szCs w:val="32"/>
          <w:lang w:eastAsia="zh-CN"/>
        </w:rPr>
      </w:pPr>
    </w:p>
    <w:p>
      <w:pPr>
        <w:jc w:val="center"/>
        <w:rPr>
          <w:rFonts w:hint="eastAsia" w:ascii="黑体" w:hAnsi="黑体" w:eastAsia="黑体" w:cs="黑体"/>
          <w:b w:val="0"/>
          <w:bCs w:val="0"/>
          <w:sz w:val="32"/>
          <w:szCs w:val="32"/>
          <w:lang w:eastAsia="zh-CN"/>
        </w:rPr>
      </w:pPr>
    </w:p>
    <w:p>
      <w:pPr>
        <w:jc w:val="center"/>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昆明市西山区发展和改革局</w:t>
      </w:r>
    </w:p>
    <w:p>
      <w:pPr>
        <w:jc w:val="center"/>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二○二一年十一月</w:t>
      </w:r>
    </w:p>
    <w:p>
      <w:pPr>
        <w:jc w:val="center"/>
        <w:rPr>
          <w:rFonts w:hint="eastAsia" w:ascii="黑体" w:hAnsi="黑体" w:eastAsia="黑体" w:cs="黑体"/>
          <w:b w:val="0"/>
          <w:bCs w:val="0"/>
          <w:sz w:val="32"/>
          <w:szCs w:val="32"/>
          <w:lang w:eastAsia="zh-CN"/>
        </w:rPr>
      </w:pPr>
    </w:p>
    <w:p>
      <w:pPr>
        <w:jc w:val="center"/>
        <w:rPr>
          <w:rFonts w:hint="eastAsia" w:ascii="黑体" w:hAnsi="黑体" w:eastAsia="黑体" w:cs="黑体"/>
          <w:b w:val="0"/>
          <w:bCs w:val="0"/>
          <w:sz w:val="32"/>
          <w:szCs w:val="32"/>
          <w:lang w:eastAsia="zh-CN"/>
        </w:rPr>
      </w:pPr>
    </w:p>
    <w:p>
      <w:pPr>
        <w:jc w:val="center"/>
        <w:rPr>
          <w:rFonts w:hint="eastAsia" w:ascii="黑体" w:hAnsi="黑体" w:eastAsia="黑体" w:cs="黑体"/>
          <w:b w:val="0"/>
          <w:bCs w:val="0"/>
          <w:sz w:val="32"/>
          <w:szCs w:val="32"/>
          <w:lang w:eastAsia="zh-CN"/>
        </w:rPr>
        <w:sectPr>
          <w:pgSz w:w="11906" w:h="16838"/>
          <w:pgMar w:top="1440" w:right="1800" w:bottom="1440" w:left="1800" w:header="851" w:footer="992" w:gutter="0"/>
          <w:pgNumType w:start="0" w:chapStyle="1"/>
          <w:cols w:space="425" w:num="1"/>
          <w:docGrid w:type="lines" w:linePitch="312" w:charSpace="0"/>
        </w:sectPr>
      </w:pPr>
    </w:p>
    <w:p>
      <w:pPr>
        <w:jc w:val="center"/>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目录</w:t>
      </w:r>
    </w:p>
    <w:p>
      <w:pPr>
        <w:jc w:val="center"/>
        <w:rPr>
          <w:rFonts w:hint="eastAsia" w:ascii="黑体" w:hAnsi="黑体" w:eastAsia="黑体" w:cs="黑体"/>
          <w:b w:val="0"/>
          <w:bCs w:val="0"/>
          <w:sz w:val="32"/>
          <w:szCs w:val="32"/>
          <w:lang w:eastAsia="zh-CN"/>
        </w:rPr>
      </w:pPr>
    </w:p>
    <w:p>
      <w:pPr>
        <w:pStyle w:val="10"/>
        <w:keepNext w:val="0"/>
        <w:keepLines w:val="0"/>
        <w:pageBreakBefore w:val="0"/>
        <w:widowControl/>
        <w:tabs>
          <w:tab w:val="right" w:leader="dot" w:pos="8306"/>
        </w:tabs>
        <w:kinsoku/>
        <w:wordWrap/>
        <w:overflowPunct/>
        <w:topLinePunct w:val="0"/>
        <w:autoSpaceDE/>
        <w:autoSpaceDN/>
        <w:bidi w:val="0"/>
        <w:adjustRightInd/>
        <w:snapToGrid/>
        <w:spacing w:after="0" w:line="240" w:lineRule="atLeast"/>
        <w:textAlignment w:val="auto"/>
        <w:rPr>
          <w:rFonts w:hint="eastAsia" w:ascii="黑体" w:hAnsi="黑体" w:eastAsia="黑体" w:cs="黑体"/>
          <w:sz w:val="21"/>
          <w:szCs w:val="21"/>
        </w:rPr>
      </w:pPr>
      <w:r>
        <w:rPr>
          <w:rFonts w:hint="eastAsia" w:ascii="黑体" w:hAnsi="黑体" w:eastAsia="黑体" w:cs="黑体"/>
          <w:b w:val="0"/>
          <w:bCs w:val="0"/>
          <w:sz w:val="21"/>
          <w:szCs w:val="21"/>
          <w:lang w:eastAsia="zh-CN"/>
        </w:rPr>
        <w:fldChar w:fldCharType="begin"/>
      </w:r>
      <w:r>
        <w:rPr>
          <w:rFonts w:hint="eastAsia" w:ascii="黑体" w:hAnsi="黑体" w:eastAsia="黑体" w:cs="黑体"/>
          <w:b w:val="0"/>
          <w:bCs w:val="0"/>
          <w:sz w:val="21"/>
          <w:szCs w:val="21"/>
          <w:lang w:eastAsia="zh-CN"/>
        </w:rPr>
        <w:instrText xml:space="preserve">TOC \o "1-2" \h \u </w:instrText>
      </w:r>
      <w:r>
        <w:rPr>
          <w:rFonts w:hint="eastAsia" w:ascii="黑体" w:hAnsi="黑体" w:eastAsia="黑体" w:cs="黑体"/>
          <w:b w:val="0"/>
          <w:bCs w:val="0"/>
          <w:sz w:val="21"/>
          <w:szCs w:val="21"/>
          <w:lang w:eastAsia="zh-CN"/>
        </w:rPr>
        <w:fldChar w:fldCharType="separate"/>
      </w: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_Toc31189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第一章 规划背景</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_Toc31189 \h </w:instrText>
      </w:r>
      <w:r>
        <w:rPr>
          <w:rFonts w:hint="eastAsia" w:ascii="黑体" w:hAnsi="黑体" w:eastAsia="黑体" w:cs="黑体"/>
          <w:sz w:val="21"/>
          <w:szCs w:val="21"/>
        </w:rPr>
        <w:fldChar w:fldCharType="separate"/>
      </w:r>
      <w:r>
        <w:rPr>
          <w:rFonts w:hint="eastAsia" w:ascii="黑体" w:hAnsi="黑体" w:eastAsia="黑体" w:cs="黑体"/>
          <w:sz w:val="21"/>
          <w:szCs w:val="21"/>
        </w:rPr>
        <w:t>1</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1"/>
        <w:keepNext w:val="0"/>
        <w:keepLines w:val="0"/>
        <w:pageBreakBefore w:val="0"/>
        <w:widowControl/>
        <w:tabs>
          <w:tab w:val="right" w:pos="3200"/>
          <w:tab w:val="right" w:leader="dot" w:pos="8306"/>
          <w:tab w:val="clear" w:pos="1370"/>
          <w:tab w:val="clear" w:pos="829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_Toc11454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第一节</w:t>
      </w:r>
      <w:r>
        <w:rPr>
          <w:rFonts w:hint="eastAsia" w:ascii="黑体" w:hAnsi="黑体" w:eastAsia="黑体" w:cs="黑体"/>
          <w:sz w:val="21"/>
          <w:szCs w:val="21"/>
        </w:rPr>
        <w:tab/>
      </w:r>
      <w:r>
        <w:rPr>
          <w:rFonts w:hint="eastAsia" w:ascii="黑体" w:hAnsi="黑体" w:eastAsia="黑体" w:cs="黑体"/>
          <w:sz w:val="21"/>
          <w:szCs w:val="21"/>
        </w:rPr>
        <w:t>“十三五”时期人口发展特征</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_Toc11454 \h </w:instrText>
      </w:r>
      <w:r>
        <w:rPr>
          <w:rFonts w:hint="eastAsia" w:ascii="黑体" w:hAnsi="黑体" w:eastAsia="黑体" w:cs="黑体"/>
          <w:sz w:val="21"/>
          <w:szCs w:val="21"/>
        </w:rPr>
        <w:fldChar w:fldCharType="separate"/>
      </w:r>
      <w:r>
        <w:rPr>
          <w:rFonts w:hint="eastAsia" w:ascii="黑体" w:hAnsi="黑体" w:eastAsia="黑体" w:cs="黑体"/>
          <w:sz w:val="21"/>
          <w:szCs w:val="21"/>
        </w:rPr>
        <w:t>2</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1"/>
        <w:keepNext w:val="0"/>
        <w:keepLines w:val="0"/>
        <w:pageBreakBefore w:val="0"/>
        <w:widowControl/>
        <w:tabs>
          <w:tab w:val="right" w:pos="3200"/>
          <w:tab w:val="right" w:leader="dot" w:pos="8306"/>
          <w:tab w:val="clear" w:pos="1370"/>
          <w:tab w:val="clear" w:pos="829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_Toc8762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第二节</w:t>
      </w:r>
      <w:r>
        <w:rPr>
          <w:rFonts w:hint="eastAsia" w:ascii="黑体" w:hAnsi="黑体" w:eastAsia="黑体" w:cs="黑体"/>
          <w:sz w:val="21"/>
          <w:szCs w:val="21"/>
        </w:rPr>
        <w:tab/>
      </w:r>
      <w:r>
        <w:rPr>
          <w:rFonts w:hint="eastAsia" w:ascii="黑体" w:hAnsi="黑体" w:eastAsia="黑体" w:cs="黑体"/>
          <w:sz w:val="21"/>
          <w:szCs w:val="21"/>
        </w:rPr>
        <w:t>“十四五”时期人口发展预判</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_Toc8762 \h </w:instrText>
      </w:r>
      <w:r>
        <w:rPr>
          <w:rFonts w:hint="eastAsia" w:ascii="黑体" w:hAnsi="黑体" w:eastAsia="黑体" w:cs="黑体"/>
          <w:sz w:val="21"/>
          <w:szCs w:val="21"/>
        </w:rPr>
        <w:fldChar w:fldCharType="separate"/>
      </w:r>
      <w:r>
        <w:rPr>
          <w:rFonts w:hint="eastAsia" w:ascii="黑体" w:hAnsi="黑体" w:eastAsia="黑体" w:cs="黑体"/>
          <w:sz w:val="21"/>
          <w:szCs w:val="21"/>
        </w:rPr>
        <w:t>7</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1"/>
        <w:keepNext w:val="0"/>
        <w:keepLines w:val="0"/>
        <w:pageBreakBefore w:val="0"/>
        <w:widowControl/>
        <w:tabs>
          <w:tab w:val="right" w:leader="dot" w:pos="8306"/>
          <w:tab w:val="clear" w:pos="1370"/>
          <w:tab w:val="clear" w:pos="829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_Toc8402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第三节</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问题与挑战</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_Toc8402 \h </w:instrText>
      </w:r>
      <w:r>
        <w:rPr>
          <w:rFonts w:hint="eastAsia" w:ascii="黑体" w:hAnsi="黑体" w:eastAsia="黑体" w:cs="黑体"/>
          <w:sz w:val="21"/>
          <w:szCs w:val="21"/>
        </w:rPr>
        <w:fldChar w:fldCharType="separate"/>
      </w:r>
      <w:r>
        <w:rPr>
          <w:rFonts w:hint="eastAsia" w:ascii="黑体" w:hAnsi="黑体" w:eastAsia="黑体" w:cs="黑体"/>
          <w:sz w:val="21"/>
          <w:szCs w:val="21"/>
        </w:rPr>
        <w:t>9</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0"/>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_Toc10966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第二章 规划思路</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_Toc10966 \h </w:instrText>
      </w:r>
      <w:r>
        <w:rPr>
          <w:rFonts w:hint="eastAsia" w:ascii="黑体" w:hAnsi="黑体" w:eastAsia="黑体" w:cs="黑体"/>
          <w:sz w:val="21"/>
          <w:szCs w:val="21"/>
        </w:rPr>
        <w:fldChar w:fldCharType="separate"/>
      </w:r>
      <w:r>
        <w:rPr>
          <w:rFonts w:hint="eastAsia" w:ascii="黑体" w:hAnsi="黑体" w:eastAsia="黑体" w:cs="黑体"/>
          <w:sz w:val="21"/>
          <w:szCs w:val="21"/>
        </w:rPr>
        <w:t>12</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1"/>
        <w:keepNext w:val="0"/>
        <w:keepLines w:val="0"/>
        <w:pageBreakBefore w:val="0"/>
        <w:widowControl/>
        <w:tabs>
          <w:tab w:val="right" w:leader="dot" w:pos="8306"/>
          <w:tab w:val="clear" w:pos="1370"/>
          <w:tab w:val="clear" w:pos="829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_Toc21142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第一节</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指导思想</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_Toc21142 \h </w:instrText>
      </w:r>
      <w:r>
        <w:rPr>
          <w:rFonts w:hint="eastAsia" w:ascii="黑体" w:hAnsi="黑体" w:eastAsia="黑体" w:cs="黑体"/>
          <w:sz w:val="21"/>
          <w:szCs w:val="21"/>
        </w:rPr>
        <w:fldChar w:fldCharType="separate"/>
      </w:r>
      <w:r>
        <w:rPr>
          <w:rFonts w:hint="eastAsia" w:ascii="黑体" w:hAnsi="黑体" w:eastAsia="黑体" w:cs="黑体"/>
          <w:sz w:val="21"/>
          <w:szCs w:val="21"/>
        </w:rPr>
        <w:t>13</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1"/>
        <w:keepNext w:val="0"/>
        <w:keepLines w:val="0"/>
        <w:pageBreakBefore w:val="0"/>
        <w:widowControl/>
        <w:tabs>
          <w:tab w:val="right" w:leader="dot" w:pos="8306"/>
          <w:tab w:val="clear" w:pos="1370"/>
          <w:tab w:val="clear" w:pos="829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_Toc17506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第二节</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发展导向</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_Toc17506 \h </w:instrText>
      </w:r>
      <w:r>
        <w:rPr>
          <w:rFonts w:hint="eastAsia" w:ascii="黑体" w:hAnsi="黑体" w:eastAsia="黑体" w:cs="黑体"/>
          <w:sz w:val="21"/>
          <w:szCs w:val="21"/>
        </w:rPr>
        <w:fldChar w:fldCharType="separate"/>
      </w:r>
      <w:r>
        <w:rPr>
          <w:rFonts w:hint="eastAsia" w:ascii="黑体" w:hAnsi="黑体" w:eastAsia="黑体" w:cs="黑体"/>
          <w:sz w:val="21"/>
          <w:szCs w:val="21"/>
        </w:rPr>
        <w:t>14</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1"/>
        <w:keepNext w:val="0"/>
        <w:keepLines w:val="0"/>
        <w:pageBreakBefore w:val="0"/>
        <w:widowControl/>
        <w:tabs>
          <w:tab w:val="right" w:leader="dot" w:pos="8306"/>
          <w:tab w:val="clear" w:pos="1370"/>
          <w:tab w:val="clear" w:pos="829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_Toc17544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第三节</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主要目标</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_Toc17544 \h </w:instrText>
      </w:r>
      <w:r>
        <w:rPr>
          <w:rFonts w:hint="eastAsia" w:ascii="黑体" w:hAnsi="黑体" w:eastAsia="黑体" w:cs="黑体"/>
          <w:sz w:val="21"/>
          <w:szCs w:val="21"/>
        </w:rPr>
        <w:fldChar w:fldCharType="separate"/>
      </w:r>
      <w:r>
        <w:rPr>
          <w:rFonts w:hint="eastAsia" w:ascii="黑体" w:hAnsi="黑体" w:eastAsia="黑体" w:cs="黑体"/>
          <w:sz w:val="21"/>
          <w:szCs w:val="21"/>
        </w:rPr>
        <w:t>16</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0"/>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_Toc20836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第三章  “十四五”时期重点任务</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_Toc20836 \h </w:instrText>
      </w:r>
      <w:r>
        <w:rPr>
          <w:rFonts w:hint="eastAsia" w:ascii="黑体" w:hAnsi="黑体" w:eastAsia="黑体" w:cs="黑体"/>
          <w:sz w:val="21"/>
          <w:szCs w:val="21"/>
        </w:rPr>
        <w:fldChar w:fldCharType="separate"/>
      </w:r>
      <w:r>
        <w:rPr>
          <w:rFonts w:hint="eastAsia" w:ascii="黑体" w:hAnsi="黑体" w:eastAsia="黑体" w:cs="黑体"/>
          <w:sz w:val="21"/>
          <w:szCs w:val="21"/>
        </w:rPr>
        <w:t>18</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1"/>
        <w:keepNext w:val="0"/>
        <w:keepLines w:val="0"/>
        <w:pageBreakBefore w:val="0"/>
        <w:widowControl/>
        <w:tabs>
          <w:tab w:val="right" w:leader="dot" w:pos="8306"/>
          <w:tab w:val="clear" w:pos="1370"/>
          <w:tab w:val="clear" w:pos="829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_Toc6417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第一节</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保持总人口平稳增长</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_Toc6417 \h </w:instrText>
      </w:r>
      <w:r>
        <w:rPr>
          <w:rFonts w:hint="eastAsia" w:ascii="黑体" w:hAnsi="黑体" w:eastAsia="黑体" w:cs="黑体"/>
          <w:sz w:val="21"/>
          <w:szCs w:val="21"/>
        </w:rPr>
        <w:fldChar w:fldCharType="separate"/>
      </w:r>
      <w:r>
        <w:rPr>
          <w:rFonts w:hint="eastAsia" w:ascii="黑体" w:hAnsi="黑体" w:eastAsia="黑体" w:cs="黑体"/>
          <w:sz w:val="21"/>
          <w:szCs w:val="21"/>
        </w:rPr>
        <w:t>18</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1"/>
        <w:keepNext w:val="0"/>
        <w:keepLines w:val="0"/>
        <w:pageBreakBefore w:val="0"/>
        <w:widowControl/>
        <w:tabs>
          <w:tab w:val="right" w:leader="dot" w:pos="8306"/>
          <w:tab w:val="clear" w:pos="1370"/>
          <w:tab w:val="clear" w:pos="829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_Toc29881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第二节</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化解“低生育”困局</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_Toc29881 \h </w:instrText>
      </w:r>
      <w:r>
        <w:rPr>
          <w:rFonts w:hint="eastAsia" w:ascii="黑体" w:hAnsi="黑体" w:eastAsia="黑体" w:cs="黑体"/>
          <w:sz w:val="21"/>
          <w:szCs w:val="21"/>
        </w:rPr>
        <w:fldChar w:fldCharType="separate"/>
      </w:r>
      <w:r>
        <w:rPr>
          <w:rFonts w:hint="eastAsia" w:ascii="黑体" w:hAnsi="黑体" w:eastAsia="黑体" w:cs="黑体"/>
          <w:sz w:val="21"/>
          <w:szCs w:val="21"/>
        </w:rPr>
        <w:t>18</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1"/>
        <w:keepNext w:val="0"/>
        <w:keepLines w:val="0"/>
        <w:pageBreakBefore w:val="0"/>
        <w:widowControl/>
        <w:tabs>
          <w:tab w:val="right" w:leader="dot" w:pos="8306"/>
          <w:tab w:val="clear" w:pos="1370"/>
          <w:tab w:val="clear" w:pos="829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_Toc4454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第四节</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开创“城镇化”新局</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_Toc4454 \h </w:instrText>
      </w:r>
      <w:r>
        <w:rPr>
          <w:rFonts w:hint="eastAsia" w:ascii="黑体" w:hAnsi="黑体" w:eastAsia="黑体" w:cs="黑体"/>
          <w:sz w:val="21"/>
          <w:szCs w:val="21"/>
        </w:rPr>
        <w:fldChar w:fldCharType="separate"/>
      </w:r>
      <w:r>
        <w:rPr>
          <w:rFonts w:hint="eastAsia" w:ascii="黑体" w:hAnsi="黑体" w:eastAsia="黑体" w:cs="黑体"/>
          <w:sz w:val="21"/>
          <w:szCs w:val="21"/>
        </w:rPr>
        <w:t>20</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1"/>
        <w:keepNext w:val="0"/>
        <w:keepLines w:val="0"/>
        <w:pageBreakBefore w:val="0"/>
        <w:widowControl/>
        <w:tabs>
          <w:tab w:val="right" w:leader="dot" w:pos="8306"/>
          <w:tab w:val="clear" w:pos="1370"/>
          <w:tab w:val="clear" w:pos="829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_Toc5472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第五节</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优化区域人口聚集</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_Toc5472 \h </w:instrText>
      </w:r>
      <w:r>
        <w:rPr>
          <w:rFonts w:hint="eastAsia" w:ascii="黑体" w:hAnsi="黑体" w:eastAsia="黑体" w:cs="黑体"/>
          <w:sz w:val="21"/>
          <w:szCs w:val="21"/>
        </w:rPr>
        <w:fldChar w:fldCharType="separate"/>
      </w:r>
      <w:r>
        <w:rPr>
          <w:rFonts w:hint="eastAsia" w:ascii="黑体" w:hAnsi="黑体" w:eastAsia="黑体" w:cs="黑体"/>
          <w:sz w:val="21"/>
          <w:szCs w:val="21"/>
        </w:rPr>
        <w:t>21</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0"/>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_Toc163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第四章  规划实施保障</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_Toc163 \h </w:instrText>
      </w:r>
      <w:r>
        <w:rPr>
          <w:rFonts w:hint="eastAsia" w:ascii="黑体" w:hAnsi="黑体" w:eastAsia="黑体" w:cs="黑体"/>
          <w:sz w:val="21"/>
          <w:szCs w:val="21"/>
        </w:rPr>
        <w:fldChar w:fldCharType="separate"/>
      </w:r>
      <w:r>
        <w:rPr>
          <w:rFonts w:hint="eastAsia" w:ascii="黑体" w:hAnsi="黑体" w:eastAsia="黑体" w:cs="黑体"/>
          <w:sz w:val="21"/>
          <w:szCs w:val="21"/>
        </w:rPr>
        <w:t>22</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1"/>
        <w:keepNext w:val="0"/>
        <w:keepLines w:val="0"/>
        <w:pageBreakBefore w:val="0"/>
        <w:widowControl/>
        <w:tabs>
          <w:tab w:val="right" w:leader="dot" w:pos="8306"/>
          <w:tab w:val="clear" w:pos="1370"/>
          <w:tab w:val="clear" w:pos="829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_Toc2485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第一节</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强化人口基础数据支撑</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_Toc2485 \h </w:instrText>
      </w:r>
      <w:r>
        <w:rPr>
          <w:rFonts w:hint="eastAsia" w:ascii="黑体" w:hAnsi="黑体" w:eastAsia="黑体" w:cs="黑体"/>
          <w:sz w:val="21"/>
          <w:szCs w:val="21"/>
        </w:rPr>
        <w:fldChar w:fldCharType="separate"/>
      </w:r>
      <w:r>
        <w:rPr>
          <w:rFonts w:hint="eastAsia" w:ascii="黑体" w:hAnsi="黑体" w:eastAsia="黑体" w:cs="黑体"/>
          <w:sz w:val="21"/>
          <w:szCs w:val="21"/>
        </w:rPr>
        <w:t>22</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1"/>
        <w:keepNext w:val="0"/>
        <w:keepLines w:val="0"/>
        <w:pageBreakBefore w:val="0"/>
        <w:widowControl/>
        <w:tabs>
          <w:tab w:val="right" w:leader="dot" w:pos="8306"/>
          <w:tab w:val="clear" w:pos="1370"/>
          <w:tab w:val="clear" w:pos="829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_Toc15515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第二节  建立社区人口动态监测和跟踪预报制度</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_Toc15515 \h </w:instrText>
      </w:r>
      <w:r>
        <w:rPr>
          <w:rFonts w:hint="eastAsia" w:ascii="黑体" w:hAnsi="黑体" w:eastAsia="黑体" w:cs="黑体"/>
          <w:sz w:val="21"/>
          <w:szCs w:val="21"/>
        </w:rPr>
        <w:fldChar w:fldCharType="separate"/>
      </w:r>
      <w:r>
        <w:rPr>
          <w:rFonts w:hint="eastAsia" w:ascii="黑体" w:hAnsi="黑体" w:eastAsia="黑体" w:cs="黑体"/>
          <w:sz w:val="21"/>
          <w:szCs w:val="21"/>
        </w:rPr>
        <w:t>22</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1"/>
        <w:keepNext w:val="0"/>
        <w:keepLines w:val="0"/>
        <w:pageBreakBefore w:val="0"/>
        <w:widowControl/>
        <w:tabs>
          <w:tab w:val="right" w:leader="dot" w:pos="8306"/>
          <w:tab w:val="clear" w:pos="1370"/>
          <w:tab w:val="clear" w:pos="829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_Toc28036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第三节</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开展重大决策人口影响评估</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_Toc28036 \h </w:instrText>
      </w:r>
      <w:r>
        <w:rPr>
          <w:rFonts w:hint="eastAsia" w:ascii="黑体" w:hAnsi="黑体" w:eastAsia="黑体" w:cs="黑体"/>
          <w:sz w:val="21"/>
          <w:szCs w:val="21"/>
        </w:rPr>
        <w:fldChar w:fldCharType="separate"/>
      </w:r>
      <w:r>
        <w:rPr>
          <w:rFonts w:hint="eastAsia" w:ascii="黑体" w:hAnsi="黑体" w:eastAsia="黑体" w:cs="黑体"/>
          <w:sz w:val="21"/>
          <w:szCs w:val="21"/>
        </w:rPr>
        <w:t>23</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1"/>
        <w:keepNext w:val="0"/>
        <w:keepLines w:val="0"/>
        <w:pageBreakBefore w:val="0"/>
        <w:widowControl/>
        <w:tabs>
          <w:tab w:val="right" w:leader="dot" w:pos="8306"/>
          <w:tab w:val="clear" w:pos="1370"/>
          <w:tab w:val="clear" w:pos="829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_Toc8744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第四节</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健全人口规划实施机制</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_Toc8744 \h </w:instrText>
      </w:r>
      <w:r>
        <w:rPr>
          <w:rFonts w:hint="eastAsia" w:ascii="黑体" w:hAnsi="黑体" w:eastAsia="黑体" w:cs="黑体"/>
          <w:sz w:val="21"/>
          <w:szCs w:val="21"/>
        </w:rPr>
        <w:fldChar w:fldCharType="separate"/>
      </w:r>
      <w:r>
        <w:rPr>
          <w:rFonts w:hint="eastAsia" w:ascii="黑体" w:hAnsi="黑体" w:eastAsia="黑体" w:cs="黑体"/>
          <w:sz w:val="21"/>
          <w:szCs w:val="21"/>
        </w:rPr>
        <w:t>23</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0"/>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_Toc401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附件</w:t>
      </w:r>
      <w:r>
        <w:rPr>
          <w:rFonts w:hint="eastAsia" w:ascii="黑体" w:hAnsi="黑体" w:eastAsia="黑体" w:cs="黑体"/>
          <w:sz w:val="21"/>
          <w:szCs w:val="21"/>
          <w:lang w:val="en-US" w:eastAsia="zh-CN"/>
        </w:rPr>
        <w:t>1</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_Toc401 \h </w:instrText>
      </w:r>
      <w:r>
        <w:rPr>
          <w:rFonts w:hint="eastAsia" w:ascii="黑体" w:hAnsi="黑体" w:eastAsia="黑体" w:cs="黑体"/>
          <w:sz w:val="21"/>
          <w:szCs w:val="21"/>
        </w:rPr>
        <w:fldChar w:fldCharType="separate"/>
      </w:r>
      <w:r>
        <w:rPr>
          <w:rFonts w:hint="eastAsia" w:ascii="黑体" w:hAnsi="黑体" w:eastAsia="黑体" w:cs="黑体"/>
          <w:sz w:val="21"/>
          <w:szCs w:val="21"/>
        </w:rPr>
        <w:t>24</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pStyle w:val="10"/>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黑体" w:hAnsi="黑体" w:eastAsia="黑体" w:cs="黑体"/>
          <w:sz w:val="21"/>
          <w:szCs w:val="21"/>
        </w:rPr>
      </w:pPr>
      <w:r>
        <w:rPr>
          <w:rFonts w:hint="eastAsia" w:ascii="黑体" w:hAnsi="黑体" w:eastAsia="黑体" w:cs="黑体"/>
          <w:bCs w:val="0"/>
          <w:sz w:val="21"/>
          <w:szCs w:val="21"/>
          <w:lang w:eastAsia="zh-CN"/>
        </w:rPr>
        <w:fldChar w:fldCharType="begin"/>
      </w:r>
      <w:r>
        <w:rPr>
          <w:rFonts w:hint="eastAsia" w:ascii="黑体" w:hAnsi="黑体" w:eastAsia="黑体" w:cs="黑体"/>
          <w:bCs w:val="0"/>
          <w:sz w:val="21"/>
          <w:szCs w:val="21"/>
          <w:lang w:eastAsia="zh-CN"/>
        </w:rPr>
        <w:instrText xml:space="preserve"> HYPERLINK \l _Toc10382 </w:instrText>
      </w:r>
      <w:r>
        <w:rPr>
          <w:rFonts w:hint="eastAsia" w:ascii="黑体" w:hAnsi="黑体" w:eastAsia="黑体" w:cs="黑体"/>
          <w:bCs w:val="0"/>
          <w:sz w:val="21"/>
          <w:szCs w:val="21"/>
          <w:lang w:eastAsia="zh-CN"/>
        </w:rPr>
        <w:fldChar w:fldCharType="separate"/>
      </w:r>
      <w:r>
        <w:rPr>
          <w:rFonts w:hint="eastAsia" w:ascii="黑体" w:hAnsi="黑体" w:eastAsia="黑体" w:cs="黑体"/>
          <w:sz w:val="21"/>
          <w:szCs w:val="21"/>
        </w:rPr>
        <w:t>附件</w:t>
      </w:r>
      <w:r>
        <w:rPr>
          <w:rFonts w:hint="eastAsia" w:ascii="黑体" w:hAnsi="黑体" w:eastAsia="黑体" w:cs="黑体"/>
          <w:sz w:val="21"/>
          <w:szCs w:val="21"/>
          <w:lang w:val="en-US" w:eastAsia="zh-CN"/>
        </w:rPr>
        <w:t>2</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_Toc10382 \h </w:instrText>
      </w:r>
      <w:r>
        <w:rPr>
          <w:rFonts w:hint="eastAsia" w:ascii="黑体" w:hAnsi="黑体" w:eastAsia="黑体" w:cs="黑体"/>
          <w:sz w:val="21"/>
          <w:szCs w:val="21"/>
        </w:rPr>
        <w:fldChar w:fldCharType="separate"/>
      </w:r>
      <w:r>
        <w:rPr>
          <w:rFonts w:hint="eastAsia" w:ascii="黑体" w:hAnsi="黑体" w:eastAsia="黑体" w:cs="黑体"/>
          <w:sz w:val="21"/>
          <w:szCs w:val="21"/>
        </w:rPr>
        <w:t>28</w:t>
      </w:r>
      <w:r>
        <w:rPr>
          <w:rFonts w:hint="eastAsia" w:ascii="黑体" w:hAnsi="黑体" w:eastAsia="黑体" w:cs="黑体"/>
          <w:sz w:val="21"/>
          <w:szCs w:val="21"/>
        </w:rPr>
        <w:fldChar w:fldCharType="end"/>
      </w:r>
      <w:r>
        <w:rPr>
          <w:rFonts w:hint="eastAsia" w:ascii="黑体" w:hAnsi="黑体" w:eastAsia="黑体" w:cs="黑体"/>
          <w:bCs w:val="0"/>
          <w:sz w:val="21"/>
          <w:szCs w:val="21"/>
          <w:lang w:eastAsia="zh-CN"/>
        </w:rPr>
        <w:fldChar w:fldCharType="end"/>
      </w:r>
    </w:p>
    <w:p>
      <w:pPr>
        <w:jc w:val="center"/>
        <w:rPr>
          <w:rFonts w:hint="eastAsia" w:ascii="黑体" w:hAnsi="黑体" w:eastAsia="黑体" w:cs="黑体"/>
          <w:b w:val="0"/>
          <w:bCs w:val="0"/>
          <w:sz w:val="32"/>
          <w:szCs w:val="32"/>
          <w:lang w:eastAsia="zh-CN"/>
        </w:rPr>
        <w:sectPr>
          <w:footerReference r:id="rId3" w:type="default"/>
          <w:pgSz w:w="11906" w:h="16838"/>
          <w:pgMar w:top="1440" w:right="1800" w:bottom="1440" w:left="1800" w:header="851" w:footer="992" w:gutter="0"/>
          <w:pgNumType w:start="1" w:chapStyle="1"/>
          <w:cols w:space="425" w:num="1"/>
          <w:docGrid w:type="lines" w:linePitch="312" w:charSpace="0"/>
        </w:sectPr>
      </w:pPr>
      <w:r>
        <w:rPr>
          <w:rFonts w:hint="eastAsia" w:ascii="黑体" w:hAnsi="黑体" w:eastAsia="黑体" w:cs="黑体"/>
          <w:bCs w:val="0"/>
          <w:sz w:val="21"/>
          <w:szCs w:val="21"/>
          <w:lang w:eastAsia="zh-CN"/>
        </w:rPr>
        <w:fldChar w:fldCharType="end"/>
      </w:r>
    </w:p>
    <w:p>
      <w:pPr>
        <w:pageBreakBefore w:val="0"/>
        <w:kinsoku/>
        <w:wordWrap/>
        <w:overflowPunct/>
        <w:topLinePunct w:val="0"/>
        <w:autoSpaceDE/>
        <w:autoSpaceDN/>
        <w:bidi w:val="0"/>
        <w:adjustRightInd/>
        <w:snapToGrid/>
        <w:spacing w:before="312" w:beforeLines="100" w:after="312" w:afterLines="100" w:line="560" w:lineRule="exact"/>
        <w:jc w:val="both"/>
        <w:textAlignment w:val="auto"/>
        <w:rPr>
          <w:rFonts w:hint="default" w:ascii="Times New Roman" w:hAnsi="Times New Roman" w:eastAsia="方正小标宋简体" w:cs="Times New Roman"/>
          <w:b w:val="0"/>
          <w:bCs w:val="0"/>
          <w:sz w:val="44"/>
          <w:szCs w:val="44"/>
          <w:lang w:eastAsia="zh-CN"/>
        </w:rPr>
      </w:pP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人口是社会经济活动的主体，在即定时空条件下，人口发展状况取决于其所依存的社会经济条件，但人口自身的规模大小、素质高低和结构优劣无不直接影响着区域经济社会发展的成效。2016年颁布的《国家人口发展规划（2016-2030年）》开宗明义，指出“</w:t>
      </w:r>
      <w:bookmarkStart w:id="0" w:name="_Hlk35870127"/>
      <w:r>
        <w:rPr>
          <w:rFonts w:hint="default" w:ascii="Times New Roman" w:hAnsi="Times New Roman" w:eastAsia="仿宋_GB2312" w:cs="Times New Roman"/>
          <w:color w:val="333333"/>
          <w:sz w:val="32"/>
          <w:szCs w:val="32"/>
          <w:shd w:val="clear" w:color="auto" w:fill="FFFFFF"/>
        </w:rPr>
        <w:t>人口问题始终是人类社会共同面对的基础性、全局性和战略性问题。</w:t>
      </w:r>
      <w:bookmarkEnd w:id="0"/>
      <w:r>
        <w:rPr>
          <w:rFonts w:hint="default" w:ascii="Times New Roman" w:hAnsi="Times New Roman" w:eastAsia="仿宋_GB2312" w:cs="Times New Roman"/>
          <w:sz w:val="32"/>
          <w:szCs w:val="32"/>
        </w:rPr>
        <w:t>” 因此，关注人口及其发展变化，促进人口对于国民经济的平稳发展与社会的长治久安具有至关重要的意义。</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bookmarkStart w:id="1" w:name="_Hlk40042209"/>
      <w:r>
        <w:rPr>
          <w:rFonts w:hint="default" w:ascii="Times New Roman" w:hAnsi="Times New Roman" w:eastAsia="仿宋_GB2312" w:cs="Times New Roman"/>
          <w:color w:val="333333"/>
          <w:sz w:val="32"/>
          <w:szCs w:val="32"/>
          <w:shd w:val="clear" w:color="auto" w:fill="FFFFFF"/>
        </w:rPr>
        <w:t>做好人口发展的专项规划，这不仅是国民经济五年规划工作的重要组成部分；而且更是把握人口发展态势，促进人口与经济协调发展的基础性工作。</w:t>
      </w:r>
      <w:bookmarkEnd w:id="1"/>
      <w:bookmarkStart w:id="2" w:name="_Hlk40042392"/>
      <w:r>
        <w:rPr>
          <w:rFonts w:hint="default" w:ascii="Times New Roman" w:hAnsi="Times New Roman" w:eastAsia="仿宋_GB2312" w:cs="Times New Roman"/>
          <w:color w:val="333333"/>
          <w:sz w:val="32"/>
          <w:szCs w:val="32"/>
          <w:shd w:val="clear" w:color="auto" w:fill="FFFFFF"/>
        </w:rPr>
        <w:t>进入21世纪后，我国人口发展的内在动力和外部条件均发生了显著改变，面临一系列重要的转折性变化。通过人口发展专项规划，科学认识人口变化的趋势性特征，及时把握这些变化对人口安全和经济社会发展带来的影响，将有助于促进人口的长期均衡发展，为国民经济的持续健康发展提供有利的人口条件。</w:t>
      </w:r>
    </w:p>
    <w:bookmarkEnd w:id="2"/>
    <w:p>
      <w:pPr>
        <w:pStyle w:val="2"/>
        <w:numPr>
          <w:ilvl w:val="0"/>
          <w:numId w:val="1"/>
        </w:numPr>
        <w:bidi w:val="0"/>
        <w:jc w:val="center"/>
        <w:rPr>
          <w:rFonts w:hint="default"/>
        </w:rPr>
      </w:pPr>
      <w:bookmarkStart w:id="3" w:name="_Toc10656"/>
      <w:bookmarkStart w:id="4" w:name="_Toc31189"/>
      <w:r>
        <w:rPr>
          <w:rFonts w:hint="default"/>
        </w:rPr>
        <w:t>规划背景</w:t>
      </w:r>
      <w:bookmarkEnd w:id="3"/>
      <w:bookmarkEnd w:id="4"/>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西山区作为昆明市14</w:t>
      </w:r>
      <w:bookmarkStart w:id="5" w:name="_Hlk35776470"/>
      <w:r>
        <w:rPr>
          <w:rFonts w:hint="default" w:ascii="Times New Roman" w:hAnsi="Times New Roman" w:eastAsia="仿宋_GB2312" w:cs="Times New Roman"/>
          <w:sz w:val="32"/>
          <w:szCs w:val="32"/>
        </w:rPr>
        <w:t>个市（县、区）的一个行政辖区</w:t>
      </w:r>
      <w:bookmarkEnd w:id="5"/>
      <w:r>
        <w:rPr>
          <w:rFonts w:hint="default" w:ascii="Times New Roman" w:hAnsi="Times New Roman" w:eastAsia="仿宋_GB2312" w:cs="Times New Roman"/>
          <w:sz w:val="32"/>
          <w:szCs w:val="32"/>
        </w:rPr>
        <w:t>，在881.32平方公里的辖区内，共有10个街道办事处。从空间格局看可划分三个层级，</w:t>
      </w:r>
      <w:bookmarkStart w:id="6" w:name="_Hlk47714669"/>
      <w:r>
        <w:rPr>
          <w:rFonts w:hint="default" w:ascii="Times New Roman" w:hAnsi="Times New Roman" w:eastAsia="仿宋_GB2312" w:cs="Times New Roman"/>
          <w:sz w:val="32"/>
          <w:szCs w:val="32"/>
        </w:rPr>
        <w:t>簇拥于草海东北边的金碧、永昌、棕树营、西苑4个街道办事处，虽然区域面积狭小，却是人口高度聚集的城市区，属于昆明市主城核心区的重要组成部分；其外围的马街、福海和前卫3个街道办事处是城乡混合的市郊区；西北部的团结、西边的碧鸡和西南端的海口3个街道办事处则是地广人稀的远郊乡镇。</w:t>
      </w:r>
      <w:bookmarkEnd w:id="6"/>
      <w:r>
        <w:rPr>
          <w:rFonts w:hint="default" w:ascii="Times New Roman" w:hAnsi="Times New Roman" w:eastAsia="仿宋_GB2312" w:cs="Times New Roman"/>
          <w:sz w:val="32"/>
          <w:szCs w:val="32"/>
        </w:rPr>
        <w:t>总体看，在昆明经济社会发展绩效评估中，西山区与官渡区、五华区、呈贡区和盘龙区一起属于昆明市的第一板块，常住人口规模和经济生产总值在昆明14个市（县、区）行政辖区中位列第四。研判西山区的人口状态及其走势，对于做好人口规划，促进区域经济社会发展和现代新昆明建设均具有十分重要的理论意义和实践作用。</w:t>
      </w:r>
    </w:p>
    <w:p>
      <w:pPr>
        <w:pStyle w:val="3"/>
        <w:pageBreakBefore w:val="0"/>
        <w:widowControl w:val="0"/>
        <w:kinsoku/>
        <w:wordWrap/>
        <w:overflowPunct/>
        <w:topLinePunct w:val="0"/>
        <w:autoSpaceDE/>
        <w:autoSpaceDN/>
        <w:bidi w:val="0"/>
        <w:adjustRightInd/>
        <w:snapToGrid/>
        <w:spacing w:before="0" w:after="0"/>
        <w:textAlignment w:val="auto"/>
        <w:rPr>
          <w:rFonts w:hint="eastAsia" w:ascii="楷体_GB2312" w:hAnsi="楷体_GB2312" w:eastAsia="楷体_GB2312" w:cs="楷体_GB2312"/>
        </w:rPr>
      </w:pPr>
      <w:bookmarkStart w:id="7" w:name="_Toc11454"/>
      <w:bookmarkStart w:id="8" w:name="_Toc4367"/>
      <w:bookmarkStart w:id="9" w:name="_Hlk35869331"/>
      <w:r>
        <w:rPr>
          <w:rFonts w:hint="eastAsia" w:ascii="楷体_GB2312" w:hAnsi="楷体_GB2312" w:eastAsia="楷体_GB2312" w:cs="楷体_GB2312"/>
        </w:rPr>
        <w:t>第一节</w:t>
      </w:r>
      <w:r>
        <w:rPr>
          <w:rFonts w:hint="eastAsia" w:ascii="楷体_GB2312" w:hAnsi="楷体_GB2312" w:eastAsia="楷体_GB2312" w:cs="楷体_GB2312"/>
        </w:rPr>
        <w:tab/>
      </w:r>
      <w:r>
        <w:rPr>
          <w:rFonts w:hint="eastAsia" w:ascii="楷体_GB2312" w:hAnsi="楷体_GB2312" w:eastAsia="楷体_GB2312" w:cs="楷体_GB2312"/>
        </w:rPr>
        <w:t>“十三五”时期人口发展特征</w:t>
      </w:r>
      <w:bookmarkEnd w:id="7"/>
      <w:bookmarkEnd w:id="8"/>
    </w:p>
    <w:bookmarkEnd w:id="9"/>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bookmarkStart w:id="10" w:name="_Hlk47715465"/>
      <w:r>
        <w:rPr>
          <w:rFonts w:hint="default" w:ascii="Times New Roman" w:hAnsi="Times New Roman" w:eastAsia="仿宋_GB2312" w:cs="Times New Roman"/>
          <w:sz w:val="32"/>
          <w:szCs w:val="32"/>
        </w:rPr>
        <w:t>“十三五”（2016-2020年）时期，西山区与全国各地一样，进入了</w:t>
      </w:r>
      <w:bookmarkStart w:id="11" w:name="_Hlk35868043"/>
      <w:r>
        <w:rPr>
          <w:rFonts w:hint="default" w:ascii="Times New Roman" w:hAnsi="Times New Roman" w:eastAsia="仿宋_GB2312" w:cs="Times New Roman"/>
          <w:sz w:val="32"/>
          <w:szCs w:val="32"/>
        </w:rPr>
        <w:t>人口与经济发展的“新常态”，</w:t>
      </w:r>
      <w:bookmarkEnd w:id="11"/>
      <w:r>
        <w:rPr>
          <w:rFonts w:hint="default" w:ascii="Times New Roman" w:hAnsi="Times New Roman" w:eastAsia="仿宋_GB2312" w:cs="Times New Roman"/>
          <w:sz w:val="32"/>
          <w:szCs w:val="32"/>
        </w:rPr>
        <w:t>经济增速放缓，发展方式转换，追求经济的高质量增长替代传统的高速增长，人口增长速率放缓，人口流动方兴未艾，乡城人口格局重构，全面二孩政策实施，人口发展在规模与结构方面都呈现出一系列前所未有的变化特征：</w:t>
      </w:r>
    </w:p>
    <w:bookmarkEnd w:id="10"/>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其一、人口总量显著增加，但增长速度相对较缓</w:t>
      </w:r>
      <w:r>
        <w:rPr>
          <w:rFonts w:hint="default" w:ascii="Times New Roman" w:hAnsi="Times New Roman" w:eastAsia="仿宋_GB2312" w:cs="Times New Roman"/>
          <w:sz w:val="32"/>
          <w:szCs w:val="32"/>
        </w:rPr>
        <w:t>。 2020年“七普”数据显示，西山区常住人口为96.07万，相较于2010年“六普”时的75.38万，净增20.69万，年均增长超过2万人，十年间人口增长幅度达到27.45%，但相较于昆明市31.53%的同期值（表1），西山区常住人口增长速度偏低，在昆明市主城五个区中，仅高于盘龙区（21.99%）。表明西山区常住人口总量增加明显，但增速相对较缓。</w:t>
      </w:r>
    </w:p>
    <w:p>
      <w:pPr>
        <w:pageBreakBefore w:val="0"/>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其二、户籍人口自然增长率在波动中趋于上升</w:t>
      </w:r>
      <w:r>
        <w:rPr>
          <w:rFonts w:hint="default" w:ascii="Times New Roman" w:hAnsi="Times New Roman" w:eastAsia="仿宋_GB2312" w:cs="Times New Roman"/>
          <w:sz w:val="32"/>
          <w:szCs w:val="32"/>
        </w:rPr>
        <w:t>。2016年西山区户籍人口出生5417人，出生率为10.2</w:t>
      </w:r>
      <w:bookmarkStart w:id="12" w:name="_Hlk45309044"/>
      <w:r>
        <w:rPr>
          <w:rFonts w:hint="default" w:ascii="Times New Roman" w:hAnsi="Times New Roman" w:eastAsia="仿宋_GB2312" w:cs="Times New Roman"/>
          <w:sz w:val="32"/>
          <w:szCs w:val="32"/>
        </w:rPr>
        <w:t>‰</w:t>
      </w:r>
      <w:bookmarkEnd w:id="12"/>
      <w:r>
        <w:rPr>
          <w:rFonts w:hint="default" w:ascii="Times New Roman" w:hAnsi="Times New Roman" w:eastAsia="仿宋_GB2312" w:cs="Times New Roman"/>
          <w:sz w:val="32"/>
          <w:szCs w:val="32"/>
        </w:rPr>
        <w:t>，随后两年出生人口增加到7000人以上，出生率分别达到13.24‰和12.64</w:t>
      </w:r>
      <w:bookmarkStart w:id="13" w:name="_Hlk31915106"/>
      <w:r>
        <w:rPr>
          <w:rFonts w:hint="default" w:ascii="Times New Roman" w:hAnsi="Times New Roman" w:eastAsia="仿宋_GB2312" w:cs="Times New Roman"/>
          <w:sz w:val="32"/>
          <w:szCs w:val="32"/>
        </w:rPr>
        <w:t>‰</w:t>
      </w:r>
      <w:bookmarkEnd w:id="13"/>
      <w:r>
        <w:rPr>
          <w:rFonts w:hint="default" w:ascii="Times New Roman" w:hAnsi="Times New Roman" w:eastAsia="仿宋_GB2312" w:cs="Times New Roman"/>
          <w:sz w:val="32"/>
          <w:szCs w:val="32"/>
        </w:rPr>
        <w:t>，出生人口的增加显然得益于“全面二孩”政策的实施。2019年的出生人口略有下降，为6671人，出生率下降为11.72‰。与此同时，人口死亡率则呈现波动上升变化，尤其在2017年，死亡率陡然增至16.41</w:t>
      </w:r>
      <w:bookmarkStart w:id="14" w:name="_Hlk39692519"/>
      <w:r>
        <w:rPr>
          <w:rFonts w:hint="default" w:ascii="Times New Roman" w:hAnsi="Times New Roman" w:eastAsia="仿宋_GB2312" w:cs="Times New Roman"/>
          <w:sz w:val="32"/>
          <w:szCs w:val="32"/>
        </w:rPr>
        <w:t>‰</w:t>
      </w:r>
      <w:bookmarkEnd w:id="14"/>
      <w:r>
        <w:rPr>
          <w:rFonts w:hint="default" w:ascii="Times New Roman" w:hAnsi="Times New Roman" w:eastAsia="仿宋_GB2312" w:cs="Times New Roman"/>
          <w:sz w:val="32"/>
          <w:szCs w:val="32"/>
        </w:rPr>
        <w:t>，不仅比2016年的死亡率徒增13.7个千分点，而且超出了同年人口出生率，致使2017年自然增长率为负值，当年人口减少1721人。这种死亡率指标的异常升高应属非正常异动，是因为当年人口登记系统更换，核查以往漏填漏报的补登所致。2018年和2019年的人口死亡率回归正常，分别为4.64‰和4.09‰，均高于2016年3.71‰的水平（表2）。鉴于出生率与死亡率指标的变化，排除2017年的负增长指标异变，西山区户籍人口自然增长总体上呈波动上升态势。</w:t>
      </w:r>
    </w:p>
    <w:p>
      <w:pPr>
        <w:pageBreakBefore w:val="0"/>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其三、净迁移人口规模扩张迅猛，其中省内迁移人口占主导，但省外迁移人口增速快于省内迁移</w:t>
      </w:r>
      <w:r>
        <w:rPr>
          <w:rFonts w:hint="default" w:ascii="Times New Roman" w:hAnsi="Times New Roman" w:eastAsia="仿宋_GB2312" w:cs="Times New Roman"/>
          <w:sz w:val="32"/>
          <w:szCs w:val="32"/>
        </w:rPr>
        <w:t>。在2016~2019年间，西山区户籍人口迁移状况表现为迁入人口明显多于迁出人口，而且增长迅猛，2016年净迁入2072人，2017年倍增至5558人，2018年更猛增到9461人，2019年下降为6958人，但仍然高于2016年和2017年。进一步观察净迁移人口来源构成不难发现，尽管省内净迁移人口显著高于省外，约占三分之二，但省外净迁移人口占比在不断上升，从2016年的不足四分之一（23.12%）上升到2018年的逾三分之一（34.24%），2019年略有下降，为32.19%。总体看，西山区的人口迁移在迅速扩张的同时，表现出以省内迁移为主导，同时省外迁移人口比重明显增加的态势（表3）。</w:t>
      </w:r>
    </w:p>
    <w:p>
      <w:pPr>
        <w:pageBreakBefore w:val="0"/>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其四、户籍人口性别比基本保持正常、并略有下降</w:t>
      </w:r>
      <w:r>
        <w:rPr>
          <w:rFonts w:hint="default" w:ascii="Times New Roman" w:hAnsi="Times New Roman" w:eastAsia="仿宋_GB2312" w:cs="Times New Roman"/>
          <w:sz w:val="32"/>
          <w:szCs w:val="32"/>
        </w:rPr>
        <w:t>。观察2016~2019年四个年度西山区户籍人口性别比可见，总人口性别比略低于100，分别为99、98和97，男性人口略低于女性人口，仍可视之为基本正常。四个年度的出生人口性别比分别为107、107、104和105，均处在103~107的常衡值区间。表明西山区户籍人口性别比处在正常值区间，且略呈下降走势（表4）。</w:t>
      </w:r>
    </w:p>
    <w:p>
      <w:pPr>
        <w:pageBreakBefore w:val="0"/>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其五、人口年龄结构凸显</w:t>
      </w:r>
      <w:bookmarkStart w:id="15" w:name="_Hlk35808159"/>
      <w:r>
        <w:rPr>
          <w:rFonts w:hint="default" w:ascii="Times New Roman" w:hAnsi="Times New Roman" w:eastAsia="仿宋_GB2312" w:cs="Times New Roman"/>
          <w:b/>
          <w:bCs/>
          <w:sz w:val="32"/>
          <w:szCs w:val="32"/>
        </w:rPr>
        <w:t>“少子老龄化”特征</w:t>
      </w:r>
      <w:bookmarkEnd w:id="15"/>
      <w:r>
        <w:rPr>
          <w:rFonts w:hint="default" w:ascii="Times New Roman" w:hAnsi="Times New Roman" w:eastAsia="仿宋_GB2312" w:cs="Times New Roman"/>
          <w:sz w:val="32"/>
          <w:szCs w:val="32"/>
        </w:rPr>
        <w:t>。据2015年1%人口抽样数据计算，2015年西山区常住人口中，0-14岁少儿人口占比为11.76%，15-59岁劳动年龄人口占比为70.58%，60岁及以上老年人口占比为17.66%，相较于昆明市同期值（少儿人口13.86%；劳动年龄人口72.97%和老年人口13.17%），西山区人口年龄结构凸显“少子老龄化”特征（表6）。按户籍人口观察，</w:t>
      </w:r>
      <w:bookmarkStart w:id="16" w:name="_Hlk35782401"/>
      <w:r>
        <w:rPr>
          <w:rFonts w:hint="default" w:ascii="Times New Roman" w:hAnsi="Times New Roman" w:eastAsia="仿宋_GB2312" w:cs="Times New Roman"/>
          <w:sz w:val="32"/>
          <w:szCs w:val="32"/>
        </w:rPr>
        <w:t>西山区人口老龄化程度更加明显。2016年~2019年</w:t>
      </w:r>
      <w:bookmarkEnd w:id="16"/>
      <w:r>
        <w:rPr>
          <w:rFonts w:hint="default" w:ascii="Times New Roman" w:hAnsi="Times New Roman" w:eastAsia="仿宋_GB2312" w:cs="Times New Roman"/>
          <w:sz w:val="32"/>
          <w:szCs w:val="32"/>
        </w:rPr>
        <w:t>间，西山区户籍人口中60岁及以上老年人口占比分别达到23.86%、23.63%、24.12%和24.41%，几乎占到总人口的四分之一（表5），表明西山区人口“老龄化”形势已经十分严峻，户籍人口更甚。</w:t>
      </w:r>
    </w:p>
    <w:p>
      <w:pPr>
        <w:pageBreakBefore w:val="0"/>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其六、人口聚集存在显著的区域偏向</w:t>
      </w:r>
      <w:r>
        <w:rPr>
          <w:rFonts w:hint="default" w:ascii="Times New Roman" w:hAnsi="Times New Roman" w:eastAsia="仿宋_GB2312" w:cs="Times New Roman"/>
          <w:sz w:val="32"/>
          <w:szCs w:val="32"/>
        </w:rPr>
        <w:t>。以2018年户籍人口为证，10个街道办事处户籍人口聚集最多的是金碧，接近10万人，占比达到16.44%，其次是接近8万人的前卫和福海两个街道办事处，占比均超过14%。人口聚集最少的碧鸡，不到2.6万人，占比仅为4.65%。人口聚集的多少与区域经济社会发展条件直接相关，金碧街道办事处能够聚集近10万人，就在于其作为昆明城市商贸核心区和居民老城区，具有其他区域无可比拟的人口聚集吸引力（表7）。按行政区划面积内户籍人口密度计算，人口聚集最稠密</w:t>
      </w:r>
      <w:bookmarkStart w:id="17" w:name="_Hlk33714195"/>
      <w:r>
        <w:rPr>
          <w:rFonts w:hint="default" w:ascii="Times New Roman" w:hAnsi="Times New Roman" w:eastAsia="仿宋_GB2312" w:cs="Times New Roman"/>
          <w:sz w:val="32"/>
          <w:szCs w:val="32"/>
        </w:rPr>
        <w:t>的三个街道办事处是</w:t>
      </w:r>
      <w:bookmarkEnd w:id="17"/>
      <w:r>
        <w:rPr>
          <w:rFonts w:hint="default" w:ascii="Times New Roman" w:hAnsi="Times New Roman" w:eastAsia="仿宋_GB2312" w:cs="Times New Roman"/>
          <w:sz w:val="32"/>
          <w:szCs w:val="32"/>
        </w:rPr>
        <w:t>集中于主城区的金碧、西苑和永昌，</w:t>
      </w:r>
      <w:bookmarkStart w:id="18" w:name="_Hlk33714260"/>
      <w:r>
        <w:rPr>
          <w:rFonts w:hint="default" w:ascii="Times New Roman" w:hAnsi="Times New Roman" w:eastAsia="仿宋_GB2312" w:cs="Times New Roman"/>
          <w:sz w:val="32"/>
          <w:szCs w:val="32"/>
        </w:rPr>
        <w:t>每平方公里聚集人口在2万人</w:t>
      </w:r>
      <w:bookmarkEnd w:id="18"/>
      <w:r>
        <w:rPr>
          <w:rFonts w:hint="default" w:ascii="Times New Roman" w:hAnsi="Times New Roman" w:eastAsia="仿宋_GB2312" w:cs="Times New Roman"/>
          <w:sz w:val="32"/>
          <w:szCs w:val="32"/>
        </w:rPr>
        <w:t>左右；人口聚集最稀疏的三个街道办事处是团结、碧鸡和海口，每平方公里聚集人口不到400人（表10）。</w:t>
      </w:r>
    </w:p>
    <w:p>
      <w:pPr>
        <w:pageBreakBefore w:val="0"/>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其七、人口城镇化率超过90%，但区域差异显著</w:t>
      </w:r>
      <w:r>
        <w:rPr>
          <w:rFonts w:hint="default" w:ascii="Times New Roman" w:hAnsi="Times New Roman" w:eastAsia="仿宋_GB2312" w:cs="Times New Roman"/>
          <w:sz w:val="32"/>
          <w:szCs w:val="32"/>
        </w:rPr>
        <w:t>。据统计年鉴数据观察，2016~2018年间，西山区户籍人口的城镇化率从86.10%上升到92.07%，表明西山区九成以上的户籍人口取得了城镇户籍（表8）。但人口城镇化存在显著的区域差异，有七个</w:t>
      </w:r>
      <w:bookmarkStart w:id="19" w:name="_Hlk36207876"/>
      <w:r>
        <w:rPr>
          <w:rFonts w:hint="default" w:ascii="Times New Roman" w:hAnsi="Times New Roman" w:eastAsia="仿宋_GB2312" w:cs="Times New Roman"/>
          <w:sz w:val="32"/>
          <w:szCs w:val="32"/>
        </w:rPr>
        <w:t>街道办事处</w:t>
      </w:r>
      <w:bookmarkEnd w:id="19"/>
      <w:r>
        <w:rPr>
          <w:rFonts w:hint="default" w:ascii="Times New Roman" w:hAnsi="Times New Roman" w:eastAsia="仿宋_GB2312" w:cs="Times New Roman"/>
          <w:sz w:val="32"/>
          <w:szCs w:val="32"/>
        </w:rPr>
        <w:t>实现了100%的全域城镇化。另有三个街道办事处还有一定规模的乡村户籍人口。2018年团结、海口和碧鸡三个街道办事处的城镇化率分别为25.57%，80.12%和77.55%，表明团结街道办事处是典型的乡村人口聚集地，乡村户籍人口占比接近四分之三，碧鸡和海口还有约20%的乡村户籍人口（表9）。究其原因，团结“农转城”人口非常少，2018年仅14人；而碧鸡和海口两地</w:t>
      </w:r>
      <w:bookmarkStart w:id="20" w:name="_Hlk33782423"/>
      <w:r>
        <w:rPr>
          <w:rFonts w:hint="default" w:ascii="Times New Roman" w:hAnsi="Times New Roman" w:eastAsia="仿宋_GB2312" w:cs="Times New Roman"/>
          <w:sz w:val="32"/>
          <w:szCs w:val="32"/>
        </w:rPr>
        <w:t>农业转移人口落户城镇</w:t>
      </w:r>
      <w:bookmarkEnd w:id="20"/>
      <w:r>
        <w:rPr>
          <w:rFonts w:hint="default" w:ascii="Times New Roman" w:hAnsi="Times New Roman" w:eastAsia="仿宋_GB2312" w:cs="Times New Roman"/>
          <w:sz w:val="32"/>
          <w:szCs w:val="32"/>
        </w:rPr>
        <w:t>的力度很大，因城中村改造和城乡属地调整，2018年碧鸡有6934人</w:t>
      </w:r>
      <w:bookmarkStart w:id="21" w:name="_Hlk33782301"/>
      <w:r>
        <w:rPr>
          <w:rFonts w:hint="default" w:ascii="Times New Roman" w:hAnsi="Times New Roman" w:eastAsia="仿宋_GB2312" w:cs="Times New Roman"/>
          <w:sz w:val="32"/>
          <w:szCs w:val="32"/>
        </w:rPr>
        <w:t>“农转城”，占碧鸡户籍人口的26.74%</w:t>
      </w:r>
      <w:bookmarkEnd w:id="21"/>
      <w:r>
        <w:rPr>
          <w:rFonts w:hint="default" w:ascii="Times New Roman" w:hAnsi="Times New Roman" w:eastAsia="仿宋_GB2312" w:cs="Times New Roman"/>
          <w:sz w:val="32"/>
          <w:szCs w:val="32"/>
        </w:rPr>
        <w:t>；同年海口有6277人</w:t>
      </w:r>
      <w:bookmarkStart w:id="22" w:name="_Hlk33782440"/>
      <w:r>
        <w:rPr>
          <w:rFonts w:hint="default" w:ascii="Times New Roman" w:hAnsi="Times New Roman" w:eastAsia="仿宋_GB2312" w:cs="Times New Roman"/>
          <w:sz w:val="32"/>
          <w:szCs w:val="32"/>
        </w:rPr>
        <w:t>“农转城”</w:t>
      </w:r>
      <w:bookmarkEnd w:id="22"/>
      <w:r>
        <w:rPr>
          <w:rFonts w:hint="default" w:ascii="Times New Roman" w:hAnsi="Times New Roman" w:eastAsia="仿宋_GB2312" w:cs="Times New Roman"/>
          <w:sz w:val="32"/>
          <w:szCs w:val="32"/>
        </w:rPr>
        <w:t>，占海口户籍人口的9.88%（表18）。</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其八、人口</w:t>
      </w:r>
      <w:bookmarkStart w:id="23" w:name="_Hlk35704426"/>
      <w:r>
        <w:rPr>
          <w:rFonts w:hint="default" w:ascii="Times New Roman" w:hAnsi="Times New Roman" w:eastAsia="仿宋_GB2312" w:cs="Times New Roman"/>
          <w:b/>
          <w:bCs/>
          <w:sz w:val="32"/>
          <w:szCs w:val="32"/>
        </w:rPr>
        <w:t>出生预期寿</w:t>
      </w:r>
      <w:bookmarkEnd w:id="23"/>
      <w:r>
        <w:rPr>
          <w:rFonts w:hint="default" w:ascii="Times New Roman" w:hAnsi="Times New Roman" w:eastAsia="仿宋_GB2312" w:cs="Times New Roman"/>
          <w:b/>
          <w:bCs/>
          <w:sz w:val="32"/>
          <w:szCs w:val="32"/>
        </w:rPr>
        <w:t>命略高于昆明市平均值</w:t>
      </w:r>
      <w:r>
        <w:rPr>
          <w:rFonts w:hint="default" w:ascii="Times New Roman" w:hAnsi="Times New Roman" w:eastAsia="仿宋_GB2312" w:cs="Times New Roman"/>
          <w:sz w:val="32"/>
          <w:szCs w:val="32"/>
        </w:rPr>
        <w:t>。</w:t>
      </w:r>
      <w:bookmarkStart w:id="24" w:name="_Hlk35781543"/>
      <w:r>
        <w:rPr>
          <w:rFonts w:hint="default" w:ascii="Times New Roman" w:hAnsi="Times New Roman" w:eastAsia="仿宋_GB2312" w:cs="Times New Roman"/>
          <w:sz w:val="32"/>
          <w:szCs w:val="32"/>
        </w:rPr>
        <w:t>根据2010年“六普”数据计算，西山区</w:t>
      </w:r>
      <w:bookmarkStart w:id="25" w:name="_Hlk35777219"/>
      <w:r>
        <w:rPr>
          <w:rFonts w:hint="default" w:ascii="Times New Roman" w:hAnsi="Times New Roman" w:eastAsia="仿宋_GB2312" w:cs="Times New Roman"/>
          <w:sz w:val="32"/>
          <w:szCs w:val="32"/>
        </w:rPr>
        <w:t>常住人口的</w:t>
      </w:r>
      <w:bookmarkEnd w:id="24"/>
      <w:r>
        <w:rPr>
          <w:rFonts w:hint="default" w:ascii="Times New Roman" w:hAnsi="Times New Roman" w:eastAsia="仿宋_GB2312" w:cs="Times New Roman"/>
          <w:sz w:val="32"/>
          <w:szCs w:val="32"/>
        </w:rPr>
        <w:t>出生预期寿命为76.0岁（其中男性74.25岁，女性78.03岁）。</w:t>
      </w:r>
      <w:bookmarkEnd w:id="25"/>
      <w:r>
        <w:rPr>
          <w:rFonts w:hint="default" w:ascii="Times New Roman" w:hAnsi="Times New Roman" w:eastAsia="仿宋_GB2312" w:cs="Times New Roman"/>
          <w:sz w:val="32"/>
          <w:szCs w:val="32"/>
        </w:rPr>
        <w:t>同期昆明市常住人口的出生预期寿命为75.61岁（其中男性73.36岁，女性78.23岁）。表明西山区常住人口的出生预期寿命略高于昆明市同期值（表19）。</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其九、人口受教育水平高于昆明市平均值</w:t>
      </w:r>
      <w:r>
        <w:rPr>
          <w:rFonts w:hint="default" w:ascii="Times New Roman" w:hAnsi="Times New Roman" w:eastAsia="仿宋_GB2312" w:cs="Times New Roman"/>
          <w:sz w:val="32"/>
          <w:szCs w:val="32"/>
        </w:rPr>
        <w:t>。</w:t>
      </w:r>
      <w:bookmarkStart w:id="26" w:name="_Hlk35782253"/>
      <w:r>
        <w:rPr>
          <w:rFonts w:hint="default" w:ascii="Times New Roman" w:hAnsi="Times New Roman" w:eastAsia="仿宋_GB2312" w:cs="Times New Roman"/>
          <w:sz w:val="32"/>
          <w:szCs w:val="32"/>
        </w:rPr>
        <w:t>根据2010年“六普”数据计算，西山区常住人口</w:t>
      </w:r>
      <w:bookmarkEnd w:id="26"/>
      <w:r>
        <w:rPr>
          <w:rFonts w:hint="default" w:ascii="Times New Roman" w:hAnsi="Times New Roman" w:eastAsia="仿宋_GB2312" w:cs="Times New Roman"/>
          <w:sz w:val="32"/>
          <w:szCs w:val="32"/>
        </w:rPr>
        <w:t>中，6岁及以上人口的平均受教育年限为9.93年，比昆明市9.22年的同期值高0.71年。同时西山区15岁及以上人口文盲率为2.14%，比昆明市4.67%的同期值低了一倍多（表11-1）。表明西山区常住人口的受教育程度已经超过昆明市的平均水平。</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其十、少数民族人口占比略高于昆明市平均值，以彝族、白族和回族人口为主</w:t>
      </w:r>
      <w:r>
        <w:rPr>
          <w:rFonts w:hint="default" w:ascii="Times New Roman" w:hAnsi="Times New Roman" w:eastAsia="仿宋_GB2312" w:cs="Times New Roman"/>
          <w:sz w:val="32"/>
          <w:szCs w:val="32"/>
        </w:rPr>
        <w:t>。根据2016年和2018年数据计算，西山区户籍人口以汉族人口为主，2016年占84.12%，2018年略有下降，为83.7%。西山区少数民族人口仅占16%左右，其中人口规模上万人并居于前三位的少数民族分别为彝族（约占6.2%），白族（约占4%）和回族（约占2.9%）。</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其十一、就业人口的产业分布高度趋向二三产业</w:t>
      </w:r>
      <w:r>
        <w:rPr>
          <w:rFonts w:hint="default" w:ascii="Times New Roman" w:hAnsi="Times New Roman" w:eastAsia="仿宋_GB2312" w:cs="Times New Roman"/>
          <w:sz w:val="32"/>
          <w:szCs w:val="32"/>
        </w:rPr>
        <w:t>。据“六普”数据计算，2010年西山区常住人口中16岁及以上就业人口的产业分布明显偏向于二三产业，</w:t>
      </w:r>
      <w:bookmarkStart w:id="27" w:name="_Hlk36124518"/>
      <w:r>
        <w:rPr>
          <w:rFonts w:hint="default" w:ascii="Times New Roman" w:hAnsi="Times New Roman" w:eastAsia="仿宋_GB2312" w:cs="Times New Roman"/>
          <w:sz w:val="32"/>
          <w:szCs w:val="32"/>
        </w:rPr>
        <w:t>一二三产业就业人口构成比为</w:t>
      </w:r>
      <w:bookmarkEnd w:id="27"/>
      <w:r>
        <w:rPr>
          <w:rFonts w:hint="default" w:ascii="Times New Roman" w:hAnsi="Times New Roman" w:eastAsia="仿宋_GB2312" w:cs="Times New Roman"/>
          <w:sz w:val="32"/>
          <w:szCs w:val="32"/>
        </w:rPr>
        <w:t>8.81:25.06:66.14，相较于昆明市同期值（43.91:15.99:40.10），西山区一产从业人口占比显著收缩，二三产业人口占比明显居高（表12-1）。据2018年统计年鉴数据计算，西山区从业人口的产业分布进一步向二三产业聚集，一二三产业就业人口构成比为0.39:27.57:72.05（表12-2）。由此可见，西山区的就业人口已经高度趋向二三产业。</w:t>
      </w:r>
    </w:p>
    <w:p>
      <w:pPr>
        <w:pStyle w:val="3"/>
        <w:bidi w:val="0"/>
        <w:rPr>
          <w:rFonts w:hint="eastAsia" w:ascii="楷体_GB2312" w:hAnsi="楷体_GB2312" w:eastAsia="楷体_GB2312" w:cs="楷体_GB2312"/>
        </w:rPr>
      </w:pPr>
      <w:bookmarkStart w:id="28" w:name="_Toc1728"/>
      <w:bookmarkStart w:id="29" w:name="_Toc8762"/>
      <w:r>
        <w:rPr>
          <w:rFonts w:hint="eastAsia" w:ascii="楷体_GB2312" w:hAnsi="楷体_GB2312" w:eastAsia="楷体_GB2312" w:cs="楷体_GB2312"/>
        </w:rPr>
        <w:t>第二节</w:t>
      </w:r>
      <w:r>
        <w:rPr>
          <w:rFonts w:hint="eastAsia" w:ascii="楷体_GB2312" w:hAnsi="楷体_GB2312" w:eastAsia="楷体_GB2312" w:cs="楷体_GB2312"/>
        </w:rPr>
        <w:tab/>
      </w:r>
      <w:bookmarkStart w:id="30" w:name="_Hlk32132563"/>
      <w:r>
        <w:rPr>
          <w:rFonts w:hint="eastAsia" w:ascii="楷体_GB2312" w:hAnsi="楷体_GB2312" w:eastAsia="楷体_GB2312" w:cs="楷体_GB2312"/>
        </w:rPr>
        <w:t>“十四五”时期人口发展</w:t>
      </w:r>
      <w:bookmarkEnd w:id="30"/>
      <w:r>
        <w:rPr>
          <w:rFonts w:hint="eastAsia" w:ascii="楷体_GB2312" w:hAnsi="楷体_GB2312" w:eastAsia="楷体_GB2312" w:cs="楷体_GB2312"/>
        </w:rPr>
        <w:t>预判</w:t>
      </w:r>
      <w:bookmarkEnd w:id="28"/>
      <w:bookmarkEnd w:id="29"/>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人口发展有自身的特点与规律，既定时空条件下的人口，既源于历史演化的塑造；又成为未来发展的依托。或者说，今天的人口格局是由昨天的人口状况塑造的，同时又框定了明天的人口演化态势。</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通俗讲，“预判”旨在搞清楚两点：一是导向，即未来人口是增加还是减少、扩张还是收缩；二是程度，即未来人口增减的快慢、或涨跌的幅度。</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西山区未来人口发展将取决于自身的历史积累、发展定位及其所处的时空背景。本文基于以往的人口演变状态和未来经济社会发展预期，</w:t>
      </w:r>
      <w:bookmarkStart w:id="31" w:name="_Hlk35694047"/>
      <w:r>
        <w:rPr>
          <w:rFonts w:hint="default" w:ascii="Times New Roman" w:hAnsi="Times New Roman" w:eastAsia="仿宋_GB2312" w:cs="Times New Roman"/>
          <w:sz w:val="32"/>
          <w:szCs w:val="32"/>
        </w:rPr>
        <w:t>预判“十四五”时期</w:t>
      </w:r>
      <w:bookmarkEnd w:id="31"/>
      <w:r>
        <w:rPr>
          <w:rFonts w:hint="default" w:ascii="Times New Roman" w:hAnsi="Times New Roman" w:eastAsia="仿宋_GB2312" w:cs="Times New Roman"/>
          <w:sz w:val="32"/>
          <w:szCs w:val="32"/>
        </w:rPr>
        <w:t>，西山区人口发展有可能呈现如下的走势：</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其一、人口规模继续扩张，但扩张力度将趋于减缓。</w:t>
      </w:r>
      <w:r>
        <w:rPr>
          <w:rFonts w:hint="default" w:ascii="Times New Roman" w:hAnsi="Times New Roman" w:eastAsia="仿宋_GB2312" w:cs="Times New Roman"/>
          <w:sz w:val="32"/>
          <w:szCs w:val="32"/>
        </w:rPr>
        <w:t>鉴于西山区作为昆明城市主城核心区的重要组成部分，其区位优势、发展条件和自身实力都完全有可能促进区域人口的进一步聚集，成为人们想往的发展高地和生活福地。因此预判，西山区人口规模还将继续扩张。另一方面，考虑到全国人口增长率持续减缓的大趋势，未来西山区常住人口扩张力度也将趋于减缓。本文预设，若“十四五”时期西山区年均净增1.5万人口（中方案），则2025年常住人口将达到103.9万（表13）。同时户籍人口占常住人口的比例将上升至80%（表14）。</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其二、人口年龄结构加速“老化”，老年人口抚养比快速上升</w:t>
      </w:r>
      <w:r>
        <w:rPr>
          <w:rFonts w:hint="default" w:ascii="Times New Roman" w:hAnsi="Times New Roman" w:eastAsia="仿宋_GB2312" w:cs="Times New Roman"/>
          <w:sz w:val="32"/>
          <w:szCs w:val="32"/>
        </w:rPr>
        <w:t>。鉴于三孩生育政策全面实施，</w:t>
      </w:r>
      <w:bookmarkStart w:id="32" w:name="_Hlk35696299"/>
      <w:r>
        <w:rPr>
          <w:rFonts w:hint="default" w:ascii="Times New Roman" w:hAnsi="Times New Roman" w:eastAsia="仿宋_GB2312" w:cs="Times New Roman"/>
          <w:sz w:val="32"/>
          <w:szCs w:val="32"/>
        </w:rPr>
        <w:t>在“十四五”时期，0-14岁少儿人口规模变化将趋于相对稳定，其占比</w:t>
      </w:r>
      <w:bookmarkEnd w:id="32"/>
      <w:r>
        <w:rPr>
          <w:rFonts w:hint="default" w:ascii="Times New Roman" w:hAnsi="Times New Roman" w:eastAsia="仿宋_GB2312" w:cs="Times New Roman"/>
          <w:sz w:val="32"/>
          <w:szCs w:val="32"/>
        </w:rPr>
        <w:t>预计将</w:t>
      </w:r>
      <w:bookmarkStart w:id="33" w:name="_Hlk87186563"/>
      <w:r>
        <w:rPr>
          <w:rFonts w:hint="default" w:ascii="Times New Roman" w:hAnsi="Times New Roman" w:eastAsia="仿宋_GB2312" w:cs="Times New Roman"/>
          <w:sz w:val="32"/>
          <w:szCs w:val="32"/>
        </w:rPr>
        <w:t>稳定在14%左右。</w:t>
      </w:r>
      <w:bookmarkEnd w:id="33"/>
      <w:bookmarkStart w:id="34" w:name="_Hlk35696343"/>
      <w:r>
        <w:rPr>
          <w:rFonts w:hint="default" w:ascii="Times New Roman" w:hAnsi="Times New Roman" w:eastAsia="仿宋_GB2312" w:cs="Times New Roman"/>
          <w:sz w:val="32"/>
          <w:szCs w:val="32"/>
        </w:rPr>
        <w:t>与此同时，</w:t>
      </w:r>
      <w:bookmarkStart w:id="35" w:name="_Hlk87359693"/>
      <w:r>
        <w:rPr>
          <w:rFonts w:hint="default" w:ascii="Times New Roman" w:hAnsi="Times New Roman" w:eastAsia="仿宋_GB2312" w:cs="Times New Roman"/>
          <w:sz w:val="32"/>
          <w:szCs w:val="32"/>
        </w:rPr>
        <w:t>由于第二次“生育高峰”人口</w:t>
      </w:r>
      <w:bookmarkEnd w:id="35"/>
      <w:r>
        <w:rPr>
          <w:rFonts w:hint="default" w:ascii="Times New Roman" w:hAnsi="Times New Roman" w:eastAsia="仿宋_GB2312" w:cs="Times New Roman"/>
          <w:sz w:val="32"/>
          <w:szCs w:val="32"/>
        </w:rPr>
        <w:t>陆续进入老年期，西山区常住人口的老龄化程度将持续加深，60岁及以上老年人口规模快速扩张，占比将</w:t>
      </w:r>
      <w:bookmarkEnd w:id="34"/>
      <w:r>
        <w:rPr>
          <w:rFonts w:hint="default" w:ascii="Times New Roman" w:hAnsi="Times New Roman" w:eastAsia="仿宋_GB2312" w:cs="Times New Roman"/>
          <w:sz w:val="32"/>
          <w:szCs w:val="32"/>
        </w:rPr>
        <w:t>升高6个百分点，从2020年的18.97%上升到2025年的24.99%（表15）。相应地，少人人口抚养比将相对稳定，老年人口抚养比将显著上升，预计将从</w:t>
      </w:r>
      <w:bookmarkStart w:id="36" w:name="_Hlk87187156"/>
      <w:r>
        <w:rPr>
          <w:rFonts w:hint="default" w:ascii="Times New Roman" w:hAnsi="Times New Roman" w:eastAsia="仿宋_GB2312" w:cs="Times New Roman"/>
          <w:sz w:val="32"/>
          <w:szCs w:val="32"/>
        </w:rPr>
        <w:t>2020年的</w:t>
      </w:r>
      <w:bookmarkEnd w:id="36"/>
      <w:r>
        <w:rPr>
          <w:rFonts w:hint="default" w:ascii="Times New Roman" w:hAnsi="Times New Roman" w:eastAsia="仿宋_GB2312" w:cs="Times New Roman"/>
          <w:sz w:val="32"/>
          <w:szCs w:val="32"/>
        </w:rPr>
        <w:t>28.25%上升到</w:t>
      </w:r>
      <w:bookmarkStart w:id="37" w:name="_Hlk87187174"/>
      <w:r>
        <w:rPr>
          <w:rFonts w:hint="default" w:ascii="Times New Roman" w:hAnsi="Times New Roman" w:eastAsia="仿宋_GB2312" w:cs="Times New Roman"/>
          <w:sz w:val="32"/>
          <w:szCs w:val="32"/>
        </w:rPr>
        <w:t>2025年的</w:t>
      </w:r>
      <w:bookmarkEnd w:id="37"/>
      <w:r>
        <w:rPr>
          <w:rFonts w:hint="default" w:ascii="Times New Roman" w:hAnsi="Times New Roman" w:eastAsia="仿宋_GB2312" w:cs="Times New Roman"/>
          <w:sz w:val="32"/>
          <w:szCs w:val="32"/>
        </w:rPr>
        <w:t>41.13%。由此带动总人口抚养比明显上升（表16）。</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其三、劳动年龄人口规模和占比都将趋于缩减。</w:t>
      </w:r>
      <w:r>
        <w:rPr>
          <w:rFonts w:hint="default" w:ascii="Times New Roman" w:hAnsi="Times New Roman" w:eastAsia="仿宋_GB2312" w:cs="Times New Roman"/>
          <w:sz w:val="32"/>
          <w:szCs w:val="32"/>
        </w:rPr>
        <w:t>鉴于第二次“生育高峰”劳动年龄人口陆续退休，劳动年龄人口将减少。根据预测，在“十四五”时期，西山区15~59岁</w:t>
      </w:r>
      <w:bookmarkStart w:id="38" w:name="_Hlk87297997"/>
      <w:r>
        <w:rPr>
          <w:rFonts w:hint="default" w:ascii="Times New Roman" w:hAnsi="Times New Roman" w:eastAsia="仿宋_GB2312" w:cs="Times New Roman"/>
          <w:sz w:val="32"/>
          <w:szCs w:val="32"/>
        </w:rPr>
        <w:t>劳动年龄人口</w:t>
      </w:r>
      <w:bookmarkEnd w:id="38"/>
      <w:r>
        <w:rPr>
          <w:rFonts w:hint="default" w:ascii="Times New Roman" w:hAnsi="Times New Roman" w:eastAsia="仿宋_GB2312" w:cs="Times New Roman"/>
          <w:sz w:val="32"/>
          <w:szCs w:val="32"/>
        </w:rPr>
        <w:t>规模将不断减少，按常住人口预测，</w:t>
      </w:r>
      <w:bookmarkStart w:id="39" w:name="_Hlk87360227"/>
      <w:r>
        <w:rPr>
          <w:rFonts w:hint="default" w:ascii="Times New Roman" w:hAnsi="Times New Roman" w:eastAsia="仿宋_GB2312" w:cs="Times New Roman"/>
          <w:sz w:val="32"/>
          <w:szCs w:val="32"/>
        </w:rPr>
        <w:t>劳动年龄人口</w:t>
      </w:r>
      <w:bookmarkEnd w:id="39"/>
      <w:r>
        <w:rPr>
          <w:rFonts w:hint="default" w:ascii="Times New Roman" w:hAnsi="Times New Roman" w:eastAsia="仿宋_GB2312" w:cs="Times New Roman"/>
          <w:sz w:val="32"/>
          <w:szCs w:val="32"/>
        </w:rPr>
        <w:t>将减少近2万人，从64.9万减少到63.1万，占总人口的比例将下降6.4个百分点，从2020年的67.13%下降到2025年的60.75%（表15）。劳动年龄人口的快速缩减将预示着，“十四五”时期西山区人口红利的消退。</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其四、跨区域的人口迁移流动将趋向减缓，区域内部的迁移流动将增强</w:t>
      </w:r>
      <w:r>
        <w:rPr>
          <w:rFonts w:hint="default" w:ascii="Times New Roman" w:hAnsi="Times New Roman" w:eastAsia="仿宋_GB2312" w:cs="Times New Roman"/>
          <w:sz w:val="32"/>
          <w:szCs w:val="32"/>
        </w:rPr>
        <w:t>。鉴于全国人口流动将见顶回落的预判，以及云南人口流动以省内迁流为主导（2020年“七普”时省内流动占78.96%）的情形。本文预判，西山区人口的迁移流动规模将趋于减缓，但区域内各街道办事处之间的迁移流动将会较为活跃（表18）。</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其五、人口城镇化将在全区实现</w:t>
      </w:r>
      <w:r>
        <w:rPr>
          <w:rFonts w:hint="default" w:ascii="Times New Roman" w:hAnsi="Times New Roman" w:eastAsia="仿宋_GB2312" w:cs="Times New Roman"/>
          <w:sz w:val="32"/>
          <w:szCs w:val="32"/>
        </w:rPr>
        <w:t>。伴随城镇化的快速推进，西山区很有可能在“十四五”时期基本实现</w:t>
      </w:r>
      <w:bookmarkStart w:id="40" w:name="_Hlk35701269"/>
      <w:r>
        <w:rPr>
          <w:rFonts w:hint="default" w:ascii="Times New Roman" w:hAnsi="Times New Roman" w:eastAsia="仿宋_GB2312" w:cs="Times New Roman"/>
          <w:sz w:val="32"/>
          <w:szCs w:val="32"/>
        </w:rPr>
        <w:t>全域城镇化</w:t>
      </w:r>
      <w:bookmarkEnd w:id="40"/>
      <w:r>
        <w:rPr>
          <w:rFonts w:hint="default" w:ascii="Times New Roman" w:hAnsi="Times New Roman" w:eastAsia="仿宋_GB2312" w:cs="Times New Roman"/>
          <w:sz w:val="32"/>
          <w:szCs w:val="32"/>
        </w:rPr>
        <w:t>，按常住人口统计，西山区人口城镇化率已经从2010年的“六普”时的90.3%上升到2020年“七普”时的93.0%，按年均0.4个百分点的增速，2025年西山区常住人口城镇化率将达到95%。事实上，除了将</w:t>
      </w:r>
      <w:bookmarkStart w:id="41" w:name="_Hlk87299000"/>
      <w:r>
        <w:rPr>
          <w:rFonts w:hint="default" w:ascii="Times New Roman" w:hAnsi="Times New Roman" w:eastAsia="仿宋_GB2312" w:cs="Times New Roman"/>
          <w:sz w:val="32"/>
          <w:szCs w:val="32"/>
        </w:rPr>
        <w:t>团结、碧鸡和海口三个街道办事处</w:t>
      </w:r>
      <w:bookmarkEnd w:id="41"/>
      <w:r>
        <w:rPr>
          <w:rFonts w:hint="default" w:ascii="Times New Roman" w:hAnsi="Times New Roman" w:eastAsia="仿宋_GB2312" w:cs="Times New Roman"/>
          <w:sz w:val="32"/>
          <w:szCs w:val="32"/>
        </w:rPr>
        <w:t>，其余七个街道办事处都已接近或实现100%的城镇化率，如果“十四五”期间能够促进团结、碧鸡和海口三个街道办事处的乡村户籍人口（2018年约4.4万余人）加速转变为城镇人口，实现西山区人口的全域城镇化应是指日可待。</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其六、人口受教育水平和出生人口平均预期寿命将稳步提高。</w:t>
      </w:r>
      <w:r>
        <w:rPr>
          <w:rFonts w:hint="default" w:ascii="Times New Roman" w:hAnsi="Times New Roman" w:eastAsia="仿宋_GB2312" w:cs="Times New Roman"/>
          <w:sz w:val="32"/>
          <w:szCs w:val="32"/>
        </w:rPr>
        <w:t>如果能够持续保持受教育水平和平均预期寿命两项指标在昆明市平均水平以上，则可预见，在“十四五”末期，西山区常住人口的平均受教育年限有望突破12年，有望实现高中教育的全面普及，与此同时，伴随文盲人口的进一步消减，有望实现15岁及以上人口文盲人口趋于清零的目标。人口预期寿命也将随着生活水平提高而稳步提升。</w:t>
      </w:r>
    </w:p>
    <w:p>
      <w:pPr>
        <w:pStyle w:val="3"/>
        <w:bidi w:val="0"/>
        <w:rPr>
          <w:rFonts w:hint="default"/>
        </w:rPr>
      </w:pPr>
      <w:bookmarkStart w:id="42" w:name="_Toc14624"/>
      <w:bookmarkStart w:id="43" w:name="_Toc8402"/>
      <w:r>
        <w:rPr>
          <w:rFonts w:hint="default"/>
        </w:rPr>
        <w:t>第三节</w:t>
      </w:r>
      <w:r>
        <w:rPr>
          <w:rFonts w:hint="eastAsia"/>
          <w:lang w:val="en-US" w:eastAsia="zh-CN"/>
        </w:rPr>
        <w:t xml:space="preserve"> </w:t>
      </w:r>
      <w:r>
        <w:rPr>
          <w:rFonts w:hint="default"/>
        </w:rPr>
        <w:t>问题与挑战</w:t>
      </w:r>
      <w:bookmarkEnd w:id="42"/>
      <w:bookmarkEnd w:id="43"/>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“十四五”开局将伴随着我国全面建成小康社会而呈现，但面对</w:t>
      </w:r>
      <w:bookmarkStart w:id="44" w:name="_Hlk35868470"/>
      <w:r>
        <w:rPr>
          <w:rFonts w:hint="default" w:ascii="Times New Roman" w:hAnsi="Times New Roman" w:eastAsia="仿宋_GB2312" w:cs="Times New Roman"/>
          <w:sz w:val="32"/>
          <w:szCs w:val="32"/>
        </w:rPr>
        <w:t xml:space="preserve"> “新冠”疫情影响下的社会经济下滑预期，</w:t>
      </w:r>
      <w:bookmarkEnd w:id="44"/>
      <w:r>
        <w:rPr>
          <w:rFonts w:hint="default" w:ascii="Times New Roman" w:hAnsi="Times New Roman" w:eastAsia="仿宋_GB2312" w:cs="Times New Roman"/>
          <w:sz w:val="32"/>
          <w:szCs w:val="32"/>
        </w:rPr>
        <w:t>未来人口将呈现怎样的状态和走势，无不取决于诸多因素的叠加效应或交互博弈。“十四五”时期，西山区的人口发展及其与社会经济的协调关系将面临一系列的问题与挑战。</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其一、育龄妇女人数持续减少，尽管有三孩生育政策助力，但“低生育”惯性将抑制出生人口规模</w:t>
      </w:r>
      <w:r>
        <w:rPr>
          <w:rFonts w:hint="default" w:ascii="Times New Roman" w:hAnsi="Times New Roman" w:eastAsia="仿宋_GB2312" w:cs="Times New Roman"/>
          <w:sz w:val="32"/>
          <w:szCs w:val="32"/>
        </w:rPr>
        <w:t>。基于“六普”数据预测，</w:t>
      </w:r>
      <w:bookmarkStart w:id="45" w:name="_Hlk35963447"/>
      <w:r>
        <w:rPr>
          <w:rFonts w:hint="default" w:ascii="Times New Roman" w:hAnsi="Times New Roman" w:eastAsia="仿宋_GB2312" w:cs="Times New Roman"/>
          <w:sz w:val="32"/>
          <w:szCs w:val="32"/>
        </w:rPr>
        <w:t>2010年西山区育龄妇女人数为23.37万，2020年虽然有可能增加到24.22万，但到2025年将降至22.04万</w:t>
      </w:r>
      <w:bookmarkEnd w:id="45"/>
      <w:r>
        <w:rPr>
          <w:rFonts w:hint="default" w:ascii="Times New Roman" w:hAnsi="Times New Roman" w:eastAsia="仿宋_GB2312" w:cs="Times New Roman"/>
          <w:sz w:val="32"/>
          <w:szCs w:val="32"/>
        </w:rPr>
        <w:t>（表17），五年将减少2.2万。尽管“十三五”以来中国计划生育政策已从“严控”转为“放宽”，但政策实施效果有如昙花一现，2017年以来年出生人口不升反降，中国妇女总和生育率一直徘徊在1.6的水平，距离2.1的生育“更替水平”还有半个孩子的差距。</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2010年“六普”数据显示，西山区妇女总和生育率仅为0.89，低于昆明市</w:t>
      </w:r>
      <w:bookmarkStart w:id="46" w:name="_Hlk35982085"/>
      <w:r>
        <w:rPr>
          <w:rFonts w:hint="default" w:ascii="Times New Roman" w:hAnsi="Times New Roman" w:eastAsia="仿宋_GB2312" w:cs="Times New Roman"/>
          <w:sz w:val="32"/>
          <w:szCs w:val="32"/>
        </w:rPr>
        <w:t>1.06的平均值，</w:t>
      </w:r>
      <w:bookmarkEnd w:id="46"/>
      <w:r>
        <w:rPr>
          <w:rFonts w:hint="default" w:ascii="Times New Roman" w:hAnsi="Times New Roman" w:eastAsia="仿宋_GB2312" w:cs="Times New Roman"/>
          <w:sz w:val="32"/>
          <w:szCs w:val="32"/>
        </w:rPr>
        <w:t>在全市14个市（县区）中，仅比五华区（0.70）和官渡区（0.76）高。2015年正好处在计划生育从“严控”转向“放宽”的节点，育龄妇女的生育率必将有一定程度的提升，本文预测为0.94，由此可使当年出生人数达到7145人</w:t>
      </w:r>
      <w:bookmarkStart w:id="47" w:name="_Hlk36325582"/>
      <w:r>
        <w:rPr>
          <w:rFonts w:hint="default" w:ascii="Times New Roman" w:hAnsi="Times New Roman" w:eastAsia="仿宋_GB2312" w:cs="Times New Roman"/>
          <w:sz w:val="32"/>
          <w:szCs w:val="32"/>
        </w:rPr>
        <w:t>。“十三五”时期，正是“全面二孩”政策效应的集中释放期，将形成一个出生小高峰，峰值生育率在2018年前后有可能上冲至1.5。之后生育率将冲高回落。据此本文将2020年西山区妇女总和生育率预设在1.21的水平，在</w:t>
      </w:r>
      <w:bookmarkStart w:id="48" w:name="_Hlk36135656"/>
      <w:r>
        <w:rPr>
          <w:rFonts w:hint="default" w:ascii="Times New Roman" w:hAnsi="Times New Roman" w:eastAsia="仿宋_GB2312" w:cs="Times New Roman"/>
          <w:sz w:val="32"/>
          <w:szCs w:val="32"/>
        </w:rPr>
        <w:t>育龄妇女人数有所增加的情形下，</w:t>
      </w:r>
      <w:bookmarkEnd w:id="48"/>
      <w:bookmarkStart w:id="49" w:name="_Hlk35793003"/>
      <w:r>
        <w:rPr>
          <w:rFonts w:hint="default" w:ascii="Times New Roman" w:hAnsi="Times New Roman" w:eastAsia="仿宋_GB2312" w:cs="Times New Roman"/>
          <w:sz w:val="32"/>
          <w:szCs w:val="32"/>
        </w:rPr>
        <w:t>西山区新出生人口将达到8650人；进入“十四五”，尽管国家积极实施三孩生育政策，但“低生育”惯性难以改变，“十四五”时期若</w:t>
      </w:r>
      <w:bookmarkEnd w:id="49"/>
      <w:r>
        <w:rPr>
          <w:rFonts w:hint="default" w:ascii="Times New Roman" w:hAnsi="Times New Roman" w:eastAsia="仿宋_GB2312" w:cs="Times New Roman"/>
          <w:sz w:val="32"/>
          <w:szCs w:val="32"/>
        </w:rPr>
        <w:t>能够维持1.20的水平并一直延续，那么，尽管育龄妇女人数减少，我们预期2025年西山区新出生人口能接近6800人（表17）。诚</w:t>
      </w:r>
      <w:bookmarkEnd w:id="47"/>
      <w:r>
        <w:rPr>
          <w:rFonts w:hint="default" w:ascii="Times New Roman" w:hAnsi="Times New Roman" w:eastAsia="仿宋_GB2312" w:cs="Times New Roman"/>
          <w:sz w:val="32"/>
          <w:szCs w:val="32"/>
        </w:rPr>
        <w:t>然，在城镇化和现代化持续推进，经济下行压力加大的背景下，西山区要保持1.2的低生育率水平，也将并非易事。</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其二、区域人口的迁移流动凸显“内卷化”特征</w:t>
      </w:r>
      <w:r>
        <w:rPr>
          <w:rFonts w:hint="default" w:ascii="Times New Roman" w:hAnsi="Times New Roman" w:eastAsia="仿宋_GB2312" w:cs="Times New Roman"/>
          <w:sz w:val="32"/>
          <w:szCs w:val="32"/>
        </w:rPr>
        <w:t>。尽管在过去几年中，西山区的户籍迁入人口大于迁出人口，2018年净迁移人口达到9461人的峰值，并带动跨省净迁移人口增幅大于省内净迁移，但并没有改变西山区人口迁移以省内迁移为主导的格局。进一步观察发现，在</w:t>
      </w:r>
      <w:bookmarkStart w:id="50" w:name="_Hlk36153812"/>
      <w:r>
        <w:rPr>
          <w:rFonts w:hint="default" w:ascii="Times New Roman" w:hAnsi="Times New Roman" w:eastAsia="仿宋_GB2312" w:cs="Times New Roman"/>
          <w:sz w:val="32"/>
          <w:szCs w:val="32"/>
        </w:rPr>
        <w:t>2018年西山区乡城人口转移中，按“农业转移人口落户城镇”统计，来自本市本区（市、县）的人口占84.45%，来自本省其他地州和外省的人口仅占8.45%和7.1%（表18），与2016年三类转移人口占比基本相当的格局比较，表明西山区的人口迁移在空间格局上趋于“内卷化”。</w:t>
      </w:r>
      <w:bookmarkEnd w:id="50"/>
      <w:r>
        <w:rPr>
          <w:rFonts w:hint="default" w:ascii="Times New Roman" w:hAnsi="Times New Roman" w:eastAsia="仿宋_GB2312" w:cs="Times New Roman"/>
          <w:sz w:val="32"/>
          <w:szCs w:val="32"/>
        </w:rPr>
        <w:t>若要在“十四五”时期使净迁移人口保持在8000人的规模，西山区需要进一步放开落户限制，提升本区域人居品质，夯实产业基础，改善营商环境，为省内外人口迁入西山区提供有利条件。然而，在全国各城市“抢人”大战方兴未艾的情形下，西山区要想吸引预期的迁移人口并非易事。</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其三、人口老龄化的持续加深将带来沉重的养老负担，加速人口红利的消退</w:t>
      </w:r>
      <w:r>
        <w:rPr>
          <w:rFonts w:hint="default" w:ascii="Times New Roman" w:hAnsi="Times New Roman" w:eastAsia="仿宋_GB2312" w:cs="Times New Roman"/>
          <w:sz w:val="32"/>
          <w:szCs w:val="32"/>
        </w:rPr>
        <w:t>。“十四五”期间，西山区人口年龄结构的“老龄化”程度将进一步加深，而生育政策放宽带来的增人效应并不能有效缓解老龄化的持续加深，反而从少儿抚养人口角度挤压着劳动年龄人口占比，使得劳动年龄人口占比不断缩减，以常住人口数据预测，15~59岁劳动年龄人口占比将从2020年的67.13%下降到2025年的60.75%，同期60岁及以上老年人口占比将从18.97%上升到24.99%（表15）；总人口抚养比将从48.86%上升到64.61%（表16）。人口年龄结构的这种变化，注定将加速西山区人口红利的消退，影响区域劳动力供给和人口创新活力，同时加重社会保障和公共服务压力。</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其四、人口城镇化的空间偏向将进一步加剧区域人口分布的失衡状态</w:t>
      </w:r>
      <w:r>
        <w:rPr>
          <w:rFonts w:hint="default" w:ascii="Times New Roman" w:hAnsi="Times New Roman" w:eastAsia="仿宋_GB2312" w:cs="Times New Roman"/>
          <w:sz w:val="32"/>
          <w:szCs w:val="32"/>
        </w:rPr>
        <w:t>。西山区人口的空间分布可划分三个层级，</w:t>
      </w:r>
      <w:bookmarkStart w:id="51" w:name="_Hlk35867263"/>
      <w:r>
        <w:rPr>
          <w:rFonts w:hint="default" w:ascii="Times New Roman" w:hAnsi="Times New Roman" w:eastAsia="仿宋_GB2312" w:cs="Times New Roman"/>
          <w:sz w:val="32"/>
          <w:szCs w:val="32"/>
        </w:rPr>
        <w:t>一是地广人稀的</w:t>
      </w:r>
      <w:bookmarkEnd w:id="51"/>
      <w:bookmarkStart w:id="52" w:name="_Hlk35867081"/>
      <w:r>
        <w:rPr>
          <w:rFonts w:hint="default" w:ascii="Times New Roman" w:hAnsi="Times New Roman" w:eastAsia="仿宋_GB2312" w:cs="Times New Roman"/>
          <w:sz w:val="32"/>
          <w:szCs w:val="32"/>
        </w:rPr>
        <w:t>远郊乡镇</w:t>
      </w:r>
      <w:bookmarkEnd w:id="52"/>
      <w:r>
        <w:rPr>
          <w:rFonts w:hint="default" w:ascii="Times New Roman" w:hAnsi="Times New Roman" w:eastAsia="仿宋_GB2312" w:cs="Times New Roman"/>
          <w:sz w:val="32"/>
          <w:szCs w:val="32"/>
        </w:rPr>
        <w:t>，包括西北部的团结、西边的碧鸡和西南端的海口3个街道办事处，2018年户籍人口12.4万，占全区人口22.25%；</w:t>
      </w:r>
      <w:bookmarkStart w:id="53" w:name="_Hlk35867203"/>
      <w:r>
        <w:rPr>
          <w:rFonts w:hint="default" w:ascii="Times New Roman" w:hAnsi="Times New Roman" w:eastAsia="仿宋_GB2312" w:cs="Times New Roman"/>
          <w:sz w:val="32"/>
          <w:szCs w:val="32"/>
        </w:rPr>
        <w:t>二是城乡混合的市郊区</w:t>
      </w:r>
      <w:bookmarkEnd w:id="53"/>
      <w:r>
        <w:rPr>
          <w:rFonts w:hint="default" w:ascii="Times New Roman" w:hAnsi="Times New Roman" w:eastAsia="仿宋_GB2312" w:cs="Times New Roman"/>
          <w:sz w:val="32"/>
          <w:szCs w:val="32"/>
        </w:rPr>
        <w:t>，包括马街、福海和前卫3个街道办事处，2018年户籍人口21.3万，占38.08%；三是人口高度聚集的城市核心区，即簇拥于东边的金碧、永昌、棕树营、西苑4个街道办事处，虽然区域面积狭小，却是典型的城市区，属于昆明市主城核心区的重要组成部分，2018年户籍人口22.1万，占39.67%（表10和图3）。随着区域内外经济发展不平衡的持续，以及产业布局的重构，三个层级之间的人口分布状况有可能进一步强化，即城市核心区将继续保持人口聚集引力，城乡混合的市郊区有可能成为新的人口聚集高地，而远郊乡镇有可能因人口流出而更加地广人稀。三个层级的人口分布将从</w:t>
      </w:r>
      <w:bookmarkStart w:id="54" w:name="_Hlk45365844"/>
      <w:r>
        <w:rPr>
          <w:rFonts w:hint="default" w:ascii="Times New Roman" w:hAnsi="Times New Roman" w:eastAsia="仿宋_GB2312" w:cs="Times New Roman"/>
          <w:sz w:val="32"/>
          <w:szCs w:val="32"/>
        </w:rPr>
        <w:t>2:4:4</w:t>
      </w:r>
      <w:bookmarkEnd w:id="54"/>
      <w:r>
        <w:rPr>
          <w:rFonts w:hint="default" w:ascii="Times New Roman" w:hAnsi="Times New Roman" w:eastAsia="仿宋_GB2312" w:cs="Times New Roman"/>
          <w:sz w:val="32"/>
          <w:szCs w:val="32"/>
        </w:rPr>
        <w:t>格局趋向1:5:4。基于此，如果能够因势利导，把握节奏，这种人口分布的空间不平衡将会转化为顺应经济社会发展的一种人口经济再平衡取向，有助于区域人口与经济的优化配置与协调发展。</w:t>
      </w:r>
    </w:p>
    <w:p>
      <w:pPr>
        <w:pStyle w:val="2"/>
        <w:numPr>
          <w:ilvl w:val="0"/>
          <w:numId w:val="1"/>
        </w:numPr>
        <w:bidi w:val="0"/>
        <w:rPr>
          <w:rFonts w:hint="default"/>
        </w:rPr>
      </w:pPr>
      <w:bookmarkStart w:id="55" w:name="_Toc24921"/>
      <w:bookmarkStart w:id="56" w:name="_Toc10966"/>
      <w:r>
        <w:rPr>
          <w:rFonts w:hint="default"/>
        </w:rPr>
        <w:t>规划思路</w:t>
      </w:r>
      <w:bookmarkEnd w:id="55"/>
      <w:bookmarkEnd w:id="56"/>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bookmarkStart w:id="57" w:name="_Hlk40042078"/>
      <w:r>
        <w:rPr>
          <w:rFonts w:hint="default" w:ascii="Times New Roman" w:hAnsi="Times New Roman" w:eastAsia="仿宋_GB2312" w:cs="Times New Roman"/>
          <w:sz w:val="32"/>
          <w:szCs w:val="32"/>
        </w:rPr>
        <w:t>从“十三五”到“十四五”，是我国全面建成小康社会的决胜期，亦是中国民族“两个一百年”奋斗目标的历史交汇期。面对当代中国人口与经济发展的“新常态”，以及复杂多变的全球局势，我们必须从战略高度充分认识人口发展的自身规律与区域效应，加强统筹谋划，把握未来人口走势，为经济社会的协调发展创造</w:t>
      </w:r>
      <w:bookmarkStart w:id="58" w:name="_Hlk35870732"/>
      <w:r>
        <w:rPr>
          <w:rFonts w:hint="default" w:ascii="Times New Roman" w:hAnsi="Times New Roman" w:eastAsia="仿宋_GB2312" w:cs="Times New Roman"/>
          <w:sz w:val="32"/>
          <w:szCs w:val="32"/>
        </w:rPr>
        <w:t>尽可能有利的人口条件。</w:t>
      </w:r>
      <w:bookmarkEnd w:id="57"/>
      <w:bookmarkEnd w:id="58"/>
      <w:bookmarkStart w:id="59" w:name="_Hlk35872983"/>
    </w:p>
    <w:p>
      <w:pPr>
        <w:pStyle w:val="3"/>
        <w:bidi w:val="0"/>
        <w:rPr>
          <w:rFonts w:hint="default"/>
        </w:rPr>
      </w:pPr>
      <w:bookmarkStart w:id="60" w:name="_Toc32149"/>
      <w:bookmarkStart w:id="61" w:name="_Toc21142"/>
      <w:r>
        <w:rPr>
          <w:rFonts w:hint="default"/>
        </w:rPr>
        <w:t>第一节</w:t>
      </w:r>
      <w:r>
        <w:rPr>
          <w:rFonts w:hint="eastAsia"/>
          <w:lang w:val="en-US" w:eastAsia="zh-CN"/>
        </w:rPr>
        <w:t xml:space="preserve"> </w:t>
      </w:r>
      <w:r>
        <w:rPr>
          <w:rFonts w:hint="default"/>
        </w:rPr>
        <w:t>指导思想</w:t>
      </w:r>
      <w:bookmarkEnd w:id="60"/>
      <w:bookmarkEnd w:id="61"/>
    </w:p>
    <w:bookmarkEnd w:id="59"/>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做好人口发展专项规划，必须贯彻党的“十九届四中全会”精神，加强人口发展战略研究，充分认识</w:t>
      </w:r>
      <w:r>
        <w:rPr>
          <w:rFonts w:hint="default" w:ascii="Times New Roman" w:hAnsi="Times New Roman" w:eastAsia="仿宋_GB2312" w:cs="Times New Roman"/>
          <w:color w:val="333333"/>
          <w:sz w:val="32"/>
          <w:szCs w:val="32"/>
          <w:shd w:val="clear" w:color="auto" w:fill="FFFFFF"/>
        </w:rPr>
        <w:t>人口在社会经济发展中的基础性、全局性和战略性作用，以科学发展观为指导，统筹兼顾、顺应时局，为西山区打造“昆明中枢门户活力区，山水都市品质区，科创文创绿创融合发展区”奠定基础，努力为“十四五”时期西山区国民经济的持续发展和人民生活的幸福安康谋划一份新的人口发展蓝图</w:t>
      </w:r>
      <w:r>
        <w:rPr>
          <w:rFonts w:hint="default" w:ascii="Times New Roman" w:hAnsi="Times New Roman" w:eastAsia="仿宋_GB2312" w:cs="Times New Roman"/>
          <w:sz w:val="32"/>
          <w:szCs w:val="32"/>
        </w:rPr>
        <w:t>。为此，在指导思想上应遵循如下原则：</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确立人口安全观，尊重人口自身发展规律，努力谋求人口数量、人口结构、人口素质、人口流动与人口分布等各要素的统筹兼顾。加强风险防控，创新体制机制，积极应对当代“低生育”与“老龄化”态势下的人口风险。</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二、遵循人口与经济社会协调发展的原则，在</w:t>
      </w:r>
      <w:bookmarkStart w:id="62" w:name="_Hlk35871452"/>
      <w:r>
        <w:rPr>
          <w:rFonts w:hint="default" w:ascii="Times New Roman" w:hAnsi="Times New Roman" w:eastAsia="仿宋_GB2312" w:cs="Times New Roman"/>
          <w:sz w:val="32"/>
          <w:szCs w:val="32"/>
        </w:rPr>
        <w:t>尊重人口发展规律</w:t>
      </w:r>
      <w:bookmarkEnd w:id="62"/>
      <w:r>
        <w:rPr>
          <w:rFonts w:hint="default" w:ascii="Times New Roman" w:hAnsi="Times New Roman" w:eastAsia="仿宋_GB2312" w:cs="Times New Roman"/>
          <w:sz w:val="32"/>
          <w:szCs w:val="32"/>
        </w:rPr>
        <w:t>的基础上，充分发挥市场在资源配置中的决定性作用，和对人口的调控作用，平衡人口与经济社会的协同关系，促进人口与经济社会的可持续发展。</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三、遵循人口与资源和环境</w:t>
      </w:r>
      <w:bookmarkStart w:id="63" w:name="_Hlk36212290"/>
      <w:r>
        <w:rPr>
          <w:rFonts w:hint="default" w:ascii="Times New Roman" w:hAnsi="Times New Roman" w:eastAsia="仿宋_GB2312" w:cs="Times New Roman"/>
          <w:sz w:val="32"/>
          <w:szCs w:val="32"/>
        </w:rPr>
        <w:t>互助共赢</w:t>
      </w:r>
      <w:bookmarkEnd w:id="63"/>
      <w:r>
        <w:rPr>
          <w:rFonts w:hint="default" w:ascii="Times New Roman" w:hAnsi="Times New Roman" w:eastAsia="仿宋_GB2312" w:cs="Times New Roman"/>
          <w:sz w:val="32"/>
          <w:szCs w:val="32"/>
        </w:rPr>
        <w:t>的原则，把人口、资源、环境放在同一个发展框架内，积极构建资源节约型、环境友好型和人口均衡型“三型社会”。开创人口与资源环境的互助共赢局面。</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四、坚持“以人为本”的发展原则，破解阻碍人口发展的传统体制机制，大胆改革创新，建立面向全体人口、覆盖全生命周期的人口政策体系，消除传统户籍制度束缚，实现区域常住人口的平等发展与成果共享。</w:t>
      </w:r>
    </w:p>
    <w:p>
      <w:pPr>
        <w:pStyle w:val="3"/>
        <w:bidi w:val="0"/>
        <w:rPr>
          <w:rFonts w:hint="default"/>
        </w:rPr>
      </w:pPr>
      <w:bookmarkStart w:id="64" w:name="_Toc17506"/>
      <w:bookmarkStart w:id="65" w:name="_Toc12631"/>
      <w:r>
        <w:rPr>
          <w:rFonts w:hint="default"/>
        </w:rPr>
        <w:t>第二节</w:t>
      </w:r>
      <w:r>
        <w:rPr>
          <w:rFonts w:hint="eastAsia"/>
          <w:lang w:val="en-US" w:eastAsia="zh-CN"/>
        </w:rPr>
        <w:t xml:space="preserve"> </w:t>
      </w:r>
      <w:r>
        <w:rPr>
          <w:rFonts w:hint="default"/>
        </w:rPr>
        <w:t>发展导向</w:t>
      </w:r>
      <w:bookmarkEnd w:id="64"/>
      <w:bookmarkEnd w:id="65"/>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bookmarkStart w:id="66" w:name="_Hlk40041825"/>
      <w:r>
        <w:rPr>
          <w:rFonts w:hint="default" w:ascii="Times New Roman" w:hAnsi="Times New Roman" w:eastAsia="仿宋_GB2312" w:cs="Times New Roman"/>
          <w:sz w:val="32"/>
          <w:szCs w:val="32"/>
        </w:rPr>
        <w:t>开展西山区“十四五”人口发展规划，旨在科学预判和适时把握2021-2025年西山区人口发展变化态势，为区域经济社会发展提供有利的人口条件。</w:t>
      </w:r>
      <w:bookmarkEnd w:id="66"/>
      <w:r>
        <w:rPr>
          <w:rFonts w:hint="default" w:ascii="Times New Roman" w:hAnsi="Times New Roman" w:eastAsia="仿宋_GB2312" w:cs="Times New Roman"/>
          <w:sz w:val="32"/>
          <w:szCs w:val="32"/>
        </w:rPr>
        <w:t>为此，做好人口规划，必须目标明确、统筹兼顾、因势利导、权衡利弊，有重点、有取舍地进行。</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其一、促进人口规模与年龄结构的良性互动</w:t>
      </w:r>
      <w:r>
        <w:rPr>
          <w:rFonts w:hint="default" w:ascii="Times New Roman" w:hAnsi="Times New Roman" w:eastAsia="仿宋_GB2312" w:cs="Times New Roman"/>
          <w:sz w:val="32"/>
          <w:szCs w:val="32"/>
        </w:rPr>
        <w:t>。长期以来，中国在有效控制人口数量增长的同时，导致了人口年龄结构老龄化的加速呈现。如今政策从“严控”转向“放宽”。在少子老龄化的情形下，人口规模扩张将有助于人口年龄结构的改善，而且人口规模扩张越快，预示着新增人口越多，人口老龄化进程越慢，这种“扩规模”与“调结构”的辩证关系，既能够为经济社会增加新的劳动力储备，又有助于抑制老龄化进程，实为一举两得。鉴于此，本规划的一个基本取向就是要在“十四五”期间倡导西山区妇女生育率的相对稳定、促进区域人口规模的适度扩张、缓解人口老龄化进程。</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其二、引导人口与经济社会的协同共进</w:t>
      </w:r>
      <w:r>
        <w:rPr>
          <w:rFonts w:hint="default" w:ascii="Times New Roman" w:hAnsi="Times New Roman" w:eastAsia="仿宋_GB2312" w:cs="Times New Roman"/>
          <w:sz w:val="32"/>
          <w:szCs w:val="32"/>
        </w:rPr>
        <w:t>。在开放的市场经济环境中，人口作为一种能动的生产要素，理应遵从市场规律，顺应市场对资源配置所具有的决定性作用。据此，人口的空间集聚将随产业的区域布局而联动，尤其是二三产业的发展更成为吸引劳动力跟进的主导。因此，在观察人口经济关系时，人口的多少是相对于产业的大小或经济的强弱而存在，如果片面强调人口的分母效应而一味控制人口，就不能理解人口集聚与经济聚集之间应有的内在协同关系。事实上，人口空间分布的不平衡正是产业区域发展的不平衡所导致的，人口流动就是顺应经济社会发展的体现。“十三五”以来，西山区的经济开发和产业投资多集中在城郊结合部和城市核心区，因此引导乡城人口的区域转移就是合乎市场规律的选择。</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其三、兼顾区域内外人口发展的相对合理</w:t>
      </w:r>
      <w:r>
        <w:rPr>
          <w:rFonts w:hint="default" w:ascii="Times New Roman" w:hAnsi="Times New Roman" w:eastAsia="仿宋_GB2312" w:cs="Times New Roman"/>
          <w:sz w:val="32"/>
          <w:szCs w:val="32"/>
        </w:rPr>
        <w:t>。西山区的发展与昆明市的发展紧密相关。国家对昆明城市发展的最新定位是“一带一路”建设重要节点城市；区域性国际中心城市。2019年，昆明以6475亿元的生产总值跃居全国城市第12位，当代昆明已跻身全国500万人的特大城市行列，国家对昆明的投入也在不断加大，未来昆明必将进一步做大做强。西山区政府也在《昆明市西山区发展战略规划——打造更具活力的区域性国际中心城市中枢门户区（2020—2030）》报告中表明了推动西山区经济社会高质量发展的目标。为此，西山区人口的持续增长将是必然的。但作为昆明市14个市（县、区）行政辖区之一，西山区的人口不可能仅在区域内部封闭运转，自我发展，一方面必须与昆明市人口发展的整体状况相协同，另一方面又应该紧跟五华、盘龙和官渡等先进区域（图5和图6），立足自我，借力周边，应是我们考量“十四五”时期西山区人口发展指标是否合理的一个重要参照。</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其四、注重人口与资源环境的不断优化</w:t>
      </w:r>
      <w:r>
        <w:rPr>
          <w:rFonts w:hint="default" w:ascii="Times New Roman" w:hAnsi="Times New Roman" w:eastAsia="仿宋_GB2312" w:cs="Times New Roman"/>
          <w:sz w:val="32"/>
          <w:szCs w:val="32"/>
        </w:rPr>
        <w:t>。人口是影响资源利用和环境保护的重要因素。根据国家关于“主体功能区”的划分标准和开发要求，要坚持差别化的人口聚集政策，引导人口向优化开发区和重点开发区聚集，支持鼓励限制开发区和禁止开发区的人口自愿迁出，加大城乡环境治理与保护力度，倡导绿色发展方式和健康生活方式，增强区域人口承载能力。为此，西山区需要紧扣昆明市发展的大环境，整体评估自身的区域发展条件，细化片区人口分布，根据三个层级的区域条件和功能来优化人口与资源环境的关系。</w:t>
      </w:r>
    </w:p>
    <w:p>
      <w:pPr>
        <w:pStyle w:val="3"/>
        <w:bidi w:val="0"/>
        <w:rPr>
          <w:rFonts w:hint="default"/>
        </w:rPr>
      </w:pPr>
      <w:bookmarkStart w:id="67" w:name="_Toc26394"/>
      <w:bookmarkStart w:id="68" w:name="_Toc17544"/>
      <w:r>
        <w:rPr>
          <w:rFonts w:hint="default"/>
        </w:rPr>
        <w:t>第三节</w:t>
      </w:r>
      <w:r>
        <w:rPr>
          <w:rFonts w:hint="eastAsia"/>
          <w:lang w:val="en-US" w:eastAsia="zh-CN"/>
        </w:rPr>
        <w:t xml:space="preserve"> </w:t>
      </w:r>
      <w:r>
        <w:rPr>
          <w:rFonts w:hint="default"/>
        </w:rPr>
        <w:t>主要目标</w:t>
      </w:r>
      <w:bookmarkEnd w:id="67"/>
      <w:bookmarkEnd w:id="68"/>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bookmarkStart w:id="69" w:name="_Hlk35875108"/>
      <w:r>
        <w:rPr>
          <w:rFonts w:hint="default" w:ascii="Times New Roman" w:hAnsi="Times New Roman" w:eastAsia="仿宋_GB2312" w:cs="Times New Roman"/>
          <w:sz w:val="32"/>
          <w:szCs w:val="32"/>
        </w:rPr>
        <w:t>基于上述的综合研判，我们期望，“十四五”时期（2021年~2025年）西山区的人口发展将尽可能按如下五个方面12个预设指标呈现。</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bookmarkStart w:id="70" w:name="_Hlk40042892"/>
      <w:bookmarkStart w:id="71" w:name="_Hlk87313995"/>
      <w:r>
        <w:rPr>
          <w:rFonts w:hint="default" w:ascii="Times New Roman" w:hAnsi="Times New Roman" w:eastAsia="仿宋_GB2312" w:cs="Times New Roman"/>
          <w:b/>
          <w:bCs/>
          <w:sz w:val="32"/>
          <w:szCs w:val="32"/>
        </w:rPr>
        <w:t>一、人口总量</w:t>
      </w:r>
      <w:r>
        <w:rPr>
          <w:rFonts w:hint="default" w:ascii="Times New Roman" w:hAnsi="Times New Roman" w:eastAsia="仿宋_GB2312" w:cs="Times New Roman"/>
          <w:sz w:val="32"/>
          <w:szCs w:val="32"/>
        </w:rPr>
        <w:t>：</w:t>
      </w:r>
      <w:bookmarkStart w:id="72" w:name="_Hlk39919135"/>
      <w:r>
        <w:rPr>
          <w:rFonts w:hint="default" w:ascii="Times New Roman" w:hAnsi="Times New Roman" w:eastAsia="仿宋_GB2312" w:cs="Times New Roman"/>
          <w:sz w:val="32"/>
          <w:szCs w:val="32"/>
        </w:rPr>
        <w:t>按中方案预测</w:t>
      </w:r>
      <w:bookmarkEnd w:id="72"/>
      <w:r>
        <w:rPr>
          <w:rFonts w:hint="default" w:ascii="Times New Roman" w:hAnsi="Times New Roman" w:eastAsia="仿宋_GB2312" w:cs="Times New Roman"/>
          <w:sz w:val="32"/>
          <w:szCs w:val="32"/>
        </w:rPr>
        <w:t>，“十四五”时期</w:t>
      </w:r>
      <w:bookmarkStart w:id="73" w:name="_Hlk40127391"/>
      <w:r>
        <w:rPr>
          <w:rFonts w:hint="default" w:ascii="Times New Roman" w:hAnsi="Times New Roman" w:eastAsia="仿宋_GB2312" w:cs="Times New Roman"/>
          <w:sz w:val="32"/>
          <w:szCs w:val="32"/>
        </w:rPr>
        <w:t>常住人口将从97.9万上升到103.9万，年均净增1.5万，同期户籍人口将从58.8万升至83.1万。</w:t>
      </w:r>
      <w:bookmarkEnd w:id="73"/>
      <w:r>
        <w:rPr>
          <w:rFonts w:hint="default" w:ascii="Times New Roman" w:hAnsi="Times New Roman" w:eastAsia="仿宋_GB2312" w:cs="Times New Roman"/>
          <w:sz w:val="32"/>
          <w:szCs w:val="32"/>
        </w:rPr>
        <w:t>总和生育率将稳定在1.21~1.20的水平。自然增长率预设为7‰~8</w:t>
      </w:r>
      <w:bookmarkStart w:id="74" w:name="_Hlk87312704"/>
      <w:r>
        <w:rPr>
          <w:rFonts w:hint="default" w:ascii="Times New Roman" w:hAnsi="Times New Roman" w:eastAsia="仿宋_GB2312" w:cs="Times New Roman"/>
          <w:sz w:val="32"/>
          <w:szCs w:val="32"/>
        </w:rPr>
        <w:t>‰</w:t>
      </w:r>
      <w:bookmarkEnd w:id="74"/>
      <w:r>
        <w:rPr>
          <w:rFonts w:hint="default" w:ascii="Times New Roman" w:hAnsi="Times New Roman" w:eastAsia="仿宋_GB2312" w:cs="Times New Roman"/>
          <w:sz w:val="32"/>
          <w:szCs w:val="32"/>
        </w:rPr>
        <w:t>。</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二、人口结构</w:t>
      </w:r>
      <w:r>
        <w:rPr>
          <w:rFonts w:hint="default" w:ascii="Times New Roman" w:hAnsi="Times New Roman" w:eastAsia="仿宋_GB2312" w:cs="Times New Roman"/>
          <w:sz w:val="32"/>
          <w:szCs w:val="32"/>
        </w:rPr>
        <w:t>：出生人口性别比将保持在105~107的正常值。60岁及以上老年人口占比将尽可能控制在25%以下。</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三、人口素质</w:t>
      </w:r>
      <w:r>
        <w:rPr>
          <w:rFonts w:hint="default" w:ascii="Times New Roman" w:hAnsi="Times New Roman" w:eastAsia="仿宋_GB2312" w:cs="Times New Roman"/>
          <w:sz w:val="32"/>
          <w:szCs w:val="32"/>
        </w:rPr>
        <w:t>：出生人口平均预期寿命将在2010年76岁的基础上，按年均提升0.2岁推算，“十四五”时期达到78.2岁~79.2岁。6岁及以上人口平均受教育年限将上升到11年~12年。预示着“十四五”末期，西山区将实现高中教育的普及。</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四、人口分布</w:t>
      </w:r>
      <w:r>
        <w:rPr>
          <w:rFonts w:hint="default" w:ascii="Times New Roman" w:hAnsi="Times New Roman" w:eastAsia="仿宋_GB2312" w:cs="Times New Roman"/>
          <w:sz w:val="32"/>
          <w:szCs w:val="32"/>
        </w:rPr>
        <w:t>：常住人口城镇化率将在2020年“七普”时93%的基础上进一步提升，按年均上升0.4个百分点，2025年将达到95%，迈向全域城镇化。全区10个街道办事处按远郊区、</w:t>
      </w:r>
      <w:bookmarkStart w:id="75" w:name="_Hlk35957454"/>
      <w:r>
        <w:rPr>
          <w:rFonts w:hint="default" w:ascii="Times New Roman" w:hAnsi="Times New Roman" w:eastAsia="仿宋_GB2312" w:cs="Times New Roman"/>
          <w:sz w:val="32"/>
          <w:szCs w:val="32"/>
        </w:rPr>
        <w:t>城郊结合部和城市核心区</w:t>
      </w:r>
      <w:bookmarkEnd w:id="75"/>
      <w:r>
        <w:rPr>
          <w:rFonts w:hint="default" w:ascii="Times New Roman" w:hAnsi="Times New Roman" w:eastAsia="仿宋_GB2312" w:cs="Times New Roman"/>
          <w:sz w:val="32"/>
          <w:szCs w:val="32"/>
        </w:rPr>
        <w:t>三个层级划分的人口分布将有可能从</w:t>
      </w:r>
      <w:bookmarkStart w:id="76" w:name="_Hlk45365971"/>
      <w:r>
        <w:rPr>
          <w:rFonts w:hint="default" w:ascii="Times New Roman" w:hAnsi="Times New Roman" w:eastAsia="仿宋_GB2312" w:cs="Times New Roman"/>
          <w:sz w:val="32"/>
          <w:szCs w:val="32"/>
        </w:rPr>
        <w:t>2:4:4</w:t>
      </w:r>
      <w:bookmarkEnd w:id="76"/>
      <w:r>
        <w:rPr>
          <w:rFonts w:hint="default" w:ascii="Times New Roman" w:hAnsi="Times New Roman" w:eastAsia="仿宋_GB2312" w:cs="Times New Roman"/>
          <w:sz w:val="32"/>
          <w:szCs w:val="32"/>
        </w:rPr>
        <w:t>转变为1:5:4的格局。</w:t>
      </w:r>
    </w:p>
    <w:p>
      <w:pPr>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五、人口迁流</w:t>
      </w:r>
      <w:r>
        <w:rPr>
          <w:rFonts w:hint="default" w:ascii="Times New Roman" w:hAnsi="Times New Roman" w:eastAsia="仿宋_GB2312" w:cs="Times New Roman"/>
          <w:sz w:val="32"/>
          <w:szCs w:val="32"/>
        </w:rPr>
        <w:t>：根据中方案预测，“十四五”时期，西山区年均自然增长人口不足7000人，若要实现年均净增15000万的“中方案”目标，净迁入人口就需要保持8000人左右。流动人口（非户籍人口）占比将逐渐缩减，从2019年的29%下降到2025年的20%。</w:t>
      </w:r>
      <w:bookmarkEnd w:id="70"/>
    </w:p>
    <w:bookmarkEnd w:id="69"/>
    <w:bookmarkEnd w:id="71"/>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“十四五”时期西山区人口发展主要指标预设</w:t>
      </w:r>
    </w:p>
    <w:tbl>
      <w:tblPr>
        <w:tblStyle w:val="13"/>
        <w:tblW w:w="94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345"/>
        <w:gridCol w:w="926"/>
        <w:gridCol w:w="1853"/>
        <w:gridCol w:w="1080"/>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29" w:type="dxa"/>
            <w:shd w:val="clear" w:color="auto" w:fill="auto"/>
            <w:vAlign w:val="center"/>
          </w:tcPr>
          <w:p>
            <w:pPr>
              <w:widowControl/>
              <w:jc w:val="center"/>
              <w:rPr>
                <w:rFonts w:hint="default" w:ascii="等线" w:hAnsi="等线" w:eastAsia="等线" w:cs="宋体"/>
                <w:color w:val="000000"/>
                <w:kern w:val="0"/>
                <w:sz w:val="21"/>
                <w:szCs w:val="21"/>
              </w:rPr>
            </w:pPr>
          </w:p>
        </w:tc>
        <w:tc>
          <w:tcPr>
            <w:tcW w:w="3345" w:type="dxa"/>
            <w:shd w:val="clear" w:color="auto" w:fill="auto"/>
            <w:vAlign w:val="center"/>
          </w:tcPr>
          <w:p>
            <w:pPr>
              <w:widowControl/>
              <w:jc w:val="center"/>
              <w:rPr>
                <w:rFonts w:hint="default" w:ascii="等线" w:hAnsi="等线" w:eastAsia="等线" w:cs="宋体"/>
                <w:b/>
                <w:bCs/>
                <w:color w:val="000000"/>
                <w:kern w:val="0"/>
                <w:sz w:val="21"/>
                <w:szCs w:val="21"/>
              </w:rPr>
            </w:pPr>
            <w:r>
              <w:rPr>
                <w:rFonts w:hint="default" w:ascii="等线" w:hAnsi="等线" w:eastAsia="等线" w:cs="宋体"/>
                <w:b/>
                <w:bCs/>
                <w:color w:val="000000"/>
                <w:kern w:val="0"/>
                <w:sz w:val="21"/>
                <w:szCs w:val="21"/>
              </w:rPr>
              <w:t>主要指标</w:t>
            </w:r>
          </w:p>
        </w:tc>
        <w:tc>
          <w:tcPr>
            <w:tcW w:w="926" w:type="dxa"/>
            <w:shd w:val="clear" w:color="auto" w:fill="auto"/>
            <w:vAlign w:val="center"/>
          </w:tcPr>
          <w:p>
            <w:pPr>
              <w:widowControl/>
              <w:jc w:val="center"/>
              <w:rPr>
                <w:rFonts w:hint="default" w:ascii="等线" w:hAnsi="等线" w:eastAsia="等线" w:cs="宋体"/>
                <w:b/>
                <w:bCs/>
                <w:color w:val="000000"/>
                <w:kern w:val="0"/>
                <w:sz w:val="21"/>
                <w:szCs w:val="21"/>
              </w:rPr>
            </w:pPr>
            <w:r>
              <w:rPr>
                <w:rFonts w:hint="default" w:ascii="等线" w:hAnsi="等线" w:eastAsia="等线" w:cs="宋体"/>
                <w:b/>
                <w:bCs/>
                <w:color w:val="000000"/>
                <w:kern w:val="0"/>
                <w:sz w:val="21"/>
                <w:szCs w:val="21"/>
              </w:rPr>
              <w:t>单位</w:t>
            </w:r>
          </w:p>
        </w:tc>
        <w:tc>
          <w:tcPr>
            <w:tcW w:w="1853" w:type="dxa"/>
          </w:tcPr>
          <w:p>
            <w:pPr>
              <w:widowControl/>
              <w:jc w:val="center"/>
              <w:rPr>
                <w:rFonts w:hint="default" w:ascii="等线" w:hAnsi="等线" w:eastAsia="等线" w:cs="宋体"/>
                <w:b/>
                <w:bCs/>
                <w:color w:val="000000"/>
                <w:kern w:val="0"/>
                <w:sz w:val="21"/>
                <w:szCs w:val="21"/>
              </w:rPr>
            </w:pPr>
            <w:r>
              <w:rPr>
                <w:rFonts w:hint="default" w:ascii="等线" w:hAnsi="等线" w:eastAsia="等线" w:cs="宋体"/>
                <w:b/>
                <w:bCs/>
                <w:color w:val="000000"/>
                <w:kern w:val="0"/>
                <w:sz w:val="21"/>
                <w:szCs w:val="21"/>
              </w:rPr>
              <w:t>基期参考值</w:t>
            </w:r>
          </w:p>
        </w:tc>
        <w:tc>
          <w:tcPr>
            <w:tcW w:w="1080" w:type="dxa"/>
            <w:shd w:val="clear" w:color="auto" w:fill="auto"/>
            <w:vAlign w:val="center"/>
          </w:tcPr>
          <w:p>
            <w:pPr>
              <w:widowControl/>
              <w:jc w:val="center"/>
              <w:rPr>
                <w:rFonts w:hint="default" w:ascii="等线" w:hAnsi="等线" w:eastAsia="等线" w:cs="宋体"/>
                <w:b/>
                <w:bCs/>
                <w:color w:val="000000"/>
                <w:kern w:val="0"/>
                <w:sz w:val="21"/>
                <w:szCs w:val="21"/>
              </w:rPr>
            </w:pPr>
            <w:r>
              <w:rPr>
                <w:rFonts w:hint="default" w:ascii="等线" w:hAnsi="等线" w:eastAsia="等线" w:cs="宋体"/>
                <w:b/>
                <w:bCs/>
                <w:color w:val="000000"/>
                <w:kern w:val="0"/>
                <w:sz w:val="21"/>
                <w:szCs w:val="21"/>
              </w:rPr>
              <w:t>2021年</w:t>
            </w:r>
          </w:p>
        </w:tc>
        <w:tc>
          <w:tcPr>
            <w:tcW w:w="1145" w:type="dxa"/>
            <w:shd w:val="clear" w:color="auto" w:fill="auto"/>
            <w:vAlign w:val="center"/>
          </w:tcPr>
          <w:p>
            <w:pPr>
              <w:widowControl/>
              <w:jc w:val="center"/>
              <w:rPr>
                <w:rFonts w:hint="default" w:ascii="等线" w:hAnsi="等线" w:eastAsia="等线" w:cs="宋体"/>
                <w:b/>
                <w:bCs/>
                <w:color w:val="000000"/>
                <w:kern w:val="0"/>
                <w:sz w:val="21"/>
                <w:szCs w:val="21"/>
              </w:rPr>
            </w:pPr>
            <w:r>
              <w:rPr>
                <w:rFonts w:hint="default" w:ascii="等线" w:hAnsi="等线" w:eastAsia="等线" w:cs="宋体"/>
                <w:b/>
                <w:bCs/>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29" w:type="dxa"/>
            <w:vMerge w:val="restart"/>
            <w:shd w:val="clear" w:color="auto" w:fill="auto"/>
            <w:vAlign w:val="center"/>
          </w:tcPr>
          <w:p>
            <w:pPr>
              <w:widowControl/>
              <w:jc w:val="center"/>
              <w:rPr>
                <w:rFonts w:hint="default" w:ascii="等线" w:hAnsi="等线" w:eastAsia="等线" w:cs="宋体"/>
                <w:b/>
                <w:bCs/>
                <w:color w:val="000000"/>
                <w:kern w:val="0"/>
                <w:sz w:val="21"/>
                <w:szCs w:val="21"/>
              </w:rPr>
            </w:pPr>
            <w:r>
              <w:rPr>
                <w:rFonts w:hint="default" w:ascii="等线" w:hAnsi="等线" w:eastAsia="等线" w:cs="宋体"/>
                <w:b/>
                <w:bCs/>
                <w:color w:val="000000"/>
                <w:kern w:val="0"/>
                <w:sz w:val="21"/>
                <w:szCs w:val="21"/>
              </w:rPr>
              <w:t>人口总量</w:t>
            </w:r>
          </w:p>
        </w:tc>
        <w:tc>
          <w:tcPr>
            <w:tcW w:w="33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常住人口（中方案）</w:t>
            </w:r>
          </w:p>
        </w:tc>
        <w:tc>
          <w:tcPr>
            <w:tcW w:w="926"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万人</w:t>
            </w:r>
          </w:p>
        </w:tc>
        <w:tc>
          <w:tcPr>
            <w:tcW w:w="1853" w:type="dxa"/>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96.4（2020）</w:t>
            </w:r>
          </w:p>
        </w:tc>
        <w:tc>
          <w:tcPr>
            <w:tcW w:w="1080"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97.9</w:t>
            </w:r>
          </w:p>
        </w:tc>
        <w:tc>
          <w:tcPr>
            <w:tcW w:w="11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103.9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29" w:type="dxa"/>
            <w:vMerge w:val="continue"/>
            <w:shd w:val="clear" w:color="auto" w:fill="auto"/>
            <w:vAlign w:val="center"/>
          </w:tcPr>
          <w:p>
            <w:pPr>
              <w:widowControl/>
              <w:jc w:val="center"/>
              <w:rPr>
                <w:rFonts w:hint="default" w:ascii="等线" w:hAnsi="等线" w:eastAsia="等线" w:cs="宋体"/>
                <w:b/>
                <w:bCs/>
                <w:color w:val="000000"/>
                <w:kern w:val="0"/>
                <w:sz w:val="21"/>
                <w:szCs w:val="21"/>
              </w:rPr>
            </w:pPr>
          </w:p>
        </w:tc>
        <w:tc>
          <w:tcPr>
            <w:tcW w:w="33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户籍人口</w:t>
            </w:r>
          </w:p>
        </w:tc>
        <w:tc>
          <w:tcPr>
            <w:tcW w:w="926"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万人</w:t>
            </w:r>
          </w:p>
        </w:tc>
        <w:tc>
          <w:tcPr>
            <w:tcW w:w="1853" w:type="dxa"/>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57.6（2020）</w:t>
            </w:r>
          </w:p>
        </w:tc>
        <w:tc>
          <w:tcPr>
            <w:tcW w:w="1080"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58.8</w:t>
            </w:r>
          </w:p>
        </w:tc>
        <w:tc>
          <w:tcPr>
            <w:tcW w:w="11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29" w:type="dxa"/>
            <w:vMerge w:val="continue"/>
            <w:vAlign w:val="center"/>
          </w:tcPr>
          <w:p>
            <w:pPr>
              <w:widowControl/>
              <w:jc w:val="center"/>
              <w:rPr>
                <w:rFonts w:hint="default" w:ascii="等线" w:hAnsi="等线" w:eastAsia="等线" w:cs="宋体"/>
                <w:b/>
                <w:bCs/>
                <w:color w:val="000000"/>
                <w:kern w:val="0"/>
                <w:sz w:val="21"/>
                <w:szCs w:val="21"/>
              </w:rPr>
            </w:pPr>
          </w:p>
        </w:tc>
        <w:tc>
          <w:tcPr>
            <w:tcW w:w="33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总和生育率</w:t>
            </w:r>
          </w:p>
        </w:tc>
        <w:tc>
          <w:tcPr>
            <w:tcW w:w="926"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个</w:t>
            </w:r>
          </w:p>
        </w:tc>
        <w:tc>
          <w:tcPr>
            <w:tcW w:w="1853" w:type="dxa"/>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≈0.94（2015）</w:t>
            </w:r>
          </w:p>
        </w:tc>
        <w:tc>
          <w:tcPr>
            <w:tcW w:w="1080"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1.21</w:t>
            </w:r>
          </w:p>
        </w:tc>
        <w:tc>
          <w:tcPr>
            <w:tcW w:w="11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29" w:type="dxa"/>
            <w:vMerge w:val="continue"/>
            <w:vAlign w:val="center"/>
          </w:tcPr>
          <w:p>
            <w:pPr>
              <w:widowControl/>
              <w:jc w:val="center"/>
              <w:rPr>
                <w:rFonts w:hint="default" w:ascii="等线" w:hAnsi="等线" w:eastAsia="等线" w:cs="宋体"/>
                <w:b/>
                <w:bCs/>
                <w:color w:val="000000"/>
                <w:kern w:val="0"/>
                <w:sz w:val="21"/>
                <w:szCs w:val="21"/>
              </w:rPr>
            </w:pPr>
          </w:p>
        </w:tc>
        <w:tc>
          <w:tcPr>
            <w:tcW w:w="33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自然增长率</w:t>
            </w:r>
          </w:p>
        </w:tc>
        <w:tc>
          <w:tcPr>
            <w:tcW w:w="926"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w:t>
            </w:r>
          </w:p>
        </w:tc>
        <w:tc>
          <w:tcPr>
            <w:tcW w:w="1853" w:type="dxa"/>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7.63（2019）</w:t>
            </w:r>
          </w:p>
        </w:tc>
        <w:tc>
          <w:tcPr>
            <w:tcW w:w="1080"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7~8</w:t>
            </w:r>
          </w:p>
        </w:tc>
        <w:tc>
          <w:tcPr>
            <w:tcW w:w="11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29" w:type="dxa"/>
            <w:vMerge w:val="restart"/>
            <w:shd w:val="clear" w:color="auto" w:fill="auto"/>
            <w:vAlign w:val="center"/>
          </w:tcPr>
          <w:p>
            <w:pPr>
              <w:widowControl/>
              <w:jc w:val="center"/>
              <w:rPr>
                <w:rFonts w:hint="default" w:ascii="等线" w:hAnsi="等线" w:eastAsia="等线" w:cs="宋体"/>
                <w:b/>
                <w:bCs/>
                <w:color w:val="000000"/>
                <w:kern w:val="0"/>
                <w:sz w:val="21"/>
                <w:szCs w:val="21"/>
              </w:rPr>
            </w:pPr>
            <w:r>
              <w:rPr>
                <w:rFonts w:hint="default" w:ascii="等线" w:hAnsi="等线" w:eastAsia="等线" w:cs="宋体"/>
                <w:b/>
                <w:bCs/>
                <w:color w:val="000000"/>
                <w:kern w:val="0"/>
                <w:sz w:val="21"/>
                <w:szCs w:val="21"/>
              </w:rPr>
              <w:t>人口结构</w:t>
            </w:r>
          </w:p>
        </w:tc>
        <w:tc>
          <w:tcPr>
            <w:tcW w:w="33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出生人口性别比</w:t>
            </w:r>
          </w:p>
        </w:tc>
        <w:tc>
          <w:tcPr>
            <w:tcW w:w="926"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100</w:t>
            </w:r>
          </w:p>
        </w:tc>
        <w:tc>
          <w:tcPr>
            <w:tcW w:w="1853" w:type="dxa"/>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105（2019）</w:t>
            </w:r>
          </w:p>
        </w:tc>
        <w:tc>
          <w:tcPr>
            <w:tcW w:w="1080"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105</w:t>
            </w:r>
          </w:p>
        </w:tc>
        <w:tc>
          <w:tcPr>
            <w:tcW w:w="11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29" w:type="dxa"/>
            <w:vMerge w:val="continue"/>
            <w:shd w:val="clear" w:color="auto" w:fill="auto"/>
            <w:vAlign w:val="center"/>
          </w:tcPr>
          <w:p>
            <w:pPr>
              <w:widowControl/>
              <w:jc w:val="center"/>
              <w:rPr>
                <w:rFonts w:hint="default" w:ascii="等线" w:hAnsi="等线" w:eastAsia="等线" w:cs="宋体"/>
                <w:b/>
                <w:bCs/>
                <w:color w:val="000000"/>
                <w:kern w:val="0"/>
                <w:sz w:val="21"/>
                <w:szCs w:val="21"/>
              </w:rPr>
            </w:pPr>
          </w:p>
        </w:tc>
        <w:tc>
          <w:tcPr>
            <w:tcW w:w="33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≥60岁常住人口占比</w:t>
            </w:r>
          </w:p>
        </w:tc>
        <w:tc>
          <w:tcPr>
            <w:tcW w:w="926"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w:t>
            </w:r>
          </w:p>
        </w:tc>
        <w:tc>
          <w:tcPr>
            <w:tcW w:w="1853" w:type="dxa"/>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12.9（2010）</w:t>
            </w:r>
          </w:p>
        </w:tc>
        <w:tc>
          <w:tcPr>
            <w:tcW w:w="1080"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18.9</w:t>
            </w:r>
          </w:p>
        </w:tc>
        <w:tc>
          <w:tcPr>
            <w:tcW w:w="11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29" w:type="dxa"/>
            <w:vMerge w:val="restart"/>
            <w:shd w:val="clear" w:color="auto" w:fill="auto"/>
            <w:vAlign w:val="center"/>
          </w:tcPr>
          <w:p>
            <w:pPr>
              <w:widowControl/>
              <w:jc w:val="center"/>
              <w:rPr>
                <w:rFonts w:hint="default" w:ascii="等线" w:hAnsi="等线" w:eastAsia="等线" w:cs="宋体"/>
                <w:b/>
                <w:bCs/>
                <w:color w:val="000000"/>
                <w:kern w:val="0"/>
                <w:sz w:val="21"/>
                <w:szCs w:val="21"/>
              </w:rPr>
            </w:pPr>
            <w:r>
              <w:rPr>
                <w:rFonts w:hint="default" w:ascii="等线" w:hAnsi="等线" w:eastAsia="等线" w:cs="宋体"/>
                <w:b/>
                <w:bCs/>
                <w:color w:val="000000"/>
                <w:kern w:val="0"/>
                <w:sz w:val="21"/>
                <w:szCs w:val="21"/>
              </w:rPr>
              <w:t>人口素质</w:t>
            </w:r>
          </w:p>
        </w:tc>
        <w:tc>
          <w:tcPr>
            <w:tcW w:w="33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人口平均预期寿命</w:t>
            </w:r>
          </w:p>
        </w:tc>
        <w:tc>
          <w:tcPr>
            <w:tcW w:w="926"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岁</w:t>
            </w:r>
          </w:p>
        </w:tc>
        <w:tc>
          <w:tcPr>
            <w:tcW w:w="1853" w:type="dxa"/>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76.0（2010）</w:t>
            </w:r>
          </w:p>
        </w:tc>
        <w:tc>
          <w:tcPr>
            <w:tcW w:w="1080"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78.2</w:t>
            </w:r>
          </w:p>
        </w:tc>
        <w:tc>
          <w:tcPr>
            <w:tcW w:w="11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29" w:type="dxa"/>
            <w:vMerge w:val="continue"/>
            <w:vAlign w:val="center"/>
          </w:tcPr>
          <w:p>
            <w:pPr>
              <w:widowControl/>
              <w:jc w:val="center"/>
              <w:rPr>
                <w:rFonts w:hint="default" w:ascii="等线" w:hAnsi="等线" w:eastAsia="等线" w:cs="宋体"/>
                <w:b/>
                <w:bCs/>
                <w:color w:val="000000"/>
                <w:kern w:val="0"/>
                <w:sz w:val="21"/>
                <w:szCs w:val="21"/>
              </w:rPr>
            </w:pPr>
          </w:p>
        </w:tc>
        <w:tc>
          <w:tcPr>
            <w:tcW w:w="33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≥6岁人口平均受教育年限</w:t>
            </w:r>
          </w:p>
        </w:tc>
        <w:tc>
          <w:tcPr>
            <w:tcW w:w="926"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年</w:t>
            </w:r>
          </w:p>
        </w:tc>
        <w:tc>
          <w:tcPr>
            <w:tcW w:w="1853" w:type="dxa"/>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9.9（2010）</w:t>
            </w:r>
          </w:p>
        </w:tc>
        <w:tc>
          <w:tcPr>
            <w:tcW w:w="1080"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11</w:t>
            </w:r>
          </w:p>
        </w:tc>
        <w:tc>
          <w:tcPr>
            <w:tcW w:w="11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29" w:type="dxa"/>
            <w:vMerge w:val="restart"/>
            <w:shd w:val="clear" w:color="auto" w:fill="auto"/>
            <w:vAlign w:val="center"/>
          </w:tcPr>
          <w:p>
            <w:pPr>
              <w:widowControl/>
              <w:jc w:val="center"/>
              <w:rPr>
                <w:rFonts w:hint="default" w:ascii="等线" w:hAnsi="等线" w:eastAsia="等线" w:cs="宋体"/>
                <w:b/>
                <w:bCs/>
                <w:color w:val="000000"/>
                <w:kern w:val="0"/>
                <w:sz w:val="21"/>
                <w:szCs w:val="21"/>
              </w:rPr>
            </w:pPr>
            <w:r>
              <w:rPr>
                <w:rFonts w:hint="default" w:ascii="等线" w:hAnsi="等线" w:eastAsia="等线" w:cs="宋体"/>
                <w:b/>
                <w:bCs/>
                <w:color w:val="000000"/>
                <w:kern w:val="0"/>
                <w:sz w:val="21"/>
                <w:szCs w:val="21"/>
              </w:rPr>
              <w:t>人口分布</w:t>
            </w:r>
          </w:p>
        </w:tc>
        <w:tc>
          <w:tcPr>
            <w:tcW w:w="33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常住人口城镇化率</w:t>
            </w:r>
          </w:p>
        </w:tc>
        <w:tc>
          <w:tcPr>
            <w:tcW w:w="926"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w:t>
            </w:r>
          </w:p>
        </w:tc>
        <w:tc>
          <w:tcPr>
            <w:tcW w:w="1853" w:type="dxa"/>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93.0（2020）</w:t>
            </w:r>
          </w:p>
        </w:tc>
        <w:tc>
          <w:tcPr>
            <w:tcW w:w="1080"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w:t>
            </w:r>
          </w:p>
        </w:tc>
        <w:tc>
          <w:tcPr>
            <w:tcW w:w="11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29" w:type="dxa"/>
            <w:vMerge w:val="continue"/>
            <w:shd w:val="clear" w:color="auto" w:fill="auto"/>
            <w:vAlign w:val="center"/>
          </w:tcPr>
          <w:p>
            <w:pPr>
              <w:widowControl/>
              <w:jc w:val="center"/>
              <w:rPr>
                <w:rFonts w:hint="default" w:ascii="等线" w:hAnsi="等线" w:eastAsia="等线" w:cs="宋体"/>
                <w:b/>
                <w:bCs/>
                <w:color w:val="000000"/>
                <w:kern w:val="0"/>
                <w:sz w:val="21"/>
                <w:szCs w:val="21"/>
              </w:rPr>
            </w:pPr>
          </w:p>
        </w:tc>
        <w:tc>
          <w:tcPr>
            <w:tcW w:w="33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三个层级的人口构成</w:t>
            </w:r>
          </w:p>
        </w:tc>
        <w:tc>
          <w:tcPr>
            <w:tcW w:w="926"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w:t>
            </w:r>
          </w:p>
        </w:tc>
        <w:tc>
          <w:tcPr>
            <w:tcW w:w="1853" w:type="dxa"/>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2:4:4（2018）</w:t>
            </w:r>
          </w:p>
        </w:tc>
        <w:tc>
          <w:tcPr>
            <w:tcW w:w="1080"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2:4:4</w:t>
            </w:r>
          </w:p>
        </w:tc>
        <w:tc>
          <w:tcPr>
            <w:tcW w:w="11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29" w:type="dxa"/>
            <w:vMerge w:val="restart"/>
            <w:shd w:val="clear" w:color="auto" w:fill="auto"/>
            <w:vAlign w:val="center"/>
          </w:tcPr>
          <w:p>
            <w:pPr>
              <w:widowControl/>
              <w:jc w:val="center"/>
              <w:rPr>
                <w:rFonts w:hint="default" w:ascii="等线" w:hAnsi="等线" w:eastAsia="等线" w:cs="宋体"/>
                <w:b/>
                <w:bCs/>
                <w:color w:val="000000"/>
                <w:kern w:val="0"/>
                <w:sz w:val="21"/>
                <w:szCs w:val="21"/>
              </w:rPr>
            </w:pPr>
            <w:r>
              <w:rPr>
                <w:rFonts w:hint="default" w:ascii="等线" w:hAnsi="等线" w:eastAsia="等线" w:cs="宋体"/>
                <w:b/>
                <w:bCs/>
                <w:color w:val="000000"/>
                <w:kern w:val="0"/>
                <w:sz w:val="21"/>
                <w:szCs w:val="21"/>
              </w:rPr>
              <w:t>人口迁流</w:t>
            </w:r>
          </w:p>
        </w:tc>
        <w:tc>
          <w:tcPr>
            <w:tcW w:w="33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11.  人口净迁移</w:t>
            </w:r>
          </w:p>
        </w:tc>
        <w:tc>
          <w:tcPr>
            <w:tcW w:w="926"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人</w:t>
            </w:r>
          </w:p>
        </w:tc>
        <w:tc>
          <w:tcPr>
            <w:tcW w:w="1853" w:type="dxa"/>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6012（4年平均）</w:t>
            </w:r>
          </w:p>
        </w:tc>
        <w:tc>
          <w:tcPr>
            <w:tcW w:w="1080"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8000</w:t>
            </w:r>
          </w:p>
        </w:tc>
        <w:tc>
          <w:tcPr>
            <w:tcW w:w="11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29" w:type="dxa"/>
            <w:vMerge w:val="continue"/>
            <w:shd w:val="clear" w:color="auto" w:fill="auto"/>
            <w:vAlign w:val="center"/>
          </w:tcPr>
          <w:p>
            <w:pPr>
              <w:widowControl/>
              <w:jc w:val="center"/>
              <w:rPr>
                <w:rFonts w:hint="default" w:ascii="等线" w:hAnsi="等线" w:eastAsia="等线" w:cs="宋体"/>
                <w:color w:val="000000"/>
                <w:kern w:val="0"/>
                <w:sz w:val="21"/>
                <w:szCs w:val="21"/>
              </w:rPr>
            </w:pPr>
          </w:p>
        </w:tc>
        <w:tc>
          <w:tcPr>
            <w:tcW w:w="33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12. 流动人口（非户籍人口）占比</w:t>
            </w:r>
          </w:p>
        </w:tc>
        <w:tc>
          <w:tcPr>
            <w:tcW w:w="926"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w:t>
            </w:r>
          </w:p>
        </w:tc>
        <w:tc>
          <w:tcPr>
            <w:tcW w:w="1853" w:type="dxa"/>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29（2019）</w:t>
            </w:r>
          </w:p>
        </w:tc>
        <w:tc>
          <w:tcPr>
            <w:tcW w:w="1080"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w:t>
            </w:r>
          </w:p>
        </w:tc>
        <w:tc>
          <w:tcPr>
            <w:tcW w:w="1145" w:type="dxa"/>
            <w:shd w:val="clear" w:color="auto" w:fill="auto"/>
            <w:vAlign w:val="center"/>
          </w:tcPr>
          <w:p>
            <w:pPr>
              <w:widowControl/>
              <w:jc w:val="center"/>
              <w:rPr>
                <w:rFonts w:hint="default" w:ascii="等线" w:hAnsi="等线" w:eastAsia="等线" w:cs="宋体"/>
                <w:color w:val="000000"/>
                <w:kern w:val="0"/>
                <w:sz w:val="21"/>
                <w:szCs w:val="21"/>
              </w:rPr>
            </w:pPr>
            <w:r>
              <w:rPr>
                <w:rFonts w:hint="default" w:ascii="等线" w:hAnsi="等线" w:eastAsia="等线" w:cs="宋体"/>
                <w:color w:val="000000"/>
                <w:kern w:val="0"/>
                <w:sz w:val="21"/>
                <w:szCs w:val="21"/>
              </w:rPr>
              <w:t>20</w:t>
            </w:r>
          </w:p>
        </w:tc>
      </w:tr>
    </w:tbl>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p>
    <w:p>
      <w:pPr>
        <w:pStyle w:val="2"/>
        <w:keepNext/>
        <w:keepLines/>
        <w:pageBreakBefore w:val="0"/>
        <w:widowControl w:val="0"/>
        <w:kinsoku/>
        <w:wordWrap/>
        <w:overflowPunct/>
        <w:topLinePunct w:val="0"/>
        <w:autoSpaceDE/>
        <w:autoSpaceDN/>
        <w:bidi w:val="0"/>
        <w:adjustRightInd/>
        <w:snapToGrid/>
        <w:spacing w:line="560" w:lineRule="exact"/>
        <w:textAlignment w:val="auto"/>
        <w:rPr>
          <w:rFonts w:hint="eastAsia"/>
        </w:rPr>
      </w:pPr>
      <w:bookmarkStart w:id="77" w:name="_Toc20836"/>
      <w:bookmarkStart w:id="78" w:name="_Toc21353"/>
      <w:r>
        <w:rPr>
          <w:rFonts w:hint="eastAsia" w:ascii="黑体" w:hAnsi="黑体" w:eastAsia="黑体" w:cs="黑体"/>
        </w:rPr>
        <w:t>第三章  “十四五”时期重点任务</w:t>
      </w:r>
      <w:bookmarkEnd w:id="77"/>
      <w:bookmarkEnd w:id="78"/>
    </w:p>
    <w:p>
      <w:pPr>
        <w:pStyle w:val="3"/>
        <w:bidi w:val="0"/>
        <w:rPr>
          <w:rFonts w:hint="default"/>
        </w:rPr>
      </w:pPr>
      <w:bookmarkStart w:id="79" w:name="_Toc6417"/>
      <w:bookmarkStart w:id="80" w:name="_Toc9128"/>
      <w:r>
        <w:rPr>
          <w:rFonts w:hint="default"/>
        </w:rPr>
        <w:t>第一节</w:t>
      </w:r>
      <w:r>
        <w:rPr>
          <w:rFonts w:hint="eastAsia"/>
          <w:lang w:val="en-US" w:eastAsia="zh-CN"/>
        </w:rPr>
        <w:t xml:space="preserve"> </w:t>
      </w:r>
      <w:r>
        <w:rPr>
          <w:rFonts w:hint="default"/>
        </w:rPr>
        <w:t>保持总人口平稳增长</w:t>
      </w:r>
      <w:bookmarkEnd w:id="79"/>
      <w:bookmarkEnd w:id="80"/>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人口总量作为首当其冲的人口变量，是观察人口状态的最基本指标。进入“十四五”，西山区人口规模还将持续增长，这不仅是因为人口增长惯性作用的延续，以及“全面二孩”政策效应的推动；而且因为西山区作为昆明市主城区的一个重要组成部分，其区位条件和发展潜力对外来人口都具有较强的吸引力。据此本文预设西山区“十四五”时期人口自然增长能够保持在</w:t>
      </w:r>
      <w:bookmarkStart w:id="81" w:name="_Hlk40274145"/>
      <w:r>
        <w:rPr>
          <w:rFonts w:hint="default" w:ascii="Times New Roman" w:hAnsi="Times New Roman" w:eastAsia="仿宋_GB2312" w:cs="Times New Roman"/>
          <w:sz w:val="32"/>
          <w:szCs w:val="32"/>
        </w:rPr>
        <w:t>7‰</w:t>
      </w:r>
      <w:bookmarkEnd w:id="81"/>
      <w:r>
        <w:rPr>
          <w:rFonts w:hint="default" w:ascii="Times New Roman" w:hAnsi="Times New Roman" w:eastAsia="仿宋_GB2312" w:cs="Times New Roman"/>
          <w:sz w:val="32"/>
          <w:szCs w:val="32"/>
        </w:rPr>
        <w:t>~8‰的水平，年均自然增长人口7000人，净迁入人口保持在8000人左右，然而，在全国生育率难以有效提振和人口流动趋向减缓的大背景下，西山区能够在多大程度上延续人口增长，确实还有待观察。如果西山区能够在“十四五”时期积极作为，全面推动鼓励生育的政策落地，同时出台更加宽松的常住人口落户政策，那么，总人口增长就有可能朝向“高方案”预设，</w:t>
      </w:r>
      <w:bookmarkStart w:id="82" w:name="_Hlk40276509"/>
      <w:r>
        <w:rPr>
          <w:rFonts w:hint="default" w:ascii="Times New Roman" w:hAnsi="Times New Roman" w:eastAsia="仿宋_GB2312" w:cs="Times New Roman"/>
          <w:sz w:val="32"/>
          <w:szCs w:val="32"/>
        </w:rPr>
        <w:t>即2025年常住人口106.4万</w:t>
      </w:r>
      <w:bookmarkEnd w:id="82"/>
      <w:r>
        <w:rPr>
          <w:rFonts w:hint="default" w:ascii="Times New Roman" w:hAnsi="Times New Roman" w:eastAsia="仿宋_GB2312" w:cs="Times New Roman"/>
          <w:sz w:val="32"/>
          <w:szCs w:val="32"/>
        </w:rPr>
        <w:t>，否则，就将滑入“低方案”预设，即2025年常住人口为101.4万。我们希望，“十四五”时期西山区的人口总量尽可能接近“中方案”，即常住人口接近103.9万的目标。</w:t>
      </w:r>
    </w:p>
    <w:p>
      <w:pPr>
        <w:pStyle w:val="3"/>
        <w:bidi w:val="0"/>
        <w:rPr>
          <w:rFonts w:hint="eastAsia" w:ascii="楷体_GB2312" w:hAnsi="楷体_GB2312" w:eastAsia="楷体_GB2312" w:cs="楷体_GB2312"/>
        </w:rPr>
      </w:pPr>
      <w:bookmarkStart w:id="83" w:name="_Toc29881"/>
      <w:bookmarkStart w:id="84" w:name="_Toc31127"/>
      <w:r>
        <w:rPr>
          <w:rFonts w:hint="eastAsia" w:ascii="楷体_GB2312" w:hAnsi="楷体_GB2312" w:eastAsia="楷体_GB2312" w:cs="楷体_GB2312"/>
        </w:rPr>
        <w:t>第二节</w:t>
      </w:r>
      <w:r>
        <w:rPr>
          <w:rFonts w:hint="eastAsia" w:ascii="楷体_GB2312" w:hAnsi="楷体_GB2312" w:cs="楷体_GB2312"/>
          <w:lang w:val="en-US" w:eastAsia="zh-CN"/>
        </w:rPr>
        <w:t xml:space="preserve"> </w:t>
      </w:r>
      <w:r>
        <w:rPr>
          <w:rFonts w:hint="eastAsia" w:ascii="楷体_GB2312" w:hAnsi="楷体_GB2312" w:eastAsia="楷体_GB2312" w:cs="楷体_GB2312"/>
        </w:rPr>
        <w:t>化解“低生育”困局</w:t>
      </w:r>
      <w:bookmarkEnd w:id="83"/>
      <w:bookmarkEnd w:id="84"/>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2010年“六普”时，西山区总和生育率仅为0.89，不仅远远低于2.1的生育“更替水平”，而且低于昆明市1.06的平均值。据推算，2015年也不过0.94，意味着平均每个育龄妇女生育的子女数还不到1个。如此低的生育率即使在当今西方发达国家也是非常少见，属于极低生育水平。“十三五”时期，因全面二孩政策刺激，确实会促动生育率的提升，但对西山区来讲，就算生育率翻番也难过1.8，而且从全国来看，二孩政策带来的生育率提振效应只是昙花一现，在经过“抢生”“补生”风潮后，生育率已经趋于回落，尽管三孩政策已经实施，但“低生育”惯性难以改变。本研究将“十四五”时期西山区的总和生育率预设在1.20~1.21，诚是基于多方面的综合考量，即便如此，总和生育率低于1.3仍然属于超低生育水平，却是西山区将不得不面对的情形，而且能否如期实现，将取决于有效的政策倡导和制度安排。在广大育龄夫妇的生育意愿低于政策预期的情形下，仅倡导“鼓励按政策生育”显然不够，必须着力实施提振生育率的普惠政策，构筑有助于生儿育女的制度平台，消解人们既想生、又怕生的纠结心理，才有可能化解“低生育”困局，避免生育率的持续走低。</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第三节  防范“老龄化”风险</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bookmarkStart w:id="85" w:name="_Hlk87314366"/>
      <w:r>
        <w:rPr>
          <w:rFonts w:hint="default" w:ascii="Times New Roman" w:hAnsi="Times New Roman" w:eastAsia="仿宋_GB2312" w:cs="Times New Roman"/>
          <w:sz w:val="32"/>
          <w:szCs w:val="32"/>
        </w:rPr>
        <w:t>根据本研究预测，“十四五”时期西山区60岁及以上老年人口占比加速上升，据“中方案”预测，常住人口老龄化率将从2020年的19%升至2025年的25%，老龄化率比全国预期值（2025年为20.55%）高出4.45个百分点。如此快速上升的老年人口占比，势必加速区域人口红利的消退，加重人口抚养负担，对社会保障和公共服务都将构成巨大的压力。为此，除了积极倡导“健康老龄化”，加快老龄事业和老年产业发展，</w:t>
      </w:r>
      <w:bookmarkStart w:id="86" w:name="_Hlk54110584"/>
      <w:r>
        <w:rPr>
          <w:rFonts w:hint="default" w:ascii="Times New Roman" w:hAnsi="Times New Roman" w:eastAsia="仿宋_GB2312" w:cs="Times New Roman"/>
          <w:sz w:val="32"/>
          <w:szCs w:val="32"/>
        </w:rPr>
        <w:t>尝试构建“适老型”生产环境与生活社区，完善</w:t>
      </w:r>
      <w:bookmarkEnd w:id="86"/>
      <w:r>
        <w:rPr>
          <w:rFonts w:hint="default" w:ascii="Times New Roman" w:hAnsi="Times New Roman" w:eastAsia="仿宋_GB2312" w:cs="Times New Roman"/>
          <w:sz w:val="32"/>
          <w:szCs w:val="32"/>
        </w:rPr>
        <w:t>养老、敬老、孝老的公共服务体系；还要积极作为，从两方面入手，抑制老年人口占比的持续上升，一方面通过提振生育率增加少儿人口，相对降低老年人口占比；另一方面通过吸引外来人口，增加迁入人口，可稀释本地的老龄化程度。如果西山区能够尽力做好这两方面的工作，就有可能抑制老龄化的加速呈现，改善常住人口年龄结构，使老年人口占比低于预期值。</w:t>
      </w:r>
      <w:bookmarkEnd w:id="85"/>
    </w:p>
    <w:p>
      <w:pPr>
        <w:pStyle w:val="3"/>
        <w:keepNext/>
        <w:keepLines/>
        <w:pageBreakBefore w:val="0"/>
        <w:widowControl w:val="0"/>
        <w:kinsoku/>
        <w:wordWrap/>
        <w:overflowPunct/>
        <w:topLinePunct w:val="0"/>
        <w:autoSpaceDE/>
        <w:autoSpaceDN/>
        <w:bidi w:val="0"/>
        <w:adjustRightInd/>
        <w:snapToGrid/>
        <w:textAlignment w:val="auto"/>
        <w:rPr>
          <w:rFonts w:hint="eastAsia" w:ascii="楷体_GB2312" w:hAnsi="楷体_GB2312" w:eastAsia="楷体_GB2312" w:cs="楷体_GB2312"/>
        </w:rPr>
      </w:pPr>
      <w:bookmarkStart w:id="87" w:name="_Toc4454"/>
      <w:bookmarkStart w:id="88" w:name="_Toc20788"/>
      <w:r>
        <w:rPr>
          <w:rFonts w:hint="eastAsia" w:ascii="楷体_GB2312" w:hAnsi="楷体_GB2312" w:eastAsia="楷体_GB2312" w:cs="楷体_GB2312"/>
        </w:rPr>
        <w:t>第四节</w:t>
      </w:r>
      <w:r>
        <w:rPr>
          <w:rFonts w:hint="eastAsia" w:ascii="楷体_GB2312" w:hAnsi="楷体_GB2312" w:cs="楷体_GB2312"/>
          <w:lang w:val="en-US" w:eastAsia="zh-CN"/>
        </w:rPr>
        <w:t xml:space="preserve"> </w:t>
      </w:r>
      <w:r>
        <w:rPr>
          <w:rFonts w:hint="eastAsia" w:ascii="楷体_GB2312" w:hAnsi="楷体_GB2312" w:eastAsia="楷体_GB2312" w:cs="楷体_GB2312"/>
        </w:rPr>
        <w:t>开创“城镇化”新局</w:t>
      </w:r>
      <w:bookmarkEnd w:id="87"/>
      <w:bookmarkEnd w:id="88"/>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bookmarkStart w:id="89" w:name="_Hlk87314481"/>
      <w:r>
        <w:rPr>
          <w:rFonts w:hint="default" w:ascii="Times New Roman" w:hAnsi="Times New Roman" w:eastAsia="仿宋_GB2312" w:cs="Times New Roman"/>
          <w:sz w:val="32"/>
          <w:szCs w:val="32"/>
        </w:rPr>
        <w:t>西山区常住人口的城镇化率在2020年“七普”时就已经达到93%，因此，在人口城镇化加速呈现的大背景下，即便按年均0.4个百分点的增幅，2025年的人口城镇化水平将达到95%，基本实现全域城镇化。但是必须指出，全域城镇化并不等于全员非农化和身份的市民化。因为三者各有侧重，城镇化是人口的聚集空间的转变，非农化是</w:t>
      </w:r>
      <w:bookmarkStart w:id="90" w:name="_Hlk36138045"/>
      <w:r>
        <w:rPr>
          <w:rFonts w:hint="default" w:ascii="Times New Roman" w:hAnsi="Times New Roman" w:eastAsia="仿宋_GB2312" w:cs="Times New Roman"/>
          <w:sz w:val="32"/>
          <w:szCs w:val="32"/>
        </w:rPr>
        <w:t>人口从业属性的转型</w:t>
      </w:r>
      <w:bookmarkEnd w:id="90"/>
      <w:r>
        <w:rPr>
          <w:rFonts w:hint="default" w:ascii="Times New Roman" w:hAnsi="Times New Roman" w:eastAsia="仿宋_GB2312" w:cs="Times New Roman"/>
          <w:sz w:val="32"/>
          <w:szCs w:val="32"/>
        </w:rPr>
        <w:t>，市民化则是“同城”待遇的获得。在中国，尽管“常住人口基本公共服务均等化”的大政方针已经明确，但由于城乡二元体制分割，不难发现，在农村户口变为城镇户口的进程中，并不必然伴随从业属性的“非农”转型和“市民”身份的认同与“同城”待遇的获得。“十三五”时期西山区城镇化进程很快，但很多“农转居”或“农转城”的人口虽然从农民转变为居民或市民，可这大多是有名无实的转变，并没有带给他们稳定的“非农”就业和同城的“市民”待遇。尤其对于团结、碧鸡和海口三个街道办事处，2018年统计还有4.4万乡村人口，“十四五”时期将进入全域城镇化的收尾阶段，如何能够在人口城镇化的收官之年，开创“三化合一”的城镇化新局，即保证乡城转移人口“城镇化”的同时，实现从业“非农化”和身份“市民化”，这将是西山区值得追求的制度创新举措。</w:t>
      </w:r>
      <w:bookmarkEnd w:id="89"/>
    </w:p>
    <w:p>
      <w:pPr>
        <w:pStyle w:val="3"/>
        <w:bidi w:val="0"/>
        <w:rPr>
          <w:rFonts w:hint="default"/>
        </w:rPr>
      </w:pPr>
      <w:bookmarkStart w:id="91" w:name="_Toc5472"/>
      <w:bookmarkStart w:id="92" w:name="_Toc30159"/>
      <w:r>
        <w:rPr>
          <w:rFonts w:hint="default"/>
        </w:rPr>
        <w:t>第五节</w:t>
      </w:r>
      <w:r>
        <w:rPr>
          <w:rFonts w:hint="eastAsia"/>
          <w:lang w:val="en-US" w:eastAsia="zh-CN"/>
        </w:rPr>
        <w:t xml:space="preserve"> </w:t>
      </w:r>
      <w:r>
        <w:rPr>
          <w:rFonts w:hint="default"/>
        </w:rPr>
        <w:t>优化区域人口聚集</w:t>
      </w:r>
      <w:bookmarkEnd w:id="91"/>
      <w:bookmarkEnd w:id="92"/>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bookmarkStart w:id="93" w:name="_Hlk87314569"/>
      <w:r>
        <w:rPr>
          <w:rFonts w:hint="default" w:ascii="Times New Roman" w:hAnsi="Times New Roman" w:eastAsia="仿宋_GB2312" w:cs="Times New Roman"/>
          <w:sz w:val="32"/>
          <w:szCs w:val="32"/>
        </w:rPr>
        <w:t>2018年西山区乡城人口转移中，</w:t>
      </w:r>
      <w:bookmarkStart w:id="94" w:name="_Hlk36154073"/>
      <w:bookmarkStart w:id="95" w:name="_Hlk39954307"/>
      <w:r>
        <w:rPr>
          <w:rFonts w:hint="default" w:ascii="Times New Roman" w:hAnsi="Times New Roman" w:eastAsia="仿宋_GB2312" w:cs="Times New Roman"/>
          <w:sz w:val="32"/>
          <w:szCs w:val="32"/>
        </w:rPr>
        <w:t>按“农业转移人口落户城镇”统计，</w:t>
      </w:r>
      <w:bookmarkEnd w:id="94"/>
      <w:r>
        <w:rPr>
          <w:rFonts w:hint="default" w:ascii="Times New Roman" w:hAnsi="Times New Roman" w:eastAsia="仿宋_GB2312" w:cs="Times New Roman"/>
          <w:sz w:val="32"/>
          <w:szCs w:val="32"/>
        </w:rPr>
        <w:t>来自本</w:t>
      </w:r>
      <w:bookmarkStart w:id="96" w:name="_Hlk36155576"/>
      <w:r>
        <w:rPr>
          <w:rFonts w:hint="default" w:ascii="Times New Roman" w:hAnsi="Times New Roman" w:eastAsia="仿宋_GB2312" w:cs="Times New Roman"/>
          <w:sz w:val="32"/>
          <w:szCs w:val="32"/>
        </w:rPr>
        <w:t>市（地）</w:t>
      </w:r>
      <w:bookmarkEnd w:id="96"/>
      <w:r>
        <w:rPr>
          <w:rFonts w:hint="default" w:ascii="Times New Roman" w:hAnsi="Times New Roman" w:eastAsia="仿宋_GB2312" w:cs="Times New Roman"/>
          <w:sz w:val="32"/>
          <w:szCs w:val="32"/>
        </w:rPr>
        <w:t>的人口占84.45%，来自</w:t>
      </w:r>
      <w:bookmarkStart w:id="97" w:name="_Hlk36155933"/>
      <w:r>
        <w:rPr>
          <w:rFonts w:hint="default" w:ascii="Times New Roman" w:hAnsi="Times New Roman" w:eastAsia="仿宋_GB2312" w:cs="Times New Roman"/>
          <w:sz w:val="32"/>
          <w:szCs w:val="32"/>
        </w:rPr>
        <w:t>本省其他地州和外省</w:t>
      </w:r>
      <w:bookmarkEnd w:id="97"/>
      <w:r>
        <w:rPr>
          <w:rFonts w:hint="default" w:ascii="Times New Roman" w:hAnsi="Times New Roman" w:eastAsia="仿宋_GB2312" w:cs="Times New Roman"/>
          <w:sz w:val="32"/>
          <w:szCs w:val="32"/>
        </w:rPr>
        <w:t>的人口仅占8.45%和7.1%。</w:t>
      </w:r>
      <w:bookmarkEnd w:id="95"/>
      <w:bookmarkStart w:id="98" w:name="_Hlk39954474"/>
      <w:r>
        <w:rPr>
          <w:rFonts w:hint="default" w:ascii="Times New Roman" w:hAnsi="Times New Roman" w:eastAsia="仿宋_GB2312" w:cs="Times New Roman"/>
          <w:sz w:val="32"/>
          <w:szCs w:val="32"/>
        </w:rPr>
        <w:t>表明西山区的人口迁移在空间格局上凸显“内卷化”特征。这也意味着西山区乡城人口转移主要发生在区域内部</w:t>
      </w:r>
      <w:bookmarkEnd w:id="98"/>
      <w:r>
        <w:rPr>
          <w:rFonts w:hint="default" w:ascii="Times New Roman" w:hAnsi="Times New Roman" w:eastAsia="仿宋_GB2312" w:cs="Times New Roman"/>
          <w:sz w:val="32"/>
          <w:szCs w:val="32"/>
        </w:rPr>
        <w:t>，</w:t>
      </w:r>
      <w:bookmarkStart w:id="99" w:name="_Hlk39954578"/>
      <w:r>
        <w:rPr>
          <w:rFonts w:hint="default" w:ascii="Times New Roman" w:hAnsi="Times New Roman" w:eastAsia="仿宋_GB2312" w:cs="Times New Roman"/>
          <w:sz w:val="32"/>
          <w:szCs w:val="32"/>
        </w:rPr>
        <w:t>其中落户本市（地）的转移人口（13154人）几乎全部集中在碧鸡和海口两个</w:t>
      </w:r>
      <w:bookmarkStart w:id="100" w:name="_Hlk36155899"/>
      <w:r>
        <w:rPr>
          <w:rFonts w:hint="default" w:ascii="Times New Roman" w:hAnsi="Times New Roman" w:eastAsia="仿宋_GB2312" w:cs="Times New Roman"/>
          <w:sz w:val="32"/>
          <w:szCs w:val="32"/>
        </w:rPr>
        <w:t>街道办事处</w:t>
      </w:r>
      <w:bookmarkEnd w:id="100"/>
      <w:r>
        <w:rPr>
          <w:rFonts w:hint="default" w:ascii="Times New Roman" w:hAnsi="Times New Roman" w:eastAsia="仿宋_GB2312" w:cs="Times New Roman"/>
          <w:sz w:val="32"/>
          <w:szCs w:val="32"/>
        </w:rPr>
        <w:t>，而此种人口转移源于城乡属地调整和城中村改造，实际上是就地城镇化。同时前卫、福海和永昌三个街道办事处则成为接纳本省其他地州和外省转移人口最多的区域，占62.34%。</w:t>
      </w:r>
      <w:bookmarkEnd w:id="99"/>
      <w:r>
        <w:rPr>
          <w:rFonts w:hint="default" w:ascii="Times New Roman" w:hAnsi="Times New Roman" w:eastAsia="仿宋_GB2312" w:cs="Times New Roman"/>
          <w:sz w:val="32"/>
          <w:szCs w:val="32"/>
        </w:rPr>
        <w:t>由此势必促成西山区</w:t>
      </w:r>
      <w:bookmarkStart w:id="101" w:name="_Hlk45366164"/>
      <w:r>
        <w:rPr>
          <w:rFonts w:hint="default" w:ascii="Times New Roman" w:hAnsi="Times New Roman" w:eastAsia="仿宋_GB2312" w:cs="Times New Roman"/>
          <w:sz w:val="32"/>
          <w:szCs w:val="32"/>
        </w:rPr>
        <w:t>三个层级人口聚集与分布</w:t>
      </w:r>
      <w:bookmarkEnd w:id="101"/>
      <w:r>
        <w:rPr>
          <w:rFonts w:hint="default" w:ascii="Times New Roman" w:hAnsi="Times New Roman" w:eastAsia="仿宋_GB2312" w:cs="Times New Roman"/>
          <w:sz w:val="32"/>
          <w:szCs w:val="32"/>
        </w:rPr>
        <w:t>的重构，即从</w:t>
      </w:r>
      <w:bookmarkStart w:id="102" w:name="_Hlk45366225"/>
      <w:r>
        <w:rPr>
          <w:rFonts w:hint="default" w:ascii="Times New Roman" w:hAnsi="Times New Roman" w:eastAsia="仿宋_GB2312" w:cs="Times New Roman"/>
          <w:sz w:val="32"/>
          <w:szCs w:val="32"/>
        </w:rPr>
        <w:t>2:4:4的</w:t>
      </w:r>
      <w:bookmarkEnd w:id="102"/>
      <w:r>
        <w:rPr>
          <w:rFonts w:hint="default" w:ascii="Times New Roman" w:hAnsi="Times New Roman" w:eastAsia="仿宋_GB2312" w:cs="Times New Roman"/>
          <w:sz w:val="32"/>
          <w:szCs w:val="32"/>
        </w:rPr>
        <w:t>人口格局趋向1:5:4。在市场主导资源配置的情形下，如果能够打破小区域的行政辖区界限，让人们的乡城转移行为能够在更宽松的环境中自主选择，必将有助于优化区域人口的经济聚集与空间分布，形成1:5:4的三个层级人口聚集格局。对此，加快户籍制度改革进程，响应省委省政府提出的“全面放开城镇落户限制，实现城镇户口通迁”，出台更有吸引力的“留人”“聚人”政策，同时合理布局产业，完善区域和城乡资源配置都至关重要。</w:t>
      </w:r>
    </w:p>
    <w:bookmarkEnd w:id="93"/>
    <w:p>
      <w:pPr>
        <w:pStyle w:val="2"/>
        <w:keepNext/>
        <w:keepLines/>
        <w:pageBreakBefore w:val="0"/>
        <w:widowControl w:val="0"/>
        <w:kinsoku/>
        <w:wordWrap/>
        <w:overflowPunct/>
        <w:topLinePunct w:val="0"/>
        <w:autoSpaceDE/>
        <w:autoSpaceDN/>
        <w:bidi w:val="0"/>
        <w:adjustRightInd/>
        <w:snapToGrid/>
        <w:spacing w:line="560" w:lineRule="exact"/>
        <w:textAlignment w:val="auto"/>
        <w:rPr>
          <w:rFonts w:hint="default"/>
        </w:rPr>
      </w:pPr>
      <w:bookmarkStart w:id="103" w:name="_Toc7834"/>
      <w:bookmarkStart w:id="104" w:name="_Toc163"/>
      <w:r>
        <w:rPr>
          <w:rFonts w:hint="default"/>
        </w:rPr>
        <w:t>第四章  规划实施保障</w:t>
      </w:r>
      <w:bookmarkEnd w:id="103"/>
      <w:bookmarkEnd w:id="104"/>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优质的规划除了需要卓识的远见，求实的态度和科学的方法，还需要以详实的数据、适时的监测和部门的协同做支撑。既如此，为做好人口规划，必须发挥政府的组织协调作用，调动相关部门的积极性，齐抓共管、求真务实、攻坚克难，力求做出尽可能贴近区域实情，合乎发展预期的人口规划。</w:t>
      </w:r>
    </w:p>
    <w:p>
      <w:pPr>
        <w:pStyle w:val="3"/>
        <w:bidi w:val="0"/>
        <w:rPr>
          <w:rFonts w:hint="default"/>
        </w:rPr>
      </w:pPr>
      <w:bookmarkStart w:id="105" w:name="_Toc21911"/>
      <w:bookmarkStart w:id="106" w:name="_Toc2485"/>
      <w:r>
        <w:rPr>
          <w:rFonts w:hint="default"/>
        </w:rPr>
        <w:t>第一节</w:t>
      </w:r>
      <w:r>
        <w:rPr>
          <w:rFonts w:hint="eastAsia"/>
          <w:lang w:val="en-US" w:eastAsia="zh-CN"/>
        </w:rPr>
        <w:t xml:space="preserve"> </w:t>
      </w:r>
      <w:r>
        <w:rPr>
          <w:rFonts w:hint="default"/>
        </w:rPr>
        <w:t>强化人口基础数据支撑</w:t>
      </w:r>
      <w:bookmarkEnd w:id="105"/>
      <w:bookmarkEnd w:id="106"/>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与国家和省市级层面的人口数据比较，西山区的人口基础数据非常有限，而且存在数据波动较大、统计口径不规范等问题。为此，需要尽快采取措施统筹协调，通过整合分散在教育、公安、民政、人力资源和社会保障、卫生计生、统计等部门的人口数据，理顺数据来源渠道，规范数据采集流程和统计工作，强化人口数据统一规范。与此同时，利用互联网和大数据技术，建立人口基础数据信息库，加强人口数据的开发利用与部门共享，为经济社会发展提供优质、规范、时效的人口数据。</w:t>
      </w:r>
    </w:p>
    <w:p>
      <w:pPr>
        <w:pStyle w:val="3"/>
        <w:bidi w:val="0"/>
        <w:rPr>
          <w:rFonts w:hint="default"/>
        </w:rPr>
      </w:pPr>
      <w:bookmarkStart w:id="107" w:name="_Toc31991"/>
      <w:bookmarkStart w:id="108" w:name="_Toc15515"/>
      <w:r>
        <w:rPr>
          <w:rFonts w:hint="default"/>
        </w:rPr>
        <w:t>第二节  建立社区人口动态监测和跟踪预报制度</w:t>
      </w:r>
      <w:bookmarkEnd w:id="107"/>
      <w:bookmarkEnd w:id="108"/>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人口的动态监测和跟踪评估是顺应当代人口发展特征的重要手段。当代中国已是人口高度流动的社会，平均每四个人</w:t>
      </w:r>
      <w:bookmarkStart w:id="109" w:name="_Hlk36296485"/>
      <w:r>
        <w:rPr>
          <w:rFonts w:hint="default" w:ascii="Times New Roman" w:hAnsi="Times New Roman" w:eastAsia="仿宋_GB2312" w:cs="Times New Roman"/>
          <w:sz w:val="32"/>
          <w:szCs w:val="32"/>
        </w:rPr>
        <w:t>就有一个处在流动状态</w:t>
      </w:r>
      <w:bookmarkEnd w:id="109"/>
      <w:r>
        <w:rPr>
          <w:rFonts w:hint="default" w:ascii="Times New Roman" w:hAnsi="Times New Roman" w:eastAsia="仿宋_GB2312" w:cs="Times New Roman"/>
          <w:sz w:val="32"/>
          <w:szCs w:val="32"/>
        </w:rPr>
        <w:t>，西山区更是平均不到四个人就有一个处在流动状态。因此流动人口对城乡人口状态的影响甚至超过本地人口的增减变化，传统的人口普查和抽样调查所提供的人口数据已经难以反映区域人口变动的真实情况。因此，建立常态化的、基于社区人口的动态监测和预测预报机制非常必要，通过这种常态化、开放式的人口数据采集机制，有助于精准快速地获取高质量、精细化的实时人口信息，把握最新的人口发展动向，为做好人口规划工作助力。</w:t>
      </w:r>
    </w:p>
    <w:p>
      <w:pPr>
        <w:pStyle w:val="3"/>
        <w:bidi w:val="0"/>
        <w:rPr>
          <w:rFonts w:hint="default"/>
        </w:rPr>
      </w:pPr>
      <w:bookmarkStart w:id="110" w:name="_Toc16512"/>
      <w:bookmarkStart w:id="111" w:name="_Toc28036"/>
      <w:r>
        <w:rPr>
          <w:rFonts w:hint="default"/>
        </w:rPr>
        <w:t>第三节</w:t>
      </w:r>
      <w:r>
        <w:rPr>
          <w:rFonts w:hint="eastAsia"/>
          <w:lang w:val="en-US" w:eastAsia="zh-CN"/>
        </w:rPr>
        <w:t xml:space="preserve"> </w:t>
      </w:r>
      <w:r>
        <w:rPr>
          <w:rFonts w:hint="default"/>
        </w:rPr>
        <w:t>开展重大决策人口影响评估</w:t>
      </w:r>
      <w:bookmarkEnd w:id="110"/>
      <w:bookmarkEnd w:id="111"/>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人口作为社会经济活动的主体，其对国民经济与社会民生的影响可谓深远而广泛。科学预判和准确把握人口因素对重大决策、重大改革和重大工程建设的影响，对于促进相关经济社会政策与人口政策的有效衔接与配套实施具有举足轻重的作用。为此，要建立重大人口政策咨询机制，在县区层面，可考虑在社会稳定风险评估框架内，尝试增加人口风险评估指标，建立重点评价清单，科学评估人口发展对区域经济社会可持续发展的影响，为防范人口发展有可能带来的风险早做预案。</w:t>
      </w:r>
    </w:p>
    <w:p>
      <w:pPr>
        <w:pStyle w:val="3"/>
        <w:bidi w:val="0"/>
        <w:rPr>
          <w:rFonts w:hint="default"/>
        </w:rPr>
      </w:pPr>
      <w:bookmarkStart w:id="112" w:name="_Toc11482"/>
      <w:bookmarkStart w:id="113" w:name="_Toc8744"/>
      <w:r>
        <w:rPr>
          <w:rFonts w:hint="default"/>
        </w:rPr>
        <w:t>第四节</w:t>
      </w:r>
      <w:r>
        <w:rPr>
          <w:rFonts w:hint="eastAsia"/>
          <w:lang w:val="en-US" w:eastAsia="zh-CN"/>
        </w:rPr>
        <w:t xml:space="preserve"> </w:t>
      </w:r>
      <w:r>
        <w:rPr>
          <w:rFonts w:hint="default"/>
        </w:rPr>
        <w:t>健全人口规划实施机制</w:t>
      </w:r>
      <w:bookmarkEnd w:id="112"/>
      <w:bookmarkEnd w:id="113"/>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rPr>
        <w:t>“人口规划”作为国民经和社会济发展规划的专项工作，其实施离不开相应的制度保障。根据人口规划预设的相关指标，以及规划工作中面临的重难点，区发改委需要从职能部门的角度做好统筹安排，建立相应的人口规划工作协调机制，从人财物各方面保证人口规划工作的顺利开展和科学实施。</w:t>
      </w:r>
    </w:p>
    <w:p>
      <w:pPr>
        <w:pageBreakBefore w:val="0"/>
        <w:kinsoku/>
        <w:wordWrap/>
        <w:overflowPunct/>
        <w:topLinePunct w:val="0"/>
        <w:autoSpaceDE/>
        <w:autoSpaceDN/>
        <w:bidi w:val="0"/>
        <w:adjustRightInd/>
        <w:snapToGrid/>
        <w:spacing w:line="560" w:lineRule="exact"/>
        <w:ind w:firstLine="420" w:firstLineChars="200"/>
        <w:textAlignment w:val="auto"/>
      </w:pPr>
    </w:p>
    <w:p>
      <w:pPr>
        <w:widowControl/>
        <w:jc w:val="left"/>
      </w:pPr>
      <w:r>
        <w:br w:type="page"/>
      </w:r>
    </w:p>
    <w:p>
      <w:pPr>
        <w:pStyle w:val="2"/>
        <w:pageBreakBefore w:val="0"/>
        <w:kinsoku/>
        <w:wordWrap/>
        <w:overflowPunct/>
        <w:topLinePunct w:val="0"/>
        <w:autoSpaceDE/>
        <w:autoSpaceDN/>
        <w:bidi w:val="0"/>
        <w:adjustRightInd/>
        <w:spacing w:line="560" w:lineRule="exact"/>
        <w:jc w:val="left"/>
        <w:textAlignment w:val="auto"/>
        <w:rPr>
          <w:rFonts w:hint="default" w:ascii="Times New Roman" w:hAnsi="Times New Roman" w:eastAsia="黑体" w:cs="Times New Roman"/>
          <w:lang w:val="en-US" w:eastAsia="zh-CN"/>
        </w:rPr>
      </w:pPr>
      <w:bookmarkStart w:id="114" w:name="_Toc22295"/>
      <w:bookmarkStart w:id="115" w:name="_Toc401"/>
      <w:r>
        <w:rPr>
          <w:rFonts w:hint="default" w:ascii="Times New Roman" w:hAnsi="Times New Roman" w:eastAsia="黑体" w:cs="Times New Roman"/>
        </w:rPr>
        <w:t>附件</w:t>
      </w:r>
      <w:r>
        <w:rPr>
          <w:rFonts w:hint="default" w:ascii="Times New Roman" w:hAnsi="Times New Roman" w:eastAsia="黑体" w:cs="Times New Roman"/>
          <w:lang w:val="en-US" w:eastAsia="zh-CN"/>
        </w:rPr>
        <w:t>1</w:t>
      </w:r>
      <w:bookmarkEnd w:id="114"/>
      <w:bookmarkEnd w:id="115"/>
    </w:p>
    <w:p>
      <w:pPr>
        <w:bidi w:val="0"/>
        <w:rPr>
          <w:rFonts w:hint="default"/>
        </w:rPr>
      </w:pPr>
      <w:r>
        <w:rPr>
          <w:rFonts w:hint="default"/>
        </w:rPr>
        <w:t xml:space="preserve">  </w:t>
      </w:r>
    </w:p>
    <w:p>
      <w:pPr>
        <w:pStyle w:val="2"/>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Times New Roman" w:hAnsi="Times New Roman" w:eastAsia="方正小标宋简体" w:cs="Times New Roman"/>
          <w:sz w:val="44"/>
          <w:szCs w:val="44"/>
          <w:lang w:val="en-US" w:eastAsia="zh-CN"/>
        </w:rPr>
        <w:t xml:space="preserve"> </w:t>
      </w:r>
      <w:bookmarkStart w:id="116" w:name="_Toc12549"/>
      <w:bookmarkStart w:id="117" w:name="_Toc3570"/>
      <w:r>
        <w:rPr>
          <w:rFonts w:hint="eastAsia" w:ascii="方正小标宋简体" w:hAnsi="方正小标宋简体" w:eastAsia="方正小标宋简体" w:cs="方正小标宋简体"/>
          <w:sz w:val="44"/>
          <w:szCs w:val="44"/>
        </w:rPr>
        <w:t>《西山区“十四五”人口发展专项规划》名词解释</w:t>
      </w:r>
      <w:bookmarkEnd w:id="116"/>
      <w:bookmarkEnd w:id="117"/>
    </w:p>
    <w:p>
      <w:pPr>
        <w:pageBreakBefore w:val="0"/>
        <w:kinsoku/>
        <w:wordWrap/>
        <w:overflowPunct/>
        <w:topLinePunct w:val="0"/>
        <w:autoSpaceDE/>
        <w:autoSpaceDN/>
        <w:bidi w:val="0"/>
        <w:adjustRightInd/>
        <w:spacing w:line="560" w:lineRule="exact"/>
        <w:textAlignment w:val="auto"/>
        <w:rPr>
          <w:rFonts w:hint="default" w:ascii="Times New Roman" w:hAnsi="Times New Roman" w:eastAsia="方正小标宋简体" w:cs="Times New Roman"/>
          <w:sz w:val="44"/>
          <w:szCs w:val="44"/>
        </w:rPr>
      </w:pP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三个层级</w:t>
      </w:r>
      <w:r>
        <w:rPr>
          <w:rFonts w:hint="default" w:ascii="Times New Roman" w:hAnsi="Times New Roman" w:eastAsia="黑体" w:cs="Times New Roman"/>
          <w:b w:val="0"/>
          <w:bCs/>
          <w:sz w:val="32"/>
          <w:szCs w:val="32"/>
          <w:lang w:eastAsia="zh-CN"/>
        </w:rPr>
        <w:t>：</w:t>
      </w:r>
      <w:r>
        <w:rPr>
          <w:rFonts w:hint="default" w:ascii="Times New Roman" w:hAnsi="Times New Roman" w:eastAsia="仿宋_GB2312" w:cs="Times New Roman"/>
          <w:sz w:val="32"/>
          <w:szCs w:val="32"/>
        </w:rPr>
        <w:t>西山区10个街道办事处按地理区位和经济社会发展程度，可划分三个层级：即城市核心区，市郊区和远郊区。具体讲，簇拥于草海东北边的金碧、永昌、棕树营、西苑4个街道办事处，虽然区域面积狭小，却是人口高度聚集的城市区，属于昆明市主城核心区的重要组成部分；其外围的马街、福海和前卫3个街道办事处是城乡混合的市郊区；西北部的团结、西边的碧鸡和西南端的海口3个街道办事处则是地广人稀的远郊乡镇。</w:t>
      </w: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常住人口</w:t>
      </w:r>
      <w:r>
        <w:rPr>
          <w:rFonts w:hint="default" w:ascii="Times New Roman" w:hAnsi="Times New Roman" w:eastAsia="黑体" w:cs="Times New Roman"/>
          <w:b w:val="0"/>
          <w:bCs/>
          <w:sz w:val="32"/>
          <w:szCs w:val="32"/>
          <w:lang w:val="en-US" w:eastAsia="zh-CN"/>
        </w:rPr>
        <w:t>：</w:t>
      </w:r>
      <w:r>
        <w:rPr>
          <w:rFonts w:hint="default" w:ascii="Times New Roman" w:hAnsi="Times New Roman" w:eastAsia="仿宋_GB2312" w:cs="Times New Roman"/>
          <w:sz w:val="32"/>
          <w:szCs w:val="32"/>
        </w:rPr>
        <w:t>指常住本区域内的人口，一般讲，常住本地的人口主要是拥有本地户籍的人口，但在户籍制度放宽的情形下，即便没有本地户籍，但</w:t>
      </w:r>
      <w:bookmarkStart w:id="118" w:name="_Hlk45316090"/>
      <w:r>
        <w:rPr>
          <w:rFonts w:hint="default" w:ascii="Times New Roman" w:hAnsi="Times New Roman" w:eastAsia="仿宋_GB2312" w:cs="Times New Roman"/>
          <w:sz w:val="32"/>
          <w:szCs w:val="32"/>
        </w:rPr>
        <w:t>只要居住在本地半年以上，就被统计为本地的常住人口。</w:t>
      </w:r>
      <w:bookmarkEnd w:id="118"/>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户籍人口</w:t>
      </w:r>
      <w:r>
        <w:rPr>
          <w:rFonts w:hint="default" w:ascii="Times New Roman" w:hAnsi="Times New Roman" w:eastAsia="黑体" w:cs="Times New Roman"/>
          <w:b w:val="0"/>
          <w:bCs/>
          <w:sz w:val="32"/>
          <w:szCs w:val="32"/>
          <w:lang w:val="en-US" w:eastAsia="zh-CN"/>
        </w:rPr>
        <w:t>：</w:t>
      </w:r>
      <w:r>
        <w:rPr>
          <w:rFonts w:hint="default" w:ascii="Times New Roman" w:hAnsi="Times New Roman" w:eastAsia="仿宋_GB2312" w:cs="Times New Roman"/>
          <w:sz w:val="32"/>
          <w:szCs w:val="32"/>
        </w:rPr>
        <w:t>指具有本地户籍的人口。在城乡“二元分割”的情形下，可划分城镇居民户口与农村农业户口。</w:t>
      </w: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非户籍人口</w:t>
      </w:r>
      <w:r>
        <w:rPr>
          <w:rFonts w:hint="default" w:ascii="Times New Roman" w:hAnsi="Times New Roman" w:eastAsia="黑体" w:cs="Times New Roman"/>
          <w:b w:val="0"/>
          <w:bCs/>
          <w:sz w:val="32"/>
          <w:szCs w:val="32"/>
          <w:lang w:val="en-US" w:eastAsia="zh-CN"/>
        </w:rPr>
        <w:t>：</w:t>
      </w:r>
      <w:r>
        <w:rPr>
          <w:rFonts w:hint="default" w:ascii="Times New Roman" w:hAnsi="Times New Roman" w:eastAsia="仿宋_GB2312" w:cs="Times New Roman"/>
          <w:sz w:val="32"/>
          <w:szCs w:val="32"/>
        </w:rPr>
        <w:t>指没有本地户籍，但居住在本地半年以上的外来人口，亦被统计为居住地的常住人口。</w:t>
      </w: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流动人口</w:t>
      </w:r>
      <w:r>
        <w:rPr>
          <w:rFonts w:hint="default" w:ascii="Times New Roman" w:hAnsi="Times New Roman" w:eastAsia="黑体" w:cs="Times New Roman"/>
          <w:b w:val="0"/>
          <w:bCs/>
          <w:sz w:val="32"/>
          <w:szCs w:val="32"/>
          <w:lang w:val="en-US" w:eastAsia="zh-CN"/>
        </w:rPr>
        <w:t>：</w:t>
      </w:r>
      <w:r>
        <w:rPr>
          <w:rFonts w:hint="default" w:ascii="Times New Roman" w:hAnsi="Times New Roman" w:eastAsia="仿宋_GB2312" w:cs="Times New Roman"/>
          <w:sz w:val="32"/>
          <w:szCs w:val="32"/>
        </w:rPr>
        <w:t>即非户籍人口的通常称呼。</w:t>
      </w:r>
      <w:bookmarkStart w:id="119" w:name="_Hlk47109201"/>
      <w:r>
        <w:rPr>
          <w:rFonts w:hint="default" w:ascii="Times New Roman" w:hAnsi="Times New Roman" w:eastAsia="仿宋_GB2312" w:cs="Times New Roman"/>
          <w:sz w:val="32"/>
          <w:szCs w:val="32"/>
        </w:rPr>
        <w:t>当流入人口＞流出人口时，净流动为正，反之为负。</w:t>
      </w:r>
      <w:bookmarkEnd w:id="119"/>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迁移人口</w:t>
      </w:r>
      <w:r>
        <w:rPr>
          <w:rFonts w:hint="default" w:ascii="Times New Roman" w:hAnsi="Times New Roman" w:eastAsia="黑体" w:cs="Times New Roman"/>
          <w:b w:val="0"/>
          <w:bCs/>
          <w:sz w:val="32"/>
          <w:szCs w:val="32"/>
          <w:lang w:eastAsia="zh-CN"/>
        </w:rPr>
        <w:t>：</w:t>
      </w:r>
      <w:r>
        <w:rPr>
          <w:rFonts w:hint="default" w:ascii="Times New Roman" w:hAnsi="Times New Roman" w:eastAsia="仿宋_GB2312" w:cs="Times New Roman"/>
          <w:sz w:val="32"/>
          <w:szCs w:val="32"/>
        </w:rPr>
        <w:t>指改变户籍所在地的人口变动。当迁入人口＞迁出人口时，净迁移为正，反之为负。</w:t>
      </w: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人口自然变动</w:t>
      </w:r>
      <w:r>
        <w:rPr>
          <w:rFonts w:hint="default" w:ascii="Times New Roman" w:hAnsi="Times New Roman" w:eastAsia="黑体" w:cs="Times New Roman"/>
          <w:b w:val="0"/>
          <w:bCs/>
          <w:sz w:val="32"/>
          <w:szCs w:val="32"/>
          <w:lang w:eastAsia="zh-CN"/>
        </w:rPr>
        <w:t>：</w:t>
      </w:r>
      <w:r>
        <w:rPr>
          <w:rFonts w:hint="default" w:ascii="Times New Roman" w:hAnsi="Times New Roman" w:eastAsia="仿宋_GB2312" w:cs="Times New Roman"/>
          <w:sz w:val="32"/>
          <w:szCs w:val="32"/>
        </w:rPr>
        <w:t>指</w:t>
      </w:r>
      <w:bookmarkStart w:id="120" w:name="_Hlk45317502"/>
      <w:r>
        <w:rPr>
          <w:rFonts w:hint="default" w:ascii="Times New Roman" w:hAnsi="Times New Roman" w:eastAsia="仿宋_GB2312" w:cs="Times New Roman"/>
          <w:sz w:val="32"/>
          <w:szCs w:val="32"/>
        </w:rPr>
        <w:t>由出生人口与死亡人口两因素变化引起的人口变动。</w:t>
      </w:r>
      <w:bookmarkEnd w:id="120"/>
      <w:r>
        <w:rPr>
          <w:rFonts w:hint="default" w:ascii="Times New Roman" w:hAnsi="Times New Roman" w:eastAsia="仿宋_GB2312" w:cs="Times New Roman"/>
          <w:sz w:val="32"/>
          <w:szCs w:val="32"/>
        </w:rPr>
        <w:t>当出生人口大于死亡人口时，人口自然变动为正增长，反之人口负增长。</w:t>
      </w: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人口迁移变动</w:t>
      </w:r>
      <w:r>
        <w:rPr>
          <w:rFonts w:hint="default" w:ascii="Times New Roman" w:hAnsi="Times New Roman" w:eastAsia="黑体" w:cs="Times New Roman"/>
          <w:b w:val="0"/>
          <w:bCs/>
          <w:sz w:val="32"/>
          <w:szCs w:val="32"/>
          <w:lang w:eastAsia="zh-CN"/>
        </w:rPr>
        <w:t>：</w:t>
      </w:r>
      <w:r>
        <w:rPr>
          <w:rFonts w:hint="default" w:ascii="Times New Roman" w:hAnsi="Times New Roman" w:eastAsia="仿宋_GB2312" w:cs="Times New Roman"/>
          <w:sz w:val="32"/>
          <w:szCs w:val="32"/>
        </w:rPr>
        <w:t>指由迁入人口与迁出人口两因素变化引起的人口变动，当迁入人口大于迁出人口时，人口净迁移为正值，反之为负值。</w:t>
      </w: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人口性别比</w:t>
      </w:r>
      <w:r>
        <w:rPr>
          <w:rFonts w:hint="default" w:ascii="Times New Roman" w:hAnsi="Times New Roman" w:eastAsia="黑体" w:cs="Times New Roman"/>
          <w:b w:val="0"/>
          <w:bCs/>
          <w:sz w:val="32"/>
          <w:szCs w:val="32"/>
          <w:lang w:eastAsia="zh-CN"/>
        </w:rPr>
        <w:t>：</w:t>
      </w:r>
      <w:r>
        <w:rPr>
          <w:rFonts w:hint="default" w:ascii="Times New Roman" w:hAnsi="Times New Roman" w:eastAsia="仿宋_GB2312" w:cs="Times New Roman"/>
          <w:sz w:val="32"/>
          <w:szCs w:val="32"/>
        </w:rPr>
        <w:t>分为总人口性别比和出生人口性别比，前者指每100名女性人口所对应的男性人口数，后者指每出生100名女婴所对应的男婴数，其正常比值区间为100:103~107。</w:t>
      </w: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总和生育率</w:t>
      </w:r>
      <w:r>
        <w:rPr>
          <w:rFonts w:hint="default" w:ascii="Times New Roman" w:hAnsi="Times New Roman" w:eastAsia="黑体" w:cs="Times New Roman"/>
          <w:b w:val="0"/>
          <w:bCs/>
          <w:sz w:val="32"/>
          <w:szCs w:val="32"/>
          <w:lang w:eastAsia="zh-CN"/>
        </w:rPr>
        <w:t>：</w:t>
      </w:r>
      <w:r>
        <w:rPr>
          <w:rFonts w:hint="default" w:ascii="Times New Roman" w:hAnsi="Times New Roman" w:eastAsia="仿宋_GB2312" w:cs="Times New Roman"/>
          <w:sz w:val="32"/>
          <w:szCs w:val="32"/>
        </w:rPr>
        <w:t>指育龄妇女按现实的年龄别生育率度过整个育龄期所生育的子女数。正常情形下，妇女一生生育2.1个孩子，被视为生育“更替水平”，意味着子女一代能够替代父母一代，保持人口更替的代际持平。当总和生育率高于2.1时，人口趋向扩张，反之，则人口趋于缩减。特别强调：总和生育率与自然增长率不同，前者反映育龄妇女的生育状况，是评测妇女生育强度的指标；后者反映总人口中的出生与死亡两因素的互动结果，旨在评测人口的自然增长状况。</w:t>
      </w: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低生育</w:t>
      </w:r>
      <w:r>
        <w:rPr>
          <w:rFonts w:hint="default" w:ascii="Times New Roman" w:hAnsi="Times New Roman" w:eastAsia="黑体" w:cs="Times New Roman"/>
          <w:b w:val="0"/>
          <w:bCs/>
          <w:sz w:val="32"/>
          <w:szCs w:val="32"/>
          <w:lang w:eastAsia="zh-CN"/>
        </w:rPr>
        <w:t>：</w:t>
      </w:r>
      <w:r>
        <w:rPr>
          <w:rFonts w:hint="default" w:ascii="Times New Roman" w:hAnsi="Times New Roman" w:eastAsia="仿宋_GB2312" w:cs="Times New Roman"/>
          <w:sz w:val="32"/>
          <w:szCs w:val="32"/>
        </w:rPr>
        <w:t>通常指妇女</w:t>
      </w:r>
      <w:bookmarkStart w:id="121" w:name="_Hlk45360605"/>
      <w:r>
        <w:rPr>
          <w:rFonts w:hint="default" w:ascii="Times New Roman" w:hAnsi="Times New Roman" w:eastAsia="仿宋_GB2312" w:cs="Times New Roman"/>
          <w:sz w:val="32"/>
          <w:szCs w:val="32"/>
        </w:rPr>
        <w:t>总和生育率低于2.1</w:t>
      </w:r>
      <w:bookmarkEnd w:id="121"/>
      <w:r>
        <w:rPr>
          <w:rFonts w:hint="default" w:ascii="Times New Roman" w:hAnsi="Times New Roman" w:eastAsia="仿宋_GB2312" w:cs="Times New Roman"/>
          <w:sz w:val="32"/>
          <w:szCs w:val="32"/>
        </w:rPr>
        <w:t>的“更替水平”。按国际社会的观察，当总和生育率低于1.8时，就可确认为“低生育”；当低于1.5时，就被认为是“超低生育率”；当低于1.3时，则凸显“极低生育率”水平。</w:t>
      </w: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出生人口预期寿命</w:t>
      </w:r>
      <w:r>
        <w:rPr>
          <w:rFonts w:hint="default" w:ascii="Times New Roman" w:hAnsi="Times New Roman" w:eastAsia="黑体" w:cs="Times New Roman"/>
          <w:b w:val="0"/>
          <w:bCs/>
          <w:sz w:val="32"/>
          <w:szCs w:val="32"/>
          <w:lang w:eastAsia="zh-CN"/>
        </w:rPr>
        <w:t>：</w:t>
      </w:r>
      <w:r>
        <w:rPr>
          <w:rFonts w:hint="default" w:ascii="Times New Roman" w:hAnsi="Times New Roman" w:eastAsia="仿宋_GB2312" w:cs="Times New Roman"/>
          <w:sz w:val="32"/>
          <w:szCs w:val="32"/>
        </w:rPr>
        <w:t>指新出生的婴儿如果按照现实的人口年龄别死亡率度过一生，有可能存活的年岁。作为观察人口寿命长短的指标，出生预期寿命只是假设条件限定下的期望值，并不表明个体的真实寿命</w:t>
      </w: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平均受教育年限</w:t>
      </w:r>
      <w:r>
        <w:rPr>
          <w:rFonts w:hint="default" w:ascii="Times New Roman" w:hAnsi="Times New Roman" w:eastAsia="黑体" w:cs="Times New Roman"/>
          <w:b w:val="0"/>
          <w:bCs/>
          <w:sz w:val="32"/>
          <w:szCs w:val="32"/>
          <w:lang w:eastAsia="zh-CN"/>
        </w:rPr>
        <w:t>：</w:t>
      </w:r>
      <w:r>
        <w:rPr>
          <w:rFonts w:hint="default" w:ascii="Times New Roman" w:hAnsi="Times New Roman" w:eastAsia="仿宋_GB2312" w:cs="Times New Roman"/>
          <w:sz w:val="32"/>
          <w:szCs w:val="32"/>
        </w:rPr>
        <w:t>指按6岁及以上人口平均的受教育年限，统计指标是将各层次受教育人口乘以受教育年限并加总，除以6岁及以上人口数。</w:t>
      </w: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文盲率</w:t>
      </w:r>
      <w:r>
        <w:rPr>
          <w:rFonts w:hint="default" w:ascii="Times New Roman" w:hAnsi="Times New Roman" w:eastAsia="黑体" w:cs="Times New Roman"/>
          <w:b w:val="0"/>
          <w:bCs/>
          <w:sz w:val="32"/>
          <w:szCs w:val="32"/>
          <w:lang w:eastAsia="zh-CN"/>
        </w:rPr>
        <w:t>：</w:t>
      </w:r>
      <w:r>
        <w:rPr>
          <w:rFonts w:hint="default" w:ascii="Times New Roman" w:hAnsi="Times New Roman" w:eastAsia="仿宋_GB2312" w:cs="Times New Roman"/>
          <w:sz w:val="32"/>
          <w:szCs w:val="32"/>
        </w:rPr>
        <w:t>指15岁及以上人口中不识字和初识字人口的占比。</w:t>
      </w: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人口老龄化</w:t>
      </w:r>
      <w:r>
        <w:rPr>
          <w:rFonts w:hint="default" w:ascii="Times New Roman" w:hAnsi="Times New Roman" w:eastAsia="黑体" w:cs="Times New Roman"/>
          <w:b w:val="0"/>
          <w:bCs/>
          <w:sz w:val="32"/>
          <w:szCs w:val="32"/>
          <w:lang w:eastAsia="zh-CN"/>
        </w:rPr>
        <w:t>：</w:t>
      </w:r>
      <w:r>
        <w:rPr>
          <w:rFonts w:hint="default" w:ascii="Times New Roman" w:hAnsi="Times New Roman" w:eastAsia="仿宋_GB2312" w:cs="Times New Roman"/>
          <w:sz w:val="32"/>
          <w:szCs w:val="32"/>
        </w:rPr>
        <w:t>指60岁及以上的老年人口在总人口中的占比不断上升的现象。通常情况下，人口老龄化有两条实现路径，一是因出生率下降带来少儿人口减少导致老年人口占比相对增加，即所谓“少子老龄化”或底部老龄化；另一是因预期寿命延长，60岁及以上老年人口规模不断扩张，导致老年人口占比的直接上升，称为顶端老龄化。</w:t>
      </w: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人口城镇化</w:t>
      </w:r>
      <w:r>
        <w:rPr>
          <w:rFonts w:hint="default" w:ascii="Times New Roman" w:hAnsi="Times New Roman" w:eastAsia="黑体" w:cs="Times New Roman"/>
          <w:b w:val="0"/>
          <w:bCs/>
          <w:sz w:val="32"/>
          <w:szCs w:val="32"/>
          <w:lang w:eastAsia="zh-CN"/>
        </w:rPr>
        <w:t>：</w:t>
      </w:r>
      <w:r>
        <w:rPr>
          <w:rFonts w:hint="default" w:ascii="Times New Roman" w:hAnsi="Times New Roman" w:eastAsia="仿宋_GB2312" w:cs="Times New Roman"/>
          <w:sz w:val="32"/>
          <w:szCs w:val="32"/>
        </w:rPr>
        <w:t>指乡村人口转变为城镇人口，并在城镇聚集的现象，表现人口聚集空间的乡城转变过程。</w:t>
      </w: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 w:val="0"/>
          <w:bCs/>
          <w:sz w:val="32"/>
          <w:szCs w:val="32"/>
        </w:rPr>
        <w:t>人口红利</w:t>
      </w:r>
      <w:r>
        <w:rPr>
          <w:rFonts w:hint="default" w:ascii="Times New Roman" w:hAnsi="Times New Roman" w:eastAsia="黑体" w:cs="Times New Roman"/>
          <w:b w:val="0"/>
          <w:bCs/>
          <w:sz w:val="32"/>
          <w:szCs w:val="32"/>
          <w:lang w:eastAsia="zh-CN"/>
        </w:rPr>
        <w:t>：</w:t>
      </w:r>
      <w:r>
        <w:rPr>
          <w:rFonts w:hint="default" w:ascii="Times New Roman" w:hAnsi="Times New Roman" w:eastAsia="仿宋_GB2312" w:cs="Times New Roman"/>
          <w:sz w:val="32"/>
          <w:szCs w:val="32"/>
        </w:rPr>
        <w:t>指有“利”可图的人口年龄结构优势，具体表现为劳动年龄人口占比不断扩张，同时被抚养人口占比不断缩减的现象。</w:t>
      </w: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黑体" w:cs="Times New Roman"/>
          <w:b w:val="0"/>
          <w:bCs/>
          <w:sz w:val="32"/>
          <w:szCs w:val="32"/>
        </w:rPr>
        <w:t>人口抚养比</w:t>
      </w:r>
      <w:r>
        <w:rPr>
          <w:rFonts w:hint="default" w:ascii="Times New Roman" w:hAnsi="Times New Roman" w:eastAsia="黑体" w:cs="Times New Roman"/>
          <w:b w:val="0"/>
          <w:bCs/>
          <w:sz w:val="32"/>
          <w:szCs w:val="32"/>
          <w:lang w:eastAsia="zh-CN"/>
        </w:rPr>
        <w:t>：</w:t>
      </w:r>
      <w:r>
        <w:rPr>
          <w:rFonts w:hint="default" w:ascii="Times New Roman" w:hAnsi="Times New Roman" w:eastAsia="仿宋_GB2312" w:cs="Times New Roman"/>
          <w:sz w:val="32"/>
          <w:szCs w:val="32"/>
        </w:rPr>
        <w:t>指≤14岁的少儿人口和≥60岁的老年人口与15~59岁的劳动年龄人口之比。</w:t>
      </w:r>
    </w:p>
    <w:p>
      <w:pPr>
        <w:keepNext w:val="0"/>
        <w:keepLines w:val="0"/>
        <w:pageBreakBefore w:val="0"/>
        <w:numPr>
          <w:ilvl w:val="0"/>
          <w:numId w:val="2"/>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黑体" w:cs="Times New Roman"/>
          <w:b w:val="0"/>
          <w:bCs/>
          <w:sz w:val="32"/>
          <w:szCs w:val="32"/>
        </w:rPr>
        <w:t>第二次人口生育高峰</w:t>
      </w:r>
      <w:r>
        <w:rPr>
          <w:rFonts w:hint="default" w:ascii="Times New Roman" w:hAnsi="Times New Roman" w:eastAsia="黑体" w:cs="Times New Roman"/>
          <w:b w:val="0"/>
          <w:bCs/>
          <w:sz w:val="32"/>
          <w:szCs w:val="32"/>
          <w:lang w:eastAsia="zh-CN"/>
        </w:rPr>
        <w:t>：</w:t>
      </w:r>
      <w:r>
        <w:rPr>
          <w:rFonts w:hint="default" w:ascii="Times New Roman" w:hAnsi="Times New Roman" w:eastAsia="仿宋_GB2312" w:cs="Times New Roman"/>
          <w:bCs/>
          <w:sz w:val="32"/>
          <w:szCs w:val="32"/>
        </w:rPr>
        <w:t>1949年新中国成立后，中国迎来了第一次人口生育高峰，经过1958~1961年“三年自然灾害”后，自1962年起进入“第二次人口生育高峰”，并持续至1975年，年均出生人口多在2000万人以上。</w:t>
      </w:r>
    </w:p>
    <w:p>
      <w:pPr>
        <w:keepNext w:val="0"/>
        <w:keepLines w:val="0"/>
        <w:pageBreakBefore w:val="0"/>
        <w:widowControl/>
        <w:kinsoku/>
        <w:wordWrap/>
        <w:overflowPunct/>
        <w:topLinePunct w:val="0"/>
        <w:autoSpaceDE/>
        <w:autoSpaceDN/>
        <w:bidi w:val="0"/>
        <w:adjustRightInd/>
        <w:spacing w:line="560" w:lineRule="exact"/>
        <w:ind w:firstLine="643" w:firstLineChars="200"/>
        <w:jc w:val="left"/>
        <w:textAlignment w:val="auto"/>
        <w:rPr>
          <w:rFonts w:hint="default" w:ascii="Times New Roman" w:hAnsi="Times New Roman" w:cs="Times New Roman"/>
          <w:b/>
        </w:rPr>
      </w:pPr>
      <w:r>
        <w:rPr>
          <w:rFonts w:hint="default" w:ascii="Times New Roman" w:hAnsi="Times New Roman" w:eastAsia="仿宋_GB2312" w:cs="Times New Roman"/>
          <w:b/>
          <w:sz w:val="32"/>
          <w:szCs w:val="32"/>
        </w:rPr>
        <w:br w:type="page"/>
      </w:r>
    </w:p>
    <w:p>
      <w:pPr>
        <w:pStyle w:val="2"/>
        <w:bidi w:val="0"/>
        <w:jc w:val="left"/>
      </w:pPr>
      <w:bookmarkStart w:id="122" w:name="_Toc10382"/>
      <w:bookmarkStart w:id="123" w:name="_Toc32349"/>
      <w:bookmarkStart w:id="124" w:name="_Hlk48041287"/>
      <w:r>
        <w:rPr>
          <w:rFonts w:hint="eastAsia"/>
        </w:rPr>
        <w:t>附件</w:t>
      </w:r>
      <w:r>
        <w:rPr>
          <w:rFonts w:hint="eastAsia"/>
          <w:lang w:val="en-US" w:eastAsia="zh-CN"/>
        </w:rPr>
        <w:t>2</w:t>
      </w:r>
      <w:bookmarkEnd w:id="122"/>
      <w:bookmarkEnd w:id="123"/>
      <w:r>
        <w:t xml:space="preserve"> </w:t>
      </w:r>
    </w:p>
    <w:p>
      <w:pPr>
        <w:bidi w:val="0"/>
      </w:pPr>
      <w:r>
        <w:t xml:space="preserve"> </w:t>
      </w:r>
    </w:p>
    <w:p>
      <w:pPr>
        <w:pStyle w:val="2"/>
        <w:bidi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 xml:space="preserve"> </w:t>
      </w:r>
      <w:bookmarkStart w:id="125" w:name="_Toc9080"/>
      <w:bookmarkStart w:id="126" w:name="_Toc3355"/>
      <w:r>
        <w:rPr>
          <w:rFonts w:hint="eastAsia" w:ascii="方正小标宋简体" w:hAnsi="方正小标宋简体" w:eastAsia="方正小标宋简体" w:cs="方正小标宋简体"/>
          <w:sz w:val="44"/>
          <w:szCs w:val="44"/>
        </w:rPr>
        <w:t>《西山区“十四五”人口发展专项规划》数据图表</w:t>
      </w:r>
      <w:bookmarkEnd w:id="125"/>
      <w:bookmarkEnd w:id="126"/>
    </w:p>
    <w:p>
      <w:pPr>
        <w:jc w:val="center"/>
      </w:pPr>
    </w:p>
    <w:p>
      <w:pPr>
        <w:spacing w:before="156" w:beforeLines="50" w:line="276" w:lineRule="auto"/>
        <w:ind w:firstLine="420" w:firstLineChars="200"/>
        <w:jc w:val="center"/>
        <w:rPr>
          <w:rFonts w:asciiTheme="minorAscii"/>
          <w:sz w:val="21"/>
          <w:szCs w:val="21"/>
        </w:rPr>
      </w:pPr>
      <w:r>
        <w:rPr>
          <w:rFonts w:hint="eastAsia" w:asciiTheme="minorAscii"/>
          <w:sz w:val="21"/>
          <w:szCs w:val="21"/>
        </w:rPr>
        <w:t>表1</w:t>
      </w:r>
      <w:r>
        <w:rPr>
          <w:rFonts w:asciiTheme="minorAscii"/>
          <w:sz w:val="21"/>
          <w:szCs w:val="21"/>
        </w:rPr>
        <w:tab/>
      </w:r>
      <w:r>
        <w:rPr>
          <w:rFonts w:hint="eastAsia" w:asciiTheme="minorAscii"/>
          <w:sz w:val="21"/>
          <w:szCs w:val="21"/>
          <w:lang w:val="en-US" w:eastAsia="zh-CN"/>
        </w:rPr>
        <w:t xml:space="preserve"> </w:t>
      </w:r>
      <w:r>
        <w:rPr>
          <w:rFonts w:hint="eastAsia" w:asciiTheme="minorAscii"/>
          <w:sz w:val="21"/>
          <w:szCs w:val="21"/>
        </w:rPr>
        <w:t xml:space="preserve">两次普查年昆明市常住人口统计 </w:t>
      </w:r>
      <w:r>
        <w:rPr>
          <w:rFonts w:asciiTheme="minorAscii"/>
          <w:sz w:val="21"/>
          <w:szCs w:val="21"/>
        </w:rPr>
        <w:t xml:space="preserve">        </w:t>
      </w:r>
      <w:r>
        <w:rPr>
          <w:rFonts w:hint="eastAsia" w:asciiTheme="minorAscii"/>
          <w:sz w:val="21"/>
          <w:szCs w:val="21"/>
        </w:rPr>
        <w:t>单位：万人，%</w:t>
      </w:r>
    </w:p>
    <w:tbl>
      <w:tblPr>
        <w:tblStyle w:val="37"/>
        <w:tblW w:w="7995" w:type="dxa"/>
        <w:jc w:val="center"/>
        <w:tblInd w:w="0" w:type="dxa"/>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
      <w:tblGrid>
        <w:gridCol w:w="1599"/>
        <w:gridCol w:w="1599"/>
        <w:gridCol w:w="1599"/>
        <w:gridCol w:w="1599"/>
        <w:gridCol w:w="1599"/>
      </w:tblGrid>
      <w:tr>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Ex>
        <w:trPr>
          <w:trHeight w:val="278" w:hRule="atLeast"/>
          <w:jc w:val="center"/>
        </w:trPr>
        <w:tc>
          <w:tcPr>
            <w:tcW w:w="1599" w:type="dxa"/>
            <w:tcBorders>
              <w:bottom w:val="single" w:color="9CC2E5" w:themeColor="accent5" w:themeTint="99" w:sz="12" w:space="0"/>
              <w:insideH w:val="single" w:sz="12" w:space="0"/>
            </w:tcBorders>
            <w:noWrap/>
          </w:tcPr>
          <w:p>
            <w:pPr>
              <w:widowControl/>
              <w:jc w:val="center"/>
              <w:rPr>
                <w:rFonts w:hAnsi="宋体" w:eastAsia="宋体" w:cs="宋体" w:asciiTheme="minorAscii"/>
                <w:b/>
                <w:bCs/>
                <w:kern w:val="0"/>
                <w:sz w:val="21"/>
                <w:szCs w:val="21"/>
              </w:rPr>
            </w:pPr>
          </w:p>
        </w:tc>
        <w:tc>
          <w:tcPr>
            <w:tcW w:w="1599" w:type="dxa"/>
            <w:tcBorders>
              <w:bottom w:val="single" w:color="9CC2E5" w:themeColor="accent5" w:themeTint="99" w:sz="12" w:space="0"/>
              <w:insideH w:val="single" w:sz="12" w:space="0"/>
            </w:tcBorders>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六普</w:t>
            </w:r>
          </w:p>
        </w:tc>
        <w:tc>
          <w:tcPr>
            <w:tcW w:w="1599" w:type="dxa"/>
            <w:tcBorders>
              <w:bottom w:val="single" w:color="9CC2E5" w:themeColor="accent5" w:themeTint="99" w:sz="12" w:space="0"/>
              <w:insideH w:val="single" w:sz="12" w:space="0"/>
            </w:tcBorders>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七普</w:t>
            </w:r>
          </w:p>
        </w:tc>
        <w:tc>
          <w:tcPr>
            <w:tcW w:w="1599" w:type="dxa"/>
            <w:tcBorders>
              <w:bottom w:val="single" w:color="9CC2E5" w:themeColor="accent5" w:themeTint="99" w:sz="12" w:space="0"/>
              <w:insideH w:val="single" w:sz="12" w:space="0"/>
            </w:tcBorders>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净增人口</w:t>
            </w:r>
          </w:p>
        </w:tc>
        <w:tc>
          <w:tcPr>
            <w:tcW w:w="1599" w:type="dxa"/>
            <w:tcBorders>
              <w:bottom w:val="single" w:color="9CC2E5" w:themeColor="accent5" w:themeTint="99" w:sz="12" w:space="0"/>
              <w:insideH w:val="single" w:sz="12" w:space="0"/>
            </w:tcBorders>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增幅</w:t>
            </w:r>
          </w:p>
        </w:tc>
      </w:tr>
      <w:tr>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Ex>
        <w:trPr>
          <w:trHeight w:val="278" w:hRule="atLeast"/>
          <w:jc w:val="center"/>
        </w:trPr>
        <w:tc>
          <w:tcPr>
            <w:tcW w:w="1599" w:type="dxa"/>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五华</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855521</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1143085</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287564</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33.61</w:t>
            </w:r>
          </w:p>
        </w:tc>
      </w:tr>
      <w:tr>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Ex>
        <w:trPr>
          <w:trHeight w:val="278" w:hRule="atLeast"/>
          <w:jc w:val="center"/>
        </w:trPr>
        <w:tc>
          <w:tcPr>
            <w:tcW w:w="1599" w:type="dxa"/>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盘龙</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809881</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987955</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178074</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21.99</w:t>
            </w:r>
          </w:p>
        </w:tc>
      </w:tr>
      <w:tr>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Ex>
        <w:trPr>
          <w:trHeight w:val="278" w:hRule="atLeast"/>
          <w:jc w:val="center"/>
        </w:trPr>
        <w:tc>
          <w:tcPr>
            <w:tcW w:w="1599" w:type="dxa"/>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官渡</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853371</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1602279</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748908</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87.76</w:t>
            </w:r>
          </w:p>
        </w:tc>
      </w:tr>
      <w:tr>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Ex>
        <w:trPr>
          <w:trHeight w:val="278" w:hRule="atLeast"/>
          <w:jc w:val="center"/>
        </w:trPr>
        <w:tc>
          <w:tcPr>
            <w:tcW w:w="1599" w:type="dxa"/>
            <w:noWrap/>
          </w:tcPr>
          <w:p>
            <w:pPr>
              <w:widowControl/>
              <w:jc w:val="center"/>
              <w:rPr>
                <w:rFonts w:hAnsi="等线" w:eastAsia="等线" w:cs="宋体" w:asciiTheme="minorAscii"/>
                <w:b/>
                <w:bCs/>
                <w:color w:val="000000"/>
                <w:kern w:val="0"/>
                <w:sz w:val="21"/>
                <w:szCs w:val="21"/>
                <w:highlight w:val="yellow"/>
              </w:rPr>
            </w:pPr>
            <w:r>
              <w:rPr>
                <w:rFonts w:hint="eastAsia" w:hAnsi="等线" w:eastAsia="等线" w:cs="宋体" w:asciiTheme="minorAscii"/>
                <w:b/>
                <w:bCs/>
                <w:color w:val="000000"/>
                <w:kern w:val="0"/>
                <w:sz w:val="21"/>
                <w:szCs w:val="21"/>
                <w:highlight w:val="yellow"/>
              </w:rPr>
              <w:t>西山</w:t>
            </w:r>
          </w:p>
        </w:tc>
        <w:tc>
          <w:tcPr>
            <w:tcW w:w="1599" w:type="dxa"/>
            <w:noWrap/>
          </w:tcPr>
          <w:p>
            <w:pPr>
              <w:widowControl/>
              <w:jc w:val="center"/>
              <w:rPr>
                <w:rFonts w:hAnsi="等线" w:eastAsia="等线" w:cs="宋体" w:asciiTheme="minorAscii"/>
                <w:color w:val="000000"/>
                <w:kern w:val="0"/>
                <w:sz w:val="21"/>
                <w:szCs w:val="21"/>
                <w:highlight w:val="yellow"/>
              </w:rPr>
            </w:pPr>
            <w:r>
              <w:rPr>
                <w:rFonts w:hint="eastAsia" w:hAnsi="等线" w:eastAsia="等线" w:cs="宋体" w:asciiTheme="minorAscii"/>
                <w:color w:val="000000"/>
                <w:kern w:val="0"/>
                <w:sz w:val="21"/>
                <w:szCs w:val="21"/>
                <w:highlight w:val="yellow"/>
              </w:rPr>
              <w:t>753813</w:t>
            </w:r>
          </w:p>
        </w:tc>
        <w:tc>
          <w:tcPr>
            <w:tcW w:w="1599" w:type="dxa"/>
            <w:noWrap/>
          </w:tcPr>
          <w:p>
            <w:pPr>
              <w:widowControl/>
              <w:jc w:val="center"/>
              <w:rPr>
                <w:rFonts w:hAnsi="等线" w:eastAsia="等线" w:cs="宋体" w:asciiTheme="minorAscii"/>
                <w:color w:val="000000"/>
                <w:kern w:val="0"/>
                <w:sz w:val="21"/>
                <w:szCs w:val="21"/>
                <w:highlight w:val="yellow"/>
              </w:rPr>
            </w:pPr>
            <w:r>
              <w:rPr>
                <w:rFonts w:hint="eastAsia" w:hAnsi="等线" w:eastAsia="等线" w:cs="宋体" w:asciiTheme="minorAscii"/>
                <w:color w:val="000000"/>
                <w:kern w:val="0"/>
                <w:sz w:val="21"/>
                <w:szCs w:val="21"/>
                <w:highlight w:val="yellow"/>
              </w:rPr>
              <w:t>960746</w:t>
            </w:r>
          </w:p>
        </w:tc>
        <w:tc>
          <w:tcPr>
            <w:tcW w:w="1599" w:type="dxa"/>
            <w:noWrap/>
          </w:tcPr>
          <w:p>
            <w:pPr>
              <w:widowControl/>
              <w:jc w:val="center"/>
              <w:rPr>
                <w:rFonts w:hAnsi="等线" w:eastAsia="等线" w:cs="宋体" w:asciiTheme="minorAscii"/>
                <w:color w:val="000000"/>
                <w:kern w:val="0"/>
                <w:sz w:val="21"/>
                <w:szCs w:val="21"/>
                <w:highlight w:val="yellow"/>
              </w:rPr>
            </w:pPr>
            <w:r>
              <w:rPr>
                <w:rFonts w:hint="eastAsia" w:hAnsi="等线" w:eastAsia="等线" w:cs="宋体" w:asciiTheme="minorAscii"/>
                <w:color w:val="000000"/>
                <w:kern w:val="0"/>
                <w:sz w:val="21"/>
                <w:szCs w:val="21"/>
                <w:highlight w:val="yellow"/>
              </w:rPr>
              <w:t>206933</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highlight w:val="yellow"/>
              </w:rPr>
              <w:t>27.45</w:t>
            </w:r>
          </w:p>
        </w:tc>
      </w:tr>
      <w:tr>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Ex>
        <w:trPr>
          <w:trHeight w:val="278" w:hRule="atLeast"/>
          <w:jc w:val="center"/>
        </w:trPr>
        <w:tc>
          <w:tcPr>
            <w:tcW w:w="1599" w:type="dxa"/>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东川</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271917</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260744</w:t>
            </w:r>
          </w:p>
        </w:tc>
        <w:tc>
          <w:tcPr>
            <w:tcW w:w="1599" w:type="dxa"/>
            <w:noWrap/>
          </w:tcPr>
          <w:p>
            <w:pPr>
              <w:widowControl/>
              <w:jc w:val="center"/>
              <w:rPr>
                <w:rFonts w:hAnsi="等线" w:eastAsia="等线" w:cs="宋体" w:asciiTheme="minorAscii"/>
                <w:color w:val="FF0000"/>
                <w:kern w:val="0"/>
                <w:sz w:val="21"/>
                <w:szCs w:val="21"/>
              </w:rPr>
            </w:pPr>
            <w:r>
              <w:rPr>
                <w:rFonts w:hint="eastAsia" w:hAnsi="等线" w:eastAsia="等线" w:cs="宋体" w:asciiTheme="minorAscii"/>
                <w:color w:val="FF0000"/>
                <w:kern w:val="0"/>
                <w:sz w:val="21"/>
                <w:szCs w:val="21"/>
              </w:rPr>
              <w:t>-11173</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-4.11</w:t>
            </w:r>
          </w:p>
        </w:tc>
      </w:tr>
      <w:tr>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Ex>
        <w:trPr>
          <w:trHeight w:val="278" w:hRule="atLeast"/>
          <w:jc w:val="center"/>
        </w:trPr>
        <w:tc>
          <w:tcPr>
            <w:tcW w:w="1599" w:type="dxa"/>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呈贡</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310843</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649501</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338658</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108.95</w:t>
            </w:r>
          </w:p>
        </w:tc>
      </w:tr>
      <w:tr>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Ex>
        <w:trPr>
          <w:trHeight w:val="278" w:hRule="atLeast"/>
          <w:jc w:val="center"/>
        </w:trPr>
        <w:tc>
          <w:tcPr>
            <w:tcW w:w="1599" w:type="dxa"/>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晋宁</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283784</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346268</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62484</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22.02</w:t>
            </w:r>
          </w:p>
        </w:tc>
      </w:tr>
      <w:tr>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Ex>
        <w:trPr>
          <w:trHeight w:val="278" w:hRule="atLeast"/>
          <w:jc w:val="center"/>
        </w:trPr>
        <w:tc>
          <w:tcPr>
            <w:tcW w:w="1599" w:type="dxa"/>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富民</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145554</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149506</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3952</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2.72</w:t>
            </w:r>
          </w:p>
        </w:tc>
      </w:tr>
      <w:tr>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Ex>
        <w:trPr>
          <w:trHeight w:val="278" w:hRule="atLeast"/>
          <w:jc w:val="center"/>
        </w:trPr>
        <w:tc>
          <w:tcPr>
            <w:tcW w:w="1599" w:type="dxa"/>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宜良</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419399</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384875</w:t>
            </w:r>
          </w:p>
        </w:tc>
        <w:tc>
          <w:tcPr>
            <w:tcW w:w="1599" w:type="dxa"/>
            <w:noWrap/>
          </w:tcPr>
          <w:p>
            <w:pPr>
              <w:widowControl/>
              <w:jc w:val="center"/>
              <w:rPr>
                <w:rFonts w:hAnsi="等线" w:eastAsia="等线" w:cs="宋体" w:asciiTheme="minorAscii"/>
                <w:color w:val="FF0000"/>
                <w:kern w:val="0"/>
                <w:sz w:val="21"/>
                <w:szCs w:val="21"/>
              </w:rPr>
            </w:pPr>
            <w:r>
              <w:rPr>
                <w:rFonts w:hint="eastAsia" w:hAnsi="等线" w:eastAsia="等线" w:cs="宋体" w:asciiTheme="minorAscii"/>
                <w:color w:val="FF0000"/>
                <w:kern w:val="0"/>
                <w:sz w:val="21"/>
                <w:szCs w:val="21"/>
              </w:rPr>
              <w:t>-34524</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-8.23</w:t>
            </w:r>
          </w:p>
        </w:tc>
      </w:tr>
      <w:tr>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Ex>
        <w:trPr>
          <w:trHeight w:val="278" w:hRule="atLeast"/>
          <w:jc w:val="center"/>
        </w:trPr>
        <w:tc>
          <w:tcPr>
            <w:tcW w:w="1599" w:type="dxa"/>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石林</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246218</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240827</w:t>
            </w:r>
          </w:p>
        </w:tc>
        <w:tc>
          <w:tcPr>
            <w:tcW w:w="1599" w:type="dxa"/>
            <w:noWrap/>
          </w:tcPr>
          <w:p>
            <w:pPr>
              <w:widowControl/>
              <w:jc w:val="center"/>
              <w:rPr>
                <w:rFonts w:hAnsi="等线" w:eastAsia="等线" w:cs="宋体" w:asciiTheme="minorAscii"/>
                <w:color w:val="FF0000"/>
                <w:kern w:val="0"/>
                <w:sz w:val="21"/>
                <w:szCs w:val="21"/>
              </w:rPr>
            </w:pPr>
            <w:r>
              <w:rPr>
                <w:rFonts w:hint="eastAsia" w:hAnsi="等线" w:eastAsia="等线" w:cs="宋体" w:asciiTheme="minorAscii"/>
                <w:color w:val="FF0000"/>
                <w:kern w:val="0"/>
                <w:sz w:val="21"/>
                <w:szCs w:val="21"/>
              </w:rPr>
              <w:t>-5391</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-2.19</w:t>
            </w:r>
          </w:p>
        </w:tc>
      </w:tr>
      <w:tr>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Ex>
        <w:trPr>
          <w:trHeight w:val="278" w:hRule="atLeast"/>
          <w:jc w:val="center"/>
        </w:trPr>
        <w:tc>
          <w:tcPr>
            <w:tcW w:w="1599" w:type="dxa"/>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嵩明</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287095</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410929</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123834</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43.13</w:t>
            </w:r>
          </w:p>
        </w:tc>
      </w:tr>
      <w:tr>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Ex>
        <w:trPr>
          <w:trHeight w:val="278" w:hRule="atLeast"/>
          <w:jc w:val="center"/>
        </w:trPr>
        <w:tc>
          <w:tcPr>
            <w:tcW w:w="1599" w:type="dxa"/>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禄劝</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396404</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378881</w:t>
            </w:r>
          </w:p>
        </w:tc>
        <w:tc>
          <w:tcPr>
            <w:tcW w:w="1599" w:type="dxa"/>
            <w:noWrap/>
          </w:tcPr>
          <w:p>
            <w:pPr>
              <w:widowControl/>
              <w:jc w:val="center"/>
              <w:rPr>
                <w:rFonts w:hAnsi="等线" w:eastAsia="等线" w:cs="宋体" w:asciiTheme="minorAscii"/>
                <w:color w:val="FF0000"/>
                <w:kern w:val="0"/>
                <w:sz w:val="21"/>
                <w:szCs w:val="21"/>
              </w:rPr>
            </w:pPr>
            <w:r>
              <w:rPr>
                <w:rFonts w:hint="eastAsia" w:hAnsi="等线" w:eastAsia="等线" w:cs="宋体" w:asciiTheme="minorAscii"/>
                <w:color w:val="FF0000"/>
                <w:kern w:val="0"/>
                <w:sz w:val="21"/>
                <w:szCs w:val="21"/>
              </w:rPr>
              <w:t>-17523</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-4.42</w:t>
            </w:r>
          </w:p>
        </w:tc>
      </w:tr>
      <w:tr>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Ex>
        <w:trPr>
          <w:trHeight w:val="278" w:hRule="atLeast"/>
          <w:jc w:val="center"/>
        </w:trPr>
        <w:tc>
          <w:tcPr>
            <w:tcW w:w="1599" w:type="dxa"/>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寻甸</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457068</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460739</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3671</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0.80</w:t>
            </w:r>
          </w:p>
        </w:tc>
      </w:tr>
      <w:tr>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Ex>
        <w:trPr>
          <w:trHeight w:val="278" w:hRule="atLeast"/>
          <w:jc w:val="center"/>
        </w:trPr>
        <w:tc>
          <w:tcPr>
            <w:tcW w:w="1599" w:type="dxa"/>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安宁</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341341</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483753</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142412</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41.72</w:t>
            </w:r>
          </w:p>
        </w:tc>
      </w:tr>
      <w:tr>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Ex>
        <w:trPr>
          <w:trHeight w:val="278" w:hRule="atLeast"/>
          <w:jc w:val="center"/>
        </w:trPr>
        <w:tc>
          <w:tcPr>
            <w:tcW w:w="1599" w:type="dxa"/>
            <w:noWrap/>
          </w:tcPr>
          <w:p>
            <w:pPr>
              <w:widowControl/>
              <w:jc w:val="center"/>
              <w:rPr>
                <w:rFonts w:hAnsi="等线" w:eastAsia="等线" w:cs="宋体" w:asciiTheme="minorAscii"/>
                <w:b/>
                <w:bCs/>
                <w:color w:val="000000"/>
                <w:kern w:val="0"/>
                <w:sz w:val="21"/>
                <w:szCs w:val="21"/>
              </w:rPr>
            </w:pPr>
            <w:r>
              <w:rPr>
                <w:rFonts w:hint="eastAsia" w:hAnsi="等线" w:eastAsia="等线" w:cs="宋体" w:asciiTheme="minorAscii"/>
                <w:b/>
                <w:bCs/>
                <w:color w:val="000000"/>
                <w:kern w:val="0"/>
                <w:sz w:val="21"/>
                <w:szCs w:val="21"/>
              </w:rPr>
              <w:t>合计</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6432209</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8460088</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2027879</w:t>
            </w:r>
          </w:p>
        </w:tc>
        <w:tc>
          <w:tcPr>
            <w:tcW w:w="1599" w:type="dxa"/>
            <w:noWrap/>
          </w:tcPr>
          <w:p>
            <w:pPr>
              <w:widowControl/>
              <w:jc w:val="center"/>
              <w:rPr>
                <w:rFonts w:hAnsi="等线" w:eastAsia="等线" w:cs="宋体" w:asciiTheme="minorAscii"/>
                <w:color w:val="000000"/>
                <w:kern w:val="0"/>
                <w:sz w:val="21"/>
                <w:szCs w:val="21"/>
              </w:rPr>
            </w:pPr>
            <w:r>
              <w:rPr>
                <w:rFonts w:hint="eastAsia" w:hAnsi="等线" w:eastAsia="等线" w:cs="宋体" w:asciiTheme="minorAscii"/>
                <w:color w:val="000000"/>
                <w:kern w:val="0"/>
                <w:sz w:val="21"/>
                <w:szCs w:val="21"/>
              </w:rPr>
              <w:t>31.53</w:t>
            </w:r>
          </w:p>
        </w:tc>
      </w:tr>
    </w:tbl>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asciiTheme="minorAscii"/>
          <w:sz w:val="21"/>
          <w:szCs w:val="21"/>
        </w:rPr>
      </w:pPr>
      <w:bookmarkStart w:id="127" w:name="_Hlk87170948"/>
      <w:r>
        <w:rPr>
          <w:rFonts w:hint="eastAsia" w:asciiTheme="minorAscii"/>
          <w:sz w:val="21"/>
          <w:szCs w:val="21"/>
        </w:rPr>
        <w:t>数据来源：</w:t>
      </w:r>
      <w:bookmarkEnd w:id="127"/>
      <w:r>
        <w:rPr>
          <w:rFonts w:hint="eastAsia" w:asciiTheme="minorAscii"/>
          <w:sz w:val="21"/>
          <w:szCs w:val="21"/>
        </w:rPr>
        <w:t>2</w:t>
      </w:r>
      <w:r>
        <w:rPr>
          <w:rFonts w:asciiTheme="minorAscii"/>
          <w:sz w:val="21"/>
          <w:szCs w:val="21"/>
        </w:rPr>
        <w:t>010</w:t>
      </w:r>
      <w:r>
        <w:rPr>
          <w:rFonts w:hint="eastAsia" w:asciiTheme="minorAscii"/>
          <w:sz w:val="21"/>
          <w:szCs w:val="21"/>
        </w:rPr>
        <w:t>年“六普”数据来自昆明市西山区《2</w:t>
      </w:r>
      <w:r>
        <w:rPr>
          <w:rFonts w:asciiTheme="minorAscii"/>
          <w:sz w:val="21"/>
          <w:szCs w:val="21"/>
        </w:rPr>
        <w:t>010</w:t>
      </w:r>
      <w:r>
        <w:rPr>
          <w:rFonts w:hint="eastAsia" w:asciiTheme="minorAscii"/>
          <w:sz w:val="21"/>
          <w:szCs w:val="21"/>
        </w:rPr>
        <w:t>年人口普查资料》T</w:t>
      </w:r>
      <w:r>
        <w:rPr>
          <w:rFonts w:asciiTheme="minorAscii"/>
          <w:sz w:val="21"/>
          <w:szCs w:val="21"/>
        </w:rPr>
        <w:t>1-01</w:t>
      </w:r>
      <w:r>
        <w:rPr>
          <w:rFonts w:hint="eastAsia" w:asciiTheme="minorAscii"/>
          <w:sz w:val="21"/>
          <w:szCs w:val="21"/>
        </w:rPr>
        <w:t>。2</w:t>
      </w:r>
      <w:r>
        <w:rPr>
          <w:rFonts w:asciiTheme="minorAscii"/>
          <w:sz w:val="21"/>
          <w:szCs w:val="21"/>
        </w:rPr>
        <w:t>020</w:t>
      </w:r>
      <w:r>
        <w:rPr>
          <w:rFonts w:hint="eastAsia" w:asciiTheme="minorAscii"/>
          <w:sz w:val="21"/>
          <w:szCs w:val="21"/>
        </w:rPr>
        <w:t>年“七普”数据来自昆明市统计局“昆明市第七次全国人口普查主要数据公报”，2</w:t>
      </w:r>
      <w:r>
        <w:rPr>
          <w:rFonts w:asciiTheme="minorAscii"/>
          <w:sz w:val="21"/>
          <w:szCs w:val="21"/>
        </w:rPr>
        <w:t>021</w:t>
      </w:r>
      <w:r>
        <w:rPr>
          <w:rFonts w:hint="eastAsia" w:asciiTheme="minorAscii"/>
          <w:sz w:val="21"/>
          <w:szCs w:val="21"/>
        </w:rPr>
        <w:t>年6月7日。</w:t>
      </w:r>
    </w:p>
    <w:bookmarkEnd w:id="124"/>
    <w:p>
      <w:pPr>
        <w:spacing w:line="276" w:lineRule="auto"/>
      </w:pPr>
    </w:p>
    <w:p>
      <w:pPr>
        <w:spacing w:line="276" w:lineRule="auto"/>
        <w:ind w:firstLine="420" w:firstLineChars="200"/>
        <w:jc w:val="center"/>
      </w:pPr>
      <w:r>
        <w:drawing>
          <wp:inline distT="0" distB="0" distL="0" distR="0">
            <wp:extent cx="4311650" cy="2665095"/>
            <wp:effectExtent l="0" t="0" r="12700" b="190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jc w:val="center"/>
        <w:rPr>
          <w:rFonts w:ascii="等线" w:hAnsi="等线" w:cs="Times New Roman"/>
          <w:color w:val="000000" w:themeColor="text1"/>
          <w:szCs w:val="21"/>
          <w14:textFill>
            <w14:solidFill>
              <w14:schemeClr w14:val="tx1"/>
            </w14:solidFill>
          </w14:textFill>
        </w:rPr>
      </w:pPr>
      <w:r>
        <w:rPr>
          <w:rFonts w:hint="eastAsia" w:ascii="等线" w:hAnsi="等线" w:cs="Times New Roman"/>
          <w:color w:val="000000" w:themeColor="text1"/>
          <w:szCs w:val="21"/>
          <w14:textFill>
            <w14:solidFill>
              <w14:schemeClr w14:val="tx1"/>
            </w14:solidFill>
          </w14:textFill>
        </w:rPr>
        <w:t>图1</w:t>
      </w:r>
      <w:r>
        <w:rPr>
          <w:rFonts w:ascii="等线" w:hAnsi="等线" w:cs="Times New Roman"/>
          <w:color w:val="000000" w:themeColor="text1"/>
          <w:szCs w:val="21"/>
          <w14:textFill>
            <w14:solidFill>
              <w14:schemeClr w14:val="tx1"/>
            </w14:solidFill>
          </w14:textFill>
        </w:rPr>
        <w:t xml:space="preserve">  </w:t>
      </w:r>
      <w:r>
        <w:rPr>
          <w:rFonts w:hint="eastAsia" w:ascii="等线" w:hAnsi="等线" w:cs="Times New Roman"/>
          <w:color w:val="000000" w:themeColor="text1"/>
          <w:szCs w:val="21"/>
          <w14:textFill>
            <w14:solidFill>
              <w14:schemeClr w14:val="tx1"/>
            </w14:solidFill>
          </w14:textFill>
        </w:rPr>
        <w:t>“六普”到“七普”的十年</w:t>
      </w:r>
      <w:r>
        <w:rPr>
          <w:rFonts w:ascii="等线" w:hAnsi="等线" w:cs="Times New Roman"/>
          <w:color w:val="000000" w:themeColor="text1"/>
          <w:szCs w:val="21"/>
          <w14:textFill>
            <w14:solidFill>
              <w14:schemeClr w14:val="tx1"/>
            </w14:solidFill>
          </w14:textFill>
        </w:rPr>
        <w:t>间</w:t>
      </w:r>
      <w:r>
        <w:rPr>
          <w:rFonts w:hint="eastAsia" w:ascii="等线" w:hAnsi="等线" w:cs="Times New Roman"/>
          <w:color w:val="000000" w:themeColor="text1"/>
          <w:szCs w:val="21"/>
          <w14:textFill>
            <w14:solidFill>
              <w14:schemeClr w14:val="tx1"/>
            </w14:solidFill>
          </w14:textFill>
        </w:rPr>
        <w:t>昆明各区县人口增长幅度</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both"/>
        <w:textAlignment w:val="auto"/>
        <w:rPr>
          <w:rFonts w:ascii="等线" w:hAnsi="等线" w:cs="Times New Roman"/>
          <w:color w:val="000000" w:themeColor="text1"/>
          <w:szCs w:val="21"/>
          <w14:textFill>
            <w14:solidFill>
              <w14:schemeClr w14:val="tx1"/>
            </w14:solidFill>
          </w14:textFill>
        </w:rPr>
      </w:pPr>
      <w:bookmarkStart w:id="128" w:name="_Hlk87213549"/>
      <w:r>
        <w:rPr>
          <w:rFonts w:hint="eastAsia" w:ascii="等线" w:hAnsi="等线" w:cs="Times New Roman"/>
          <w:color w:val="000000" w:themeColor="text1"/>
          <w:szCs w:val="21"/>
          <w14:textFill>
            <w14:solidFill>
              <w14:schemeClr w14:val="tx1"/>
            </w14:solidFill>
          </w14:textFill>
        </w:rPr>
        <w:t>数据来源：</w:t>
      </w:r>
      <w:bookmarkEnd w:id="128"/>
      <w:r>
        <w:rPr>
          <w:rFonts w:hint="eastAsia" w:ascii="等线" w:hAnsi="等线" w:cs="Times New Roman"/>
          <w:color w:val="000000" w:themeColor="text1"/>
          <w:szCs w:val="21"/>
          <w14:textFill>
            <w14:solidFill>
              <w14:schemeClr w14:val="tx1"/>
            </w14:solidFill>
          </w14:textFill>
        </w:rPr>
        <w:t>根据表1计算。</w:t>
      </w:r>
    </w:p>
    <w:p>
      <w:pPr>
        <w:spacing w:line="276" w:lineRule="auto"/>
        <w:ind w:firstLine="420" w:firstLineChars="200"/>
        <w:jc w:val="center"/>
        <w:rPr>
          <w:rFonts w:ascii="宋体" w:hAnsi="宋体" w:eastAsia="宋体"/>
        </w:rPr>
      </w:pPr>
    </w:p>
    <w:p>
      <w:pPr>
        <w:spacing w:line="276" w:lineRule="auto"/>
        <w:ind w:firstLine="420" w:firstLineChars="200"/>
        <w:jc w:val="center"/>
        <w:rPr>
          <w:rFonts w:ascii="宋体" w:hAnsi="宋体" w:eastAsia="宋体"/>
        </w:rPr>
      </w:pPr>
    </w:p>
    <w:p>
      <w:pPr>
        <w:spacing w:line="276" w:lineRule="auto"/>
        <w:ind w:firstLine="420" w:firstLineChars="200"/>
        <w:jc w:val="center"/>
        <w:rPr>
          <w:rFonts w:ascii="宋体" w:hAnsi="宋体" w:eastAsia="宋体"/>
        </w:rPr>
      </w:pPr>
      <w:r>
        <w:rPr>
          <w:rFonts w:ascii="宋体" w:hAnsi="宋体" w:eastAsia="宋体"/>
        </w:rPr>
        <w:drawing>
          <wp:inline distT="0" distB="0" distL="0" distR="0">
            <wp:extent cx="4352290" cy="3020695"/>
            <wp:effectExtent l="0" t="0" r="10160" b="825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center"/>
        <w:textAlignment w:val="auto"/>
        <w:rPr>
          <w:rFonts w:ascii="宋体" w:hAnsi="宋体" w:eastAsia="宋体"/>
          <w:sz w:val="21"/>
          <w:szCs w:val="21"/>
        </w:rPr>
      </w:pPr>
      <w:r>
        <w:rPr>
          <w:sz w:val="21"/>
          <w:szCs w:val="21"/>
        </w:rPr>
        <mc:AlternateContent>
          <mc:Choice Requires="wps">
            <w:drawing>
              <wp:anchor distT="0" distB="0" distL="114300" distR="114300" simplePos="0" relativeHeight="251659264" behindDoc="0" locked="0" layoutInCell="1" allowOverlap="1">
                <wp:simplePos x="0" y="0"/>
                <wp:positionH relativeFrom="margin">
                  <wp:posOffset>1153160</wp:posOffset>
                </wp:positionH>
                <wp:positionV relativeFrom="paragraph">
                  <wp:posOffset>6350</wp:posOffset>
                </wp:positionV>
                <wp:extent cx="3611245" cy="307975"/>
                <wp:effectExtent l="0" t="0" r="0" b="0"/>
                <wp:wrapNone/>
                <wp:docPr id="16" name="文本框 8"/>
                <wp:cNvGraphicFramePr/>
                <a:graphic xmlns:a="http://schemas.openxmlformats.org/drawingml/2006/main">
                  <a:graphicData uri="http://schemas.microsoft.com/office/word/2010/wordprocessingShape">
                    <wps:wsp>
                      <wps:cNvSpPr txBox="1"/>
                      <wps:spPr>
                        <a:xfrm>
                          <a:off x="0" y="0"/>
                          <a:ext cx="3611071" cy="307777"/>
                        </a:xfrm>
                        <a:prstGeom prst="rect">
                          <a:avLst/>
                        </a:prstGeom>
                        <a:noFill/>
                      </wps:spPr>
                      <wps:txbx>
                        <w:txbxContent>
                          <w:p>
                            <w:pPr>
                              <w:jc w:val="center"/>
                              <w:rPr>
                                <w:rFonts w:ascii="等线" w:hAnsi="等线" w:cs="Times New Roman"/>
                                <w:color w:val="000000" w:themeColor="text1"/>
                                <w:szCs w:val="21"/>
                                <w14:textFill>
                                  <w14:solidFill>
                                    <w14:schemeClr w14:val="tx1"/>
                                  </w14:solidFill>
                                </w14:textFill>
                              </w:rPr>
                            </w:pPr>
                            <w:r>
                              <w:rPr>
                                <w:rFonts w:hint="eastAsia" w:hAnsi="等线" w:cs="Times New Roman" w:asciiTheme="minorAscii"/>
                                <w:color w:val="000000" w:themeColor="text1"/>
                                <w:szCs w:val="21"/>
                                <w14:textFill>
                                  <w14:solidFill>
                                    <w14:schemeClr w14:val="tx1"/>
                                  </w14:solidFill>
                                </w14:textFill>
                              </w:rPr>
                              <w:t>图</w:t>
                            </w:r>
                            <w:r>
                              <w:rPr>
                                <w:rFonts w:hAnsi="等线" w:cs="Times New Roman" w:asciiTheme="minorAscii"/>
                                <w:color w:val="000000" w:themeColor="text1"/>
                                <w:szCs w:val="21"/>
                                <w14:textFill>
                                  <w14:solidFill>
                                    <w14:schemeClr w14:val="tx1"/>
                                  </w14:solidFill>
                                </w14:textFill>
                              </w:rPr>
                              <w:t>2   两种统计的西山区常住人口比较</w:t>
                            </w:r>
                          </w:p>
                        </w:txbxContent>
                      </wps:txbx>
                      <wps:bodyPr wrap="square">
                        <a:spAutoFit/>
                      </wps:bodyPr>
                    </wps:wsp>
                  </a:graphicData>
                </a:graphic>
              </wp:anchor>
            </w:drawing>
          </mc:Choice>
          <mc:Fallback>
            <w:pict>
              <v:shape id="文本框 8" o:spid="_x0000_s1026" o:spt="202" type="#_x0000_t202" style="position:absolute;left:0pt;margin-left:90.8pt;margin-top:0.5pt;height:24.25pt;width:284.35pt;mso-position-horizontal-relative:margin;z-index:251659264;mso-width-relative:page;mso-height-relative:page;" filled="f" stroked="f" coordsize="21600,21600" o:gfxdata="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1YLDx1QAAAAgBAAAPAAAAAAAAAAEAIAAAACIAAABk&#10;cnMvZG93bnJldi54bWxQSwECFAAUAAAACACHTuJAmUczyJcBAAAFAwAADgAAAAAAAAABACAAAAAk&#10;AQAAZHJzL2Uyb0RvYy54bWxQSwUGAAAAAAYABgBZAQAALQUAAAAA&#10;">
                <v:fill on="f" focussize="0,0"/>
                <v:stroke on="f"/>
                <v:imagedata o:title=""/>
                <o:lock v:ext="edit" aspectratio="f"/>
                <v:textbox style="mso-fit-shape-to-text:t;">
                  <w:txbxContent>
                    <w:p>
                      <w:pPr>
                        <w:jc w:val="center"/>
                        <w:rPr>
                          <w:rFonts w:ascii="等线" w:hAnsi="等线" w:cs="Times New Roman"/>
                          <w:color w:val="000000" w:themeColor="text1"/>
                          <w:szCs w:val="21"/>
                          <w14:textFill>
                            <w14:solidFill>
                              <w14:schemeClr w14:val="tx1"/>
                            </w14:solidFill>
                          </w14:textFill>
                        </w:rPr>
                      </w:pPr>
                      <w:r>
                        <w:rPr>
                          <w:rFonts w:hint="eastAsia" w:hAnsi="等线" w:cs="Times New Roman" w:asciiTheme="minorAscii"/>
                          <w:color w:val="000000" w:themeColor="text1"/>
                          <w:szCs w:val="21"/>
                          <w14:textFill>
                            <w14:solidFill>
                              <w14:schemeClr w14:val="tx1"/>
                            </w14:solidFill>
                          </w14:textFill>
                        </w:rPr>
                        <w:t>图</w:t>
                      </w:r>
                      <w:r>
                        <w:rPr>
                          <w:rFonts w:hAnsi="等线" w:cs="Times New Roman" w:asciiTheme="minorAscii"/>
                          <w:color w:val="000000" w:themeColor="text1"/>
                          <w:szCs w:val="21"/>
                          <w14:textFill>
                            <w14:solidFill>
                              <w14:schemeClr w14:val="tx1"/>
                            </w14:solidFill>
                          </w14:textFill>
                        </w:rPr>
                        <w:t>2   两种统计的西山区常住人口比较</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ascii="宋体" w:hAnsi="宋体" w:eastAsia="宋体"/>
          <w:sz w:val="21"/>
          <w:szCs w:val="21"/>
        </w:rPr>
      </w:pPr>
      <w:r>
        <w:rPr>
          <w:rFonts w:hint="eastAsia"/>
          <w:sz w:val="21"/>
          <w:szCs w:val="21"/>
        </w:rPr>
        <w:t>数据来源：统计年鉴和普查资料。</w:t>
      </w:r>
    </w:p>
    <w:p>
      <w:pPr>
        <w:spacing w:line="276" w:lineRule="auto"/>
        <w:ind w:firstLine="420" w:firstLineChars="200"/>
        <w:jc w:val="center"/>
        <w:rPr>
          <w:rFonts w:ascii="宋体" w:hAnsi="宋体" w:eastAsia="宋体"/>
        </w:rPr>
      </w:pPr>
    </w:p>
    <w:p>
      <w:pPr>
        <w:spacing w:before="156" w:beforeLines="50" w:line="276" w:lineRule="auto"/>
        <w:ind w:firstLine="420" w:firstLineChars="200"/>
        <w:jc w:val="center"/>
        <w:rPr>
          <w:sz w:val="18"/>
          <w:szCs w:val="18"/>
        </w:rPr>
      </w:pPr>
      <w:bookmarkStart w:id="129" w:name="_Hlk32072356"/>
      <w:r>
        <w:rPr>
          <w:rFonts w:hint="eastAsia"/>
        </w:rPr>
        <w:t>表2</w:t>
      </w:r>
      <w:r>
        <w:tab/>
      </w:r>
      <w:r>
        <w:rPr>
          <w:rFonts w:hint="eastAsia"/>
          <w:lang w:val="en-US" w:eastAsia="zh-CN"/>
        </w:rPr>
        <w:t xml:space="preserve"> </w:t>
      </w:r>
      <w:r>
        <w:rPr>
          <w:rFonts w:hint="eastAsia"/>
        </w:rPr>
        <w:t>西山区户籍人口自然增长统计</w:t>
      </w:r>
      <w:r>
        <w:tab/>
      </w:r>
      <w:bookmarkEnd w:id="129"/>
      <w:r>
        <w:tab/>
      </w:r>
      <w:r>
        <w:tab/>
      </w:r>
      <w:bookmarkStart w:id="130" w:name="_Hlk32072396"/>
      <w:r>
        <w:rPr>
          <w:rFonts w:hint="eastAsia"/>
        </w:rPr>
        <w:t>单位：人</w:t>
      </w:r>
      <w:bookmarkEnd w:id="130"/>
      <w:r>
        <w:rPr>
          <w:rFonts w:hint="eastAsia"/>
        </w:rPr>
        <w:t>，</w:t>
      </w:r>
      <w:bookmarkStart w:id="131" w:name="_Hlk31903077"/>
      <w:r>
        <w:rPr>
          <w:rFonts w:hint="eastAsia"/>
        </w:rPr>
        <w:t>‰</w:t>
      </w:r>
      <w:bookmarkEnd w:id="131"/>
      <w:bookmarkStart w:id="132" w:name="_Hlk32076556"/>
    </w:p>
    <w:bookmarkEnd w:id="132"/>
    <w:tbl>
      <w:tblPr>
        <w:tblStyle w:val="26"/>
        <w:tblW w:w="8296"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2"/>
        <w:gridCol w:w="1030"/>
        <w:gridCol w:w="1031"/>
        <w:gridCol w:w="1030"/>
        <w:gridCol w:w="1031"/>
        <w:gridCol w:w="1030"/>
        <w:gridCol w:w="1031"/>
        <w:gridCol w:w="1031"/>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2" w:type="dxa"/>
            <w:tcBorders>
              <w:bottom w:val="single" w:color="7E7E7E" w:themeColor="text1" w:themeTint="80" w:sz="4" w:space="0"/>
              <w:insideH w:val="single" w:sz="4" w:space="0"/>
            </w:tcBorders>
            <w:vAlign w:val="center"/>
          </w:tcPr>
          <w:p>
            <w:pPr>
              <w:spacing w:line="276" w:lineRule="auto"/>
              <w:jc w:val="center"/>
              <w:rPr>
                <w:b/>
                <w:bCs/>
                <w:sz w:val="18"/>
                <w:szCs w:val="18"/>
              </w:rPr>
            </w:pPr>
          </w:p>
        </w:tc>
        <w:tc>
          <w:tcPr>
            <w:tcW w:w="1030" w:type="dxa"/>
            <w:tcBorders>
              <w:bottom w:val="single" w:color="7E7E7E" w:themeColor="text1" w:themeTint="80" w:sz="4" w:space="0"/>
              <w:insideH w:val="single" w:sz="4" w:space="0"/>
            </w:tcBorders>
            <w:vAlign w:val="center"/>
          </w:tcPr>
          <w:p>
            <w:pPr>
              <w:spacing w:line="276" w:lineRule="auto"/>
              <w:jc w:val="center"/>
              <w:rPr>
                <w:b/>
                <w:bCs/>
                <w:sz w:val="18"/>
                <w:szCs w:val="18"/>
              </w:rPr>
            </w:pPr>
            <w:r>
              <w:rPr>
                <w:rFonts w:hint="eastAsia"/>
                <w:b/>
                <w:bCs/>
                <w:sz w:val="18"/>
                <w:szCs w:val="18"/>
              </w:rPr>
              <w:t>总人口</w:t>
            </w:r>
          </w:p>
        </w:tc>
        <w:tc>
          <w:tcPr>
            <w:tcW w:w="1031" w:type="dxa"/>
            <w:tcBorders>
              <w:bottom w:val="single" w:color="7E7E7E" w:themeColor="text1" w:themeTint="80" w:sz="4" w:space="0"/>
              <w:insideH w:val="single" w:sz="4" w:space="0"/>
            </w:tcBorders>
            <w:vAlign w:val="center"/>
          </w:tcPr>
          <w:p>
            <w:pPr>
              <w:spacing w:line="276" w:lineRule="auto"/>
              <w:jc w:val="center"/>
              <w:rPr>
                <w:b/>
                <w:bCs/>
                <w:sz w:val="18"/>
                <w:szCs w:val="18"/>
              </w:rPr>
            </w:pPr>
            <w:r>
              <w:rPr>
                <w:rFonts w:hint="eastAsia" w:ascii="等线" w:hAnsi="等线" w:eastAsia="等线" w:cs="宋体"/>
                <w:b/>
                <w:bCs/>
                <w:color w:val="000000"/>
                <w:kern w:val="0"/>
                <w:sz w:val="18"/>
                <w:szCs w:val="18"/>
              </w:rPr>
              <w:t>出生人口</w:t>
            </w:r>
          </w:p>
        </w:tc>
        <w:tc>
          <w:tcPr>
            <w:tcW w:w="1030" w:type="dxa"/>
            <w:tcBorders>
              <w:bottom w:val="single" w:color="7E7E7E" w:themeColor="text1" w:themeTint="80" w:sz="4" w:space="0"/>
              <w:insideH w:val="single" w:sz="4" w:space="0"/>
            </w:tcBorders>
            <w:vAlign w:val="center"/>
          </w:tcPr>
          <w:p>
            <w:pPr>
              <w:spacing w:line="276" w:lineRule="auto"/>
              <w:jc w:val="center"/>
              <w:rPr>
                <w:b/>
                <w:bCs/>
                <w:sz w:val="18"/>
                <w:szCs w:val="18"/>
              </w:rPr>
            </w:pPr>
            <w:r>
              <w:rPr>
                <w:rFonts w:hint="eastAsia" w:ascii="等线" w:hAnsi="等线" w:eastAsia="等线" w:cs="宋体"/>
                <w:b/>
                <w:bCs/>
                <w:color w:val="000000"/>
                <w:kern w:val="0"/>
                <w:sz w:val="18"/>
                <w:szCs w:val="18"/>
              </w:rPr>
              <w:t>出生率</w:t>
            </w:r>
          </w:p>
        </w:tc>
        <w:tc>
          <w:tcPr>
            <w:tcW w:w="1031" w:type="dxa"/>
            <w:tcBorders>
              <w:bottom w:val="single" w:color="7E7E7E" w:themeColor="text1" w:themeTint="80" w:sz="4" w:space="0"/>
              <w:insideH w:val="single" w:sz="4" w:space="0"/>
            </w:tcBorders>
            <w:vAlign w:val="center"/>
          </w:tcPr>
          <w:p>
            <w:pPr>
              <w:spacing w:line="276" w:lineRule="auto"/>
              <w:jc w:val="center"/>
              <w:rPr>
                <w:b/>
                <w:bCs/>
                <w:sz w:val="18"/>
                <w:szCs w:val="18"/>
              </w:rPr>
            </w:pPr>
            <w:r>
              <w:rPr>
                <w:rFonts w:hint="eastAsia" w:ascii="等线" w:hAnsi="等线" w:eastAsia="等线" w:cs="宋体"/>
                <w:b/>
                <w:bCs/>
                <w:color w:val="000000"/>
                <w:kern w:val="0"/>
                <w:sz w:val="18"/>
                <w:szCs w:val="18"/>
              </w:rPr>
              <w:t>死亡人口</w:t>
            </w:r>
          </w:p>
        </w:tc>
        <w:tc>
          <w:tcPr>
            <w:tcW w:w="1030" w:type="dxa"/>
            <w:tcBorders>
              <w:bottom w:val="single" w:color="7E7E7E" w:themeColor="text1" w:themeTint="80" w:sz="4" w:space="0"/>
              <w:insideH w:val="single" w:sz="4" w:space="0"/>
            </w:tcBorders>
            <w:vAlign w:val="center"/>
          </w:tcPr>
          <w:p>
            <w:pPr>
              <w:spacing w:line="276" w:lineRule="auto"/>
              <w:jc w:val="center"/>
              <w:rPr>
                <w:b/>
                <w:bCs/>
                <w:sz w:val="18"/>
                <w:szCs w:val="18"/>
              </w:rPr>
            </w:pPr>
            <w:r>
              <w:rPr>
                <w:rFonts w:hint="eastAsia" w:ascii="等线" w:hAnsi="等线" w:eastAsia="等线" w:cs="宋体"/>
                <w:b/>
                <w:bCs/>
                <w:color w:val="000000"/>
                <w:kern w:val="0"/>
                <w:sz w:val="18"/>
                <w:szCs w:val="18"/>
              </w:rPr>
              <w:t>死亡率</w:t>
            </w:r>
          </w:p>
        </w:tc>
        <w:tc>
          <w:tcPr>
            <w:tcW w:w="1031" w:type="dxa"/>
            <w:tcBorders>
              <w:bottom w:val="single" w:color="7E7E7E" w:themeColor="text1" w:themeTint="80" w:sz="4" w:space="0"/>
              <w:insideH w:val="single" w:sz="4" w:space="0"/>
            </w:tcBorders>
            <w:vAlign w:val="center"/>
          </w:tcPr>
          <w:p>
            <w:pPr>
              <w:spacing w:line="276" w:lineRule="auto"/>
              <w:jc w:val="center"/>
              <w:rPr>
                <w:b/>
                <w:bCs/>
                <w:sz w:val="18"/>
                <w:szCs w:val="18"/>
              </w:rPr>
            </w:pPr>
            <w:r>
              <w:rPr>
                <w:rFonts w:hint="eastAsia" w:ascii="等线" w:hAnsi="等线" w:eastAsia="等线" w:cs="宋体"/>
                <w:b/>
                <w:bCs/>
                <w:color w:val="000000"/>
                <w:kern w:val="0"/>
                <w:sz w:val="18"/>
                <w:szCs w:val="18"/>
              </w:rPr>
              <w:t>自增人口</w:t>
            </w:r>
          </w:p>
        </w:tc>
        <w:tc>
          <w:tcPr>
            <w:tcW w:w="1031" w:type="dxa"/>
            <w:tcBorders>
              <w:bottom w:val="single" w:color="7E7E7E" w:themeColor="text1" w:themeTint="80" w:sz="4" w:space="0"/>
              <w:insideH w:val="single" w:sz="4" w:space="0"/>
            </w:tcBorders>
            <w:vAlign w:val="center"/>
          </w:tcPr>
          <w:p>
            <w:pPr>
              <w:spacing w:line="276" w:lineRule="auto"/>
              <w:jc w:val="center"/>
              <w:rPr>
                <w:b/>
                <w:bCs/>
                <w:sz w:val="18"/>
                <w:szCs w:val="18"/>
              </w:rPr>
            </w:pPr>
            <w:r>
              <w:rPr>
                <w:rFonts w:hint="eastAsia" w:ascii="等线" w:hAnsi="等线" w:eastAsia="等线" w:cs="宋体"/>
                <w:b/>
                <w:bCs/>
                <w:color w:val="000000"/>
                <w:kern w:val="0"/>
                <w:sz w:val="18"/>
                <w:szCs w:val="18"/>
              </w:rPr>
              <w:t>自增率</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2"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b/>
                <w:bCs/>
                <w:sz w:val="18"/>
                <w:szCs w:val="18"/>
              </w:rPr>
            </w:pPr>
            <w:r>
              <w:rPr>
                <w:rFonts w:hint="eastAsia" w:ascii="等线" w:hAnsi="等线" w:eastAsia="等线" w:cs="宋体"/>
                <w:b/>
                <w:bCs/>
                <w:color w:val="000000"/>
                <w:kern w:val="0"/>
                <w:sz w:val="18"/>
                <w:szCs w:val="18"/>
              </w:rPr>
              <w:t>2016年</w:t>
            </w:r>
          </w:p>
        </w:tc>
        <w:tc>
          <w:tcPr>
            <w:tcW w:w="1030"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sz w:val="18"/>
                <w:szCs w:val="18"/>
              </w:rPr>
            </w:pPr>
            <w:r>
              <w:rPr>
                <w:rFonts w:hint="eastAsia"/>
                <w:sz w:val="18"/>
                <w:szCs w:val="18"/>
              </w:rPr>
              <w:t>5</w:t>
            </w:r>
            <w:r>
              <w:rPr>
                <w:sz w:val="18"/>
                <w:szCs w:val="18"/>
              </w:rPr>
              <w:t>40494</w:t>
            </w:r>
          </w:p>
        </w:tc>
        <w:tc>
          <w:tcPr>
            <w:tcW w:w="1031"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sz w:val="18"/>
                <w:szCs w:val="18"/>
              </w:rPr>
            </w:pPr>
            <w:r>
              <w:rPr>
                <w:rFonts w:hint="eastAsia" w:ascii="等线" w:hAnsi="等线" w:eastAsia="等线" w:cs="宋体"/>
                <w:color w:val="000000"/>
                <w:kern w:val="0"/>
                <w:sz w:val="18"/>
                <w:szCs w:val="18"/>
              </w:rPr>
              <w:t>5417</w:t>
            </w:r>
          </w:p>
        </w:tc>
        <w:tc>
          <w:tcPr>
            <w:tcW w:w="1030"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sz w:val="18"/>
                <w:szCs w:val="18"/>
              </w:rPr>
            </w:pPr>
            <w:r>
              <w:rPr>
                <w:rFonts w:hint="eastAsia" w:ascii="等线" w:hAnsi="等线" w:eastAsia="等线" w:cs="宋体"/>
                <w:color w:val="000000"/>
                <w:kern w:val="0"/>
                <w:sz w:val="18"/>
                <w:szCs w:val="18"/>
              </w:rPr>
              <w:t>10.02</w:t>
            </w:r>
          </w:p>
        </w:tc>
        <w:tc>
          <w:tcPr>
            <w:tcW w:w="1031"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sz w:val="18"/>
                <w:szCs w:val="18"/>
              </w:rPr>
            </w:pPr>
            <w:r>
              <w:rPr>
                <w:rFonts w:hint="eastAsia" w:ascii="等线" w:hAnsi="等线" w:eastAsia="等线" w:cs="宋体"/>
                <w:color w:val="000000"/>
                <w:kern w:val="0"/>
                <w:sz w:val="18"/>
                <w:szCs w:val="18"/>
              </w:rPr>
              <w:t>2005</w:t>
            </w:r>
          </w:p>
        </w:tc>
        <w:tc>
          <w:tcPr>
            <w:tcW w:w="1030"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sz w:val="18"/>
                <w:szCs w:val="18"/>
              </w:rPr>
            </w:pPr>
            <w:r>
              <w:rPr>
                <w:rFonts w:hint="eastAsia" w:ascii="等线" w:hAnsi="等线" w:eastAsia="等线" w:cs="宋体"/>
                <w:color w:val="000000"/>
                <w:kern w:val="0"/>
                <w:sz w:val="18"/>
                <w:szCs w:val="18"/>
              </w:rPr>
              <w:t>3.71</w:t>
            </w:r>
          </w:p>
        </w:tc>
        <w:tc>
          <w:tcPr>
            <w:tcW w:w="1031"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sz w:val="18"/>
                <w:szCs w:val="18"/>
              </w:rPr>
            </w:pPr>
            <w:r>
              <w:rPr>
                <w:rFonts w:hint="eastAsia" w:ascii="等线" w:hAnsi="等线" w:eastAsia="等线" w:cs="宋体"/>
                <w:color w:val="000000"/>
                <w:kern w:val="0"/>
                <w:sz w:val="18"/>
                <w:szCs w:val="18"/>
              </w:rPr>
              <w:t>3412</w:t>
            </w:r>
          </w:p>
        </w:tc>
        <w:tc>
          <w:tcPr>
            <w:tcW w:w="1031"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sz w:val="18"/>
                <w:szCs w:val="18"/>
              </w:rPr>
            </w:pPr>
            <w:r>
              <w:rPr>
                <w:rFonts w:hint="eastAsia" w:ascii="等线" w:hAnsi="等线" w:eastAsia="等线" w:cs="宋体"/>
                <w:color w:val="000000"/>
                <w:kern w:val="0"/>
                <w:sz w:val="18"/>
                <w:szCs w:val="18"/>
              </w:rPr>
              <w:t>6.31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2" w:type="dxa"/>
            <w:vAlign w:val="center"/>
          </w:tcPr>
          <w:p>
            <w:pPr>
              <w:spacing w:line="276" w:lineRule="auto"/>
              <w:jc w:val="center"/>
              <w:rPr>
                <w:b/>
                <w:bCs/>
                <w:sz w:val="18"/>
                <w:szCs w:val="18"/>
              </w:rPr>
            </w:pPr>
            <w:r>
              <w:rPr>
                <w:rFonts w:hint="eastAsia" w:ascii="等线" w:hAnsi="等线" w:eastAsia="等线" w:cs="宋体"/>
                <w:b/>
                <w:bCs/>
                <w:color w:val="000000"/>
                <w:kern w:val="0"/>
                <w:sz w:val="18"/>
                <w:szCs w:val="18"/>
              </w:rPr>
              <w:t>2017年</w:t>
            </w:r>
          </w:p>
        </w:tc>
        <w:tc>
          <w:tcPr>
            <w:tcW w:w="1030" w:type="dxa"/>
            <w:vAlign w:val="center"/>
          </w:tcPr>
          <w:p>
            <w:pPr>
              <w:spacing w:line="276" w:lineRule="auto"/>
              <w:jc w:val="center"/>
              <w:rPr>
                <w:sz w:val="18"/>
                <w:szCs w:val="18"/>
              </w:rPr>
            </w:pPr>
            <w:r>
              <w:rPr>
                <w:rFonts w:hint="eastAsia"/>
                <w:sz w:val="18"/>
                <w:szCs w:val="18"/>
              </w:rPr>
              <w:t>5</w:t>
            </w:r>
            <w:r>
              <w:rPr>
                <w:sz w:val="18"/>
                <w:szCs w:val="18"/>
              </w:rPr>
              <w:t>44193</w:t>
            </w:r>
          </w:p>
        </w:tc>
        <w:tc>
          <w:tcPr>
            <w:tcW w:w="1031" w:type="dxa"/>
            <w:vAlign w:val="center"/>
          </w:tcPr>
          <w:p>
            <w:pPr>
              <w:spacing w:line="276" w:lineRule="auto"/>
              <w:jc w:val="center"/>
              <w:rPr>
                <w:sz w:val="18"/>
                <w:szCs w:val="18"/>
              </w:rPr>
            </w:pPr>
            <w:r>
              <w:rPr>
                <w:rFonts w:hint="eastAsia" w:ascii="等线" w:hAnsi="等线" w:eastAsia="等线" w:cs="宋体"/>
                <w:color w:val="000000"/>
                <w:kern w:val="0"/>
                <w:sz w:val="18"/>
                <w:szCs w:val="18"/>
              </w:rPr>
              <w:t>7207</w:t>
            </w:r>
          </w:p>
        </w:tc>
        <w:tc>
          <w:tcPr>
            <w:tcW w:w="1030" w:type="dxa"/>
            <w:vAlign w:val="center"/>
          </w:tcPr>
          <w:p>
            <w:pPr>
              <w:spacing w:line="276" w:lineRule="auto"/>
              <w:jc w:val="center"/>
              <w:rPr>
                <w:sz w:val="18"/>
                <w:szCs w:val="18"/>
              </w:rPr>
            </w:pPr>
            <w:r>
              <w:rPr>
                <w:rFonts w:hint="eastAsia" w:ascii="等线" w:hAnsi="等线" w:eastAsia="等线" w:cs="宋体"/>
                <w:color w:val="000000"/>
                <w:kern w:val="0"/>
                <w:sz w:val="18"/>
                <w:szCs w:val="18"/>
              </w:rPr>
              <w:t>13.24</w:t>
            </w:r>
          </w:p>
        </w:tc>
        <w:tc>
          <w:tcPr>
            <w:tcW w:w="1031" w:type="dxa"/>
            <w:vAlign w:val="center"/>
          </w:tcPr>
          <w:p>
            <w:pPr>
              <w:spacing w:line="276" w:lineRule="auto"/>
              <w:jc w:val="center"/>
              <w:rPr>
                <w:sz w:val="18"/>
                <w:szCs w:val="18"/>
              </w:rPr>
            </w:pPr>
            <w:r>
              <w:rPr>
                <w:rFonts w:hint="eastAsia" w:ascii="等线" w:hAnsi="等线" w:eastAsia="等线" w:cs="宋体"/>
                <w:color w:val="000000"/>
                <w:kern w:val="0"/>
                <w:sz w:val="18"/>
                <w:szCs w:val="18"/>
              </w:rPr>
              <w:t>8928</w:t>
            </w:r>
          </w:p>
        </w:tc>
        <w:tc>
          <w:tcPr>
            <w:tcW w:w="1030" w:type="dxa"/>
            <w:vAlign w:val="center"/>
          </w:tcPr>
          <w:p>
            <w:pPr>
              <w:spacing w:line="276" w:lineRule="auto"/>
              <w:jc w:val="center"/>
              <w:rPr>
                <w:sz w:val="18"/>
                <w:szCs w:val="18"/>
              </w:rPr>
            </w:pPr>
            <w:r>
              <w:rPr>
                <w:rFonts w:hint="eastAsia" w:ascii="等线" w:hAnsi="等线" w:eastAsia="等线" w:cs="宋体"/>
                <w:color w:val="000000"/>
                <w:kern w:val="0"/>
                <w:sz w:val="18"/>
                <w:szCs w:val="18"/>
                <w:highlight w:val="yellow"/>
              </w:rPr>
              <w:t>16.41</w:t>
            </w:r>
          </w:p>
        </w:tc>
        <w:tc>
          <w:tcPr>
            <w:tcW w:w="1031" w:type="dxa"/>
            <w:vAlign w:val="center"/>
          </w:tcPr>
          <w:p>
            <w:pPr>
              <w:spacing w:line="276" w:lineRule="auto"/>
              <w:jc w:val="center"/>
              <w:rPr>
                <w:sz w:val="18"/>
                <w:szCs w:val="18"/>
              </w:rPr>
            </w:pPr>
            <w:r>
              <w:rPr>
                <w:rFonts w:hint="eastAsia" w:ascii="等线" w:hAnsi="等线" w:eastAsia="等线" w:cs="宋体"/>
                <w:color w:val="000000"/>
                <w:kern w:val="0"/>
                <w:sz w:val="18"/>
                <w:szCs w:val="18"/>
              </w:rPr>
              <w:t>-1721</w:t>
            </w:r>
          </w:p>
        </w:tc>
        <w:tc>
          <w:tcPr>
            <w:tcW w:w="1031" w:type="dxa"/>
            <w:vAlign w:val="center"/>
          </w:tcPr>
          <w:p>
            <w:pPr>
              <w:spacing w:line="276" w:lineRule="auto"/>
              <w:jc w:val="center"/>
              <w:rPr>
                <w:sz w:val="18"/>
                <w:szCs w:val="18"/>
              </w:rPr>
            </w:pPr>
            <w:r>
              <w:rPr>
                <w:rFonts w:hint="eastAsia" w:ascii="等线" w:hAnsi="等线" w:eastAsia="等线" w:cs="宋体"/>
                <w:color w:val="000000"/>
                <w:kern w:val="0"/>
                <w:sz w:val="18"/>
                <w:szCs w:val="18"/>
              </w:rPr>
              <w:t>-3.16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2"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b/>
                <w:bCs/>
                <w:sz w:val="18"/>
                <w:szCs w:val="18"/>
              </w:rPr>
            </w:pPr>
            <w:r>
              <w:rPr>
                <w:rFonts w:hint="eastAsia" w:ascii="等线" w:hAnsi="等线" w:eastAsia="等线" w:cs="宋体"/>
                <w:b/>
                <w:bCs/>
                <w:color w:val="000000"/>
                <w:kern w:val="0"/>
                <w:sz w:val="18"/>
                <w:szCs w:val="18"/>
              </w:rPr>
              <w:t>2018年</w:t>
            </w:r>
          </w:p>
        </w:tc>
        <w:tc>
          <w:tcPr>
            <w:tcW w:w="1030"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sz w:val="18"/>
                <w:szCs w:val="18"/>
              </w:rPr>
            </w:pPr>
            <w:r>
              <w:rPr>
                <w:rFonts w:hint="eastAsia"/>
                <w:sz w:val="18"/>
                <w:szCs w:val="18"/>
              </w:rPr>
              <w:t>5</w:t>
            </w:r>
            <w:r>
              <w:rPr>
                <w:sz w:val="18"/>
                <w:szCs w:val="18"/>
              </w:rPr>
              <w:t>58129</w:t>
            </w:r>
          </w:p>
        </w:tc>
        <w:tc>
          <w:tcPr>
            <w:tcW w:w="1031"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sz w:val="18"/>
                <w:szCs w:val="18"/>
              </w:rPr>
            </w:pPr>
            <w:r>
              <w:rPr>
                <w:rFonts w:hint="eastAsia" w:ascii="等线" w:hAnsi="等线" w:eastAsia="等线" w:cs="宋体"/>
                <w:color w:val="000000"/>
                <w:kern w:val="0"/>
                <w:sz w:val="18"/>
                <w:szCs w:val="18"/>
              </w:rPr>
              <w:t>7057</w:t>
            </w:r>
          </w:p>
        </w:tc>
        <w:tc>
          <w:tcPr>
            <w:tcW w:w="1030"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sz w:val="18"/>
                <w:szCs w:val="18"/>
              </w:rPr>
            </w:pPr>
            <w:r>
              <w:rPr>
                <w:rFonts w:hint="eastAsia" w:ascii="等线" w:hAnsi="等线" w:eastAsia="等线" w:cs="宋体"/>
                <w:color w:val="000000"/>
                <w:kern w:val="0"/>
                <w:sz w:val="18"/>
                <w:szCs w:val="18"/>
              </w:rPr>
              <w:t>12.64</w:t>
            </w:r>
          </w:p>
        </w:tc>
        <w:tc>
          <w:tcPr>
            <w:tcW w:w="1031"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sz w:val="18"/>
                <w:szCs w:val="18"/>
              </w:rPr>
            </w:pPr>
            <w:r>
              <w:rPr>
                <w:rFonts w:hint="eastAsia" w:ascii="等线" w:hAnsi="等线" w:eastAsia="等线" w:cs="宋体"/>
                <w:color w:val="000000"/>
                <w:kern w:val="0"/>
                <w:sz w:val="18"/>
                <w:szCs w:val="18"/>
              </w:rPr>
              <w:t>2590</w:t>
            </w:r>
          </w:p>
        </w:tc>
        <w:tc>
          <w:tcPr>
            <w:tcW w:w="1030"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sz w:val="18"/>
                <w:szCs w:val="18"/>
              </w:rPr>
            </w:pPr>
            <w:r>
              <w:rPr>
                <w:rFonts w:hint="eastAsia" w:ascii="等线" w:hAnsi="等线" w:eastAsia="等线" w:cs="宋体"/>
                <w:color w:val="000000"/>
                <w:kern w:val="0"/>
                <w:sz w:val="18"/>
                <w:szCs w:val="18"/>
              </w:rPr>
              <w:t>4.64</w:t>
            </w:r>
          </w:p>
        </w:tc>
        <w:tc>
          <w:tcPr>
            <w:tcW w:w="1031"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sz w:val="18"/>
                <w:szCs w:val="18"/>
              </w:rPr>
            </w:pPr>
            <w:r>
              <w:rPr>
                <w:rFonts w:hint="eastAsia" w:ascii="等线" w:hAnsi="等线" w:eastAsia="等线" w:cs="宋体"/>
                <w:color w:val="000000"/>
                <w:kern w:val="0"/>
                <w:sz w:val="18"/>
                <w:szCs w:val="18"/>
              </w:rPr>
              <w:t>4467</w:t>
            </w:r>
          </w:p>
        </w:tc>
        <w:tc>
          <w:tcPr>
            <w:tcW w:w="1031"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sz w:val="18"/>
                <w:szCs w:val="18"/>
              </w:rPr>
            </w:pPr>
            <w:r>
              <w:rPr>
                <w:rFonts w:hint="eastAsia" w:ascii="等线" w:hAnsi="等线" w:eastAsia="等线" w:cs="宋体"/>
                <w:color w:val="000000"/>
                <w:kern w:val="0"/>
                <w:sz w:val="18"/>
                <w:szCs w:val="18"/>
              </w:rPr>
              <w:t>8.00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82" w:type="dxa"/>
            <w:vAlign w:val="center"/>
          </w:tcPr>
          <w:p>
            <w:pPr>
              <w:spacing w:line="276" w:lineRule="auto"/>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w:t>
            </w:r>
            <w:r>
              <w:rPr>
                <w:rFonts w:ascii="等线" w:hAnsi="等线" w:eastAsia="等线" w:cs="宋体"/>
                <w:b/>
                <w:bCs/>
                <w:color w:val="000000"/>
                <w:kern w:val="0"/>
                <w:sz w:val="18"/>
                <w:szCs w:val="18"/>
              </w:rPr>
              <w:t>019</w:t>
            </w:r>
            <w:r>
              <w:rPr>
                <w:rFonts w:hint="eastAsia" w:ascii="等线" w:hAnsi="等线" w:eastAsia="等线" w:cs="宋体"/>
                <w:b/>
                <w:bCs/>
                <w:color w:val="000000"/>
                <w:kern w:val="0"/>
                <w:sz w:val="18"/>
                <w:szCs w:val="18"/>
              </w:rPr>
              <w:t>年</w:t>
            </w:r>
          </w:p>
        </w:tc>
        <w:tc>
          <w:tcPr>
            <w:tcW w:w="1030" w:type="dxa"/>
            <w:vAlign w:val="center"/>
          </w:tcPr>
          <w:p>
            <w:pPr>
              <w:spacing w:line="276" w:lineRule="auto"/>
              <w:jc w:val="center"/>
              <w:rPr>
                <w:sz w:val="18"/>
                <w:szCs w:val="18"/>
              </w:rPr>
            </w:pPr>
            <w:r>
              <w:rPr>
                <w:rFonts w:hint="eastAsia"/>
                <w:sz w:val="18"/>
                <w:szCs w:val="18"/>
              </w:rPr>
              <w:t>5</w:t>
            </w:r>
            <w:r>
              <w:rPr>
                <w:sz w:val="18"/>
                <w:szCs w:val="18"/>
              </w:rPr>
              <w:t>69114</w:t>
            </w:r>
          </w:p>
        </w:tc>
        <w:tc>
          <w:tcPr>
            <w:tcW w:w="1031" w:type="dxa"/>
            <w:vAlign w:val="center"/>
          </w:tcPr>
          <w:p>
            <w:pPr>
              <w:spacing w:line="276" w:lineRule="auto"/>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w:t>
            </w:r>
            <w:r>
              <w:rPr>
                <w:rFonts w:ascii="等线" w:hAnsi="等线" w:eastAsia="等线" w:cs="宋体"/>
                <w:color w:val="000000"/>
                <w:kern w:val="0"/>
                <w:sz w:val="18"/>
                <w:szCs w:val="18"/>
              </w:rPr>
              <w:t>671</w:t>
            </w:r>
          </w:p>
        </w:tc>
        <w:tc>
          <w:tcPr>
            <w:tcW w:w="1030" w:type="dxa"/>
            <w:vAlign w:val="center"/>
          </w:tcPr>
          <w:p>
            <w:pPr>
              <w:spacing w:line="276" w:lineRule="auto"/>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r>
              <w:rPr>
                <w:rFonts w:ascii="等线" w:hAnsi="等线" w:eastAsia="等线" w:cs="宋体"/>
                <w:color w:val="000000"/>
                <w:kern w:val="0"/>
                <w:sz w:val="18"/>
                <w:szCs w:val="18"/>
              </w:rPr>
              <w:t>1.72</w:t>
            </w:r>
          </w:p>
        </w:tc>
        <w:tc>
          <w:tcPr>
            <w:tcW w:w="1031" w:type="dxa"/>
            <w:vAlign w:val="center"/>
          </w:tcPr>
          <w:p>
            <w:pPr>
              <w:spacing w:line="276" w:lineRule="auto"/>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r>
              <w:rPr>
                <w:rFonts w:ascii="等线" w:hAnsi="等线" w:eastAsia="等线" w:cs="宋体"/>
                <w:color w:val="000000"/>
                <w:kern w:val="0"/>
                <w:sz w:val="18"/>
                <w:szCs w:val="18"/>
              </w:rPr>
              <w:t>329</w:t>
            </w:r>
          </w:p>
        </w:tc>
        <w:tc>
          <w:tcPr>
            <w:tcW w:w="1030" w:type="dxa"/>
            <w:vAlign w:val="center"/>
          </w:tcPr>
          <w:p>
            <w:pPr>
              <w:spacing w:line="276" w:lineRule="auto"/>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r>
              <w:rPr>
                <w:rFonts w:ascii="等线" w:hAnsi="等线" w:eastAsia="等线" w:cs="宋体"/>
                <w:color w:val="000000"/>
                <w:kern w:val="0"/>
                <w:sz w:val="18"/>
                <w:szCs w:val="18"/>
              </w:rPr>
              <w:t>.09</w:t>
            </w:r>
          </w:p>
        </w:tc>
        <w:tc>
          <w:tcPr>
            <w:tcW w:w="1031" w:type="dxa"/>
            <w:vAlign w:val="center"/>
          </w:tcPr>
          <w:p>
            <w:pPr>
              <w:spacing w:line="276" w:lineRule="auto"/>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r>
              <w:rPr>
                <w:rFonts w:ascii="等线" w:hAnsi="等线" w:eastAsia="等线" w:cs="宋体"/>
                <w:color w:val="000000"/>
                <w:kern w:val="0"/>
                <w:sz w:val="18"/>
                <w:szCs w:val="18"/>
              </w:rPr>
              <w:t>342</w:t>
            </w:r>
          </w:p>
        </w:tc>
        <w:tc>
          <w:tcPr>
            <w:tcW w:w="1031" w:type="dxa"/>
            <w:vAlign w:val="center"/>
          </w:tcPr>
          <w:p>
            <w:pPr>
              <w:spacing w:line="276" w:lineRule="auto"/>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w:t>
            </w:r>
            <w:r>
              <w:rPr>
                <w:rFonts w:ascii="等线" w:hAnsi="等线" w:eastAsia="等线" w:cs="宋体"/>
                <w:color w:val="000000"/>
                <w:kern w:val="0"/>
                <w:sz w:val="18"/>
                <w:szCs w:val="18"/>
              </w:rPr>
              <w:t>.63</w:t>
            </w:r>
          </w:p>
        </w:tc>
      </w:tr>
    </w:tbl>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asciiTheme="minorAscii"/>
          <w:sz w:val="21"/>
          <w:szCs w:val="21"/>
        </w:rPr>
      </w:pPr>
      <w:r>
        <w:rPr>
          <w:rFonts w:hint="eastAsia" w:asciiTheme="minorAscii"/>
          <w:sz w:val="21"/>
          <w:szCs w:val="21"/>
        </w:rPr>
        <w:t>数据来源：相应年度《西山区统计年鉴》第4</w:t>
      </w:r>
      <w:r>
        <w:rPr>
          <w:rFonts w:asciiTheme="minorAscii"/>
          <w:sz w:val="21"/>
          <w:szCs w:val="21"/>
        </w:rPr>
        <w:t>2</w:t>
      </w:r>
      <w:r>
        <w:rPr>
          <w:rFonts w:hint="eastAsia" w:asciiTheme="minorAscii"/>
          <w:sz w:val="21"/>
          <w:szCs w:val="21"/>
        </w:rPr>
        <w:t>页，第4</w:t>
      </w:r>
      <w:r>
        <w:rPr>
          <w:rFonts w:asciiTheme="minorAscii"/>
          <w:sz w:val="21"/>
          <w:szCs w:val="21"/>
        </w:rPr>
        <w:t>6</w:t>
      </w:r>
      <w:r>
        <w:rPr>
          <w:rFonts w:hint="eastAsia" w:asciiTheme="minorAscii"/>
          <w:sz w:val="21"/>
          <w:szCs w:val="21"/>
        </w:rPr>
        <w:t>页，第3</w:t>
      </w:r>
      <w:r>
        <w:rPr>
          <w:rFonts w:asciiTheme="minorAscii"/>
          <w:sz w:val="21"/>
          <w:szCs w:val="21"/>
        </w:rPr>
        <w:t>6</w:t>
      </w:r>
      <w:r>
        <w:rPr>
          <w:rFonts w:hint="eastAsia" w:asciiTheme="minorAscii"/>
          <w:sz w:val="21"/>
          <w:szCs w:val="21"/>
        </w:rPr>
        <w:t>页。2</w:t>
      </w:r>
      <w:r>
        <w:rPr>
          <w:rFonts w:asciiTheme="minorAscii"/>
          <w:sz w:val="21"/>
          <w:szCs w:val="21"/>
        </w:rPr>
        <w:t>019</w:t>
      </w:r>
      <w:r>
        <w:rPr>
          <w:rFonts w:hint="eastAsia" w:asciiTheme="minorAscii"/>
          <w:sz w:val="21"/>
          <w:szCs w:val="21"/>
        </w:rPr>
        <w:t>年数据来自西山区公安分局。</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int="eastAsia" w:asciiTheme="minorAscii"/>
          <w:sz w:val="21"/>
          <w:szCs w:val="21"/>
        </w:rPr>
      </w:pPr>
      <w:r>
        <w:rPr>
          <w:rFonts w:hint="eastAsia" w:asciiTheme="minorAscii"/>
          <w:sz w:val="21"/>
          <w:szCs w:val="21"/>
        </w:rPr>
        <w:t>注：2</w:t>
      </w:r>
      <w:r>
        <w:rPr>
          <w:rFonts w:asciiTheme="minorAscii"/>
          <w:sz w:val="21"/>
          <w:szCs w:val="21"/>
        </w:rPr>
        <w:t>017</w:t>
      </w:r>
      <w:r>
        <w:rPr>
          <w:rFonts w:hint="eastAsia" w:asciiTheme="minorAscii"/>
          <w:sz w:val="21"/>
          <w:szCs w:val="21"/>
        </w:rPr>
        <w:t>年死亡数据异常偏高，是因为当年更换户口登记系统，清查以往遗漏的累积数。</w:t>
      </w:r>
    </w:p>
    <w:p>
      <w:pPr>
        <w:spacing w:line="276" w:lineRule="auto"/>
        <w:ind w:firstLine="360" w:firstLineChars="200"/>
        <w:jc w:val="left"/>
        <w:rPr>
          <w:rFonts w:hint="eastAsia"/>
          <w:sz w:val="18"/>
          <w:szCs w:val="18"/>
        </w:rPr>
      </w:pPr>
    </w:p>
    <w:p>
      <w:pPr>
        <w:spacing w:line="276" w:lineRule="auto"/>
        <w:ind w:firstLine="420" w:firstLineChars="200"/>
        <w:jc w:val="center"/>
      </w:pPr>
      <w:bookmarkStart w:id="133" w:name="_Hlk32077946"/>
      <w:r>
        <w:rPr>
          <w:rFonts w:hint="eastAsia"/>
        </w:rPr>
        <w:t>表3</w:t>
      </w:r>
      <w:r>
        <w:tab/>
      </w:r>
      <w:r>
        <w:tab/>
      </w:r>
      <w:r>
        <w:rPr>
          <w:rFonts w:hint="eastAsia"/>
        </w:rPr>
        <w:t xml:space="preserve">西山区户籍人口迁移统计 </w:t>
      </w:r>
      <w:r>
        <w:t xml:space="preserve">       </w:t>
      </w:r>
      <w:bookmarkStart w:id="134" w:name="_Hlk32152898"/>
      <w:r>
        <w:rPr>
          <w:rFonts w:hint="eastAsia"/>
        </w:rPr>
        <w:t>单位：</w:t>
      </w:r>
      <w:bookmarkEnd w:id="133"/>
      <w:r>
        <w:rPr>
          <w:rFonts w:hint="eastAsia"/>
        </w:rPr>
        <w:t>人</w:t>
      </w:r>
      <w:bookmarkEnd w:id="134"/>
    </w:p>
    <w:tbl>
      <w:tblPr>
        <w:tblStyle w:val="26"/>
        <w:tblW w:w="8431"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1"/>
        <w:gridCol w:w="759"/>
        <w:gridCol w:w="780"/>
        <w:gridCol w:w="855"/>
        <w:gridCol w:w="846"/>
        <w:gridCol w:w="879"/>
        <w:gridCol w:w="822"/>
        <w:gridCol w:w="827"/>
        <w:gridCol w:w="721"/>
        <w:gridCol w:w="1071"/>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871" w:type="dxa"/>
            <w:vMerge w:val="restart"/>
            <w:tcBorders>
              <w:bottom w:val="single" w:color="7E7E7E" w:themeColor="text1" w:themeTint="80" w:sz="4" w:space="0"/>
              <w:insideH w:val="single" w:sz="4" w:space="0"/>
            </w:tcBorders>
            <w:noWrap/>
          </w:tcPr>
          <w:p>
            <w:pPr>
              <w:widowControl/>
              <w:jc w:val="left"/>
              <w:rPr>
                <w:rFonts w:ascii="宋体" w:hAnsi="宋体" w:eastAsia="宋体" w:cs="宋体"/>
                <w:b/>
                <w:bCs/>
                <w:kern w:val="0"/>
                <w:sz w:val="18"/>
                <w:szCs w:val="18"/>
              </w:rPr>
            </w:pPr>
          </w:p>
        </w:tc>
        <w:tc>
          <w:tcPr>
            <w:tcW w:w="2394" w:type="dxa"/>
            <w:gridSpan w:val="3"/>
            <w:tcBorders>
              <w:bottom w:val="single" w:color="7E7E7E" w:themeColor="text1" w:themeTint="80" w:sz="4" w:space="0"/>
              <w:insideH w:val="single" w:sz="4" w:space="0"/>
            </w:tcBorders>
            <w:noWrap/>
          </w:tcPr>
          <w:p>
            <w:pPr>
              <w:widowControl/>
              <w:jc w:val="center"/>
              <w:rPr>
                <w:rFonts w:ascii="Times New Roman" w:hAnsi="Times New Roman" w:eastAsia="Times New Roman" w:cs="Times New Roman"/>
                <w:b/>
                <w:bCs/>
                <w:kern w:val="0"/>
                <w:sz w:val="18"/>
                <w:szCs w:val="18"/>
              </w:rPr>
            </w:pPr>
            <w:r>
              <w:rPr>
                <w:rFonts w:hint="eastAsia" w:ascii="等线" w:hAnsi="等线" w:eastAsia="等线" w:cs="宋体"/>
                <w:b/>
                <w:bCs/>
                <w:color w:val="000000"/>
                <w:kern w:val="0"/>
                <w:sz w:val="18"/>
                <w:szCs w:val="18"/>
              </w:rPr>
              <w:t>迁入人口</w:t>
            </w:r>
          </w:p>
        </w:tc>
        <w:tc>
          <w:tcPr>
            <w:tcW w:w="2547" w:type="dxa"/>
            <w:gridSpan w:val="3"/>
            <w:tcBorders>
              <w:bottom w:val="single" w:color="7E7E7E" w:themeColor="text1" w:themeTint="80" w:sz="4" w:space="0"/>
              <w:insideH w:val="single" w:sz="4" w:space="0"/>
            </w:tcBorders>
            <w:noWrap/>
          </w:tcPr>
          <w:p>
            <w:pPr>
              <w:widowControl/>
              <w:jc w:val="center"/>
              <w:rPr>
                <w:rFonts w:ascii="Times New Roman" w:hAnsi="Times New Roman" w:eastAsia="Times New Roman" w:cs="Times New Roman"/>
                <w:b/>
                <w:bCs/>
                <w:kern w:val="0"/>
                <w:sz w:val="18"/>
                <w:szCs w:val="18"/>
              </w:rPr>
            </w:pPr>
            <w:r>
              <w:rPr>
                <w:rFonts w:hint="eastAsia" w:ascii="等线" w:hAnsi="等线" w:eastAsia="等线" w:cs="宋体"/>
                <w:b/>
                <w:bCs/>
                <w:color w:val="000000"/>
                <w:kern w:val="0"/>
                <w:sz w:val="18"/>
                <w:szCs w:val="18"/>
              </w:rPr>
              <w:t>迁出人口</w:t>
            </w:r>
          </w:p>
        </w:tc>
        <w:tc>
          <w:tcPr>
            <w:tcW w:w="2619" w:type="dxa"/>
            <w:gridSpan w:val="3"/>
            <w:tcBorders>
              <w:bottom w:val="single" w:color="7E7E7E" w:themeColor="text1" w:themeTint="80" w:sz="4" w:space="0"/>
              <w:insideH w:val="single" w:sz="4" w:space="0"/>
            </w:tcBorders>
          </w:tcPr>
          <w:p>
            <w:pPr>
              <w:widowControl/>
              <w:ind w:firstLine="360" w:firstLineChars="200"/>
              <w:jc w:val="left"/>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净迁移人口</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871" w:type="dxa"/>
            <w:vMerge w:val="continue"/>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bookmarkStart w:id="135" w:name="_Hlk36153391"/>
          </w:p>
        </w:tc>
        <w:tc>
          <w:tcPr>
            <w:tcW w:w="75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省内</w:t>
            </w:r>
          </w:p>
        </w:tc>
        <w:tc>
          <w:tcPr>
            <w:tcW w:w="78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省外</w:t>
            </w:r>
          </w:p>
        </w:tc>
        <w:tc>
          <w:tcPr>
            <w:tcW w:w="855"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合计</w:t>
            </w:r>
          </w:p>
        </w:tc>
        <w:tc>
          <w:tcPr>
            <w:tcW w:w="846"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省内</w:t>
            </w:r>
          </w:p>
        </w:tc>
        <w:tc>
          <w:tcPr>
            <w:tcW w:w="8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省外</w:t>
            </w:r>
          </w:p>
        </w:tc>
        <w:tc>
          <w:tcPr>
            <w:tcW w:w="822"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合计</w:t>
            </w:r>
          </w:p>
        </w:tc>
        <w:tc>
          <w:tcPr>
            <w:tcW w:w="827" w:type="dxa"/>
            <w:tcBorders>
              <w:top w:val="single" w:color="7E7E7E" w:themeColor="text1" w:themeTint="80" w:sz="4" w:space="0"/>
              <w:bottom w:val="single" w:color="7E7E7E" w:themeColor="text1" w:themeTint="80" w:sz="4" w:space="0"/>
              <w:insideH w:val="single" w:sz="4" w:space="0"/>
            </w:tcBorders>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省内</w:t>
            </w:r>
          </w:p>
        </w:tc>
        <w:tc>
          <w:tcPr>
            <w:tcW w:w="721" w:type="dxa"/>
            <w:tcBorders>
              <w:top w:val="single" w:color="7E7E7E" w:themeColor="text1" w:themeTint="80" w:sz="4" w:space="0"/>
              <w:bottom w:val="single" w:color="7E7E7E" w:themeColor="text1" w:themeTint="80" w:sz="4" w:space="0"/>
              <w:insideH w:val="single" w:sz="4" w:space="0"/>
            </w:tcBorders>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省外</w:t>
            </w:r>
          </w:p>
        </w:tc>
        <w:tc>
          <w:tcPr>
            <w:tcW w:w="1071"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合计</w:t>
            </w:r>
          </w:p>
        </w:tc>
      </w:tr>
      <w:bookmarkEnd w:id="135"/>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871"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2016年</w:t>
            </w:r>
          </w:p>
        </w:tc>
        <w:tc>
          <w:tcPr>
            <w:tcW w:w="759"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12893</w:t>
            </w:r>
          </w:p>
        </w:tc>
        <w:tc>
          <w:tcPr>
            <w:tcW w:w="78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1441</w:t>
            </w:r>
          </w:p>
        </w:tc>
        <w:tc>
          <w:tcPr>
            <w:tcW w:w="855"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14334</w:t>
            </w:r>
          </w:p>
        </w:tc>
        <w:tc>
          <w:tcPr>
            <w:tcW w:w="846"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11300</w:t>
            </w:r>
          </w:p>
        </w:tc>
        <w:tc>
          <w:tcPr>
            <w:tcW w:w="879"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962</w:t>
            </w:r>
          </w:p>
        </w:tc>
        <w:tc>
          <w:tcPr>
            <w:tcW w:w="822"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12262</w:t>
            </w:r>
          </w:p>
        </w:tc>
        <w:tc>
          <w:tcPr>
            <w:tcW w:w="827" w:type="dxa"/>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1593</w:t>
            </w:r>
          </w:p>
        </w:tc>
        <w:tc>
          <w:tcPr>
            <w:tcW w:w="721" w:type="dxa"/>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479</w:t>
            </w:r>
          </w:p>
        </w:tc>
        <w:tc>
          <w:tcPr>
            <w:tcW w:w="1071"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2072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871"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2017年</w:t>
            </w:r>
          </w:p>
        </w:tc>
        <w:tc>
          <w:tcPr>
            <w:tcW w:w="75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16370</w:t>
            </w:r>
          </w:p>
        </w:tc>
        <w:tc>
          <w:tcPr>
            <w:tcW w:w="78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2316</w:t>
            </w:r>
          </w:p>
        </w:tc>
        <w:tc>
          <w:tcPr>
            <w:tcW w:w="855"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18686</w:t>
            </w:r>
          </w:p>
        </w:tc>
        <w:tc>
          <w:tcPr>
            <w:tcW w:w="846"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12303</w:t>
            </w:r>
          </w:p>
        </w:tc>
        <w:tc>
          <w:tcPr>
            <w:tcW w:w="8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825</w:t>
            </w:r>
          </w:p>
        </w:tc>
        <w:tc>
          <w:tcPr>
            <w:tcW w:w="822"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13128</w:t>
            </w:r>
          </w:p>
        </w:tc>
        <w:tc>
          <w:tcPr>
            <w:tcW w:w="827" w:type="dxa"/>
            <w:tcBorders>
              <w:top w:val="single" w:color="7E7E7E" w:themeColor="text1" w:themeTint="80" w:sz="4" w:space="0"/>
              <w:bottom w:val="single" w:color="7E7E7E" w:themeColor="text1" w:themeTint="80" w:sz="4" w:space="0"/>
              <w:insideH w:val="single" w:sz="4" w:space="0"/>
            </w:tcBorders>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4067</w:t>
            </w:r>
          </w:p>
        </w:tc>
        <w:tc>
          <w:tcPr>
            <w:tcW w:w="721" w:type="dxa"/>
            <w:tcBorders>
              <w:top w:val="single" w:color="7E7E7E" w:themeColor="text1" w:themeTint="80" w:sz="4" w:space="0"/>
              <w:bottom w:val="single" w:color="7E7E7E" w:themeColor="text1" w:themeTint="80" w:sz="4" w:space="0"/>
              <w:insideH w:val="single" w:sz="4" w:space="0"/>
            </w:tcBorders>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1491</w:t>
            </w:r>
          </w:p>
        </w:tc>
        <w:tc>
          <w:tcPr>
            <w:tcW w:w="1071"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5558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871"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2018年</w:t>
            </w:r>
          </w:p>
        </w:tc>
        <w:tc>
          <w:tcPr>
            <w:tcW w:w="759"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22073</w:t>
            </w:r>
          </w:p>
        </w:tc>
        <w:tc>
          <w:tcPr>
            <w:tcW w:w="78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4418</w:t>
            </w:r>
          </w:p>
        </w:tc>
        <w:tc>
          <w:tcPr>
            <w:tcW w:w="855"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26491</w:t>
            </w:r>
          </w:p>
        </w:tc>
        <w:tc>
          <w:tcPr>
            <w:tcW w:w="846"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15851</w:t>
            </w:r>
          </w:p>
        </w:tc>
        <w:tc>
          <w:tcPr>
            <w:tcW w:w="879"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1179</w:t>
            </w:r>
          </w:p>
        </w:tc>
        <w:tc>
          <w:tcPr>
            <w:tcW w:w="822"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17030</w:t>
            </w:r>
          </w:p>
        </w:tc>
        <w:tc>
          <w:tcPr>
            <w:tcW w:w="827" w:type="dxa"/>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6222</w:t>
            </w:r>
          </w:p>
        </w:tc>
        <w:tc>
          <w:tcPr>
            <w:tcW w:w="721" w:type="dxa"/>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3239</w:t>
            </w:r>
          </w:p>
        </w:tc>
        <w:tc>
          <w:tcPr>
            <w:tcW w:w="1071"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9461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871"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w:t>
            </w:r>
            <w:r>
              <w:rPr>
                <w:rFonts w:ascii="等线" w:hAnsi="等线" w:eastAsia="等线" w:cs="宋体"/>
                <w:b/>
                <w:bCs/>
                <w:color w:val="000000"/>
                <w:kern w:val="0"/>
                <w:sz w:val="18"/>
                <w:szCs w:val="18"/>
              </w:rPr>
              <w:t>019</w:t>
            </w:r>
            <w:r>
              <w:rPr>
                <w:rFonts w:hint="eastAsia" w:ascii="等线" w:hAnsi="等线" w:eastAsia="等线" w:cs="宋体"/>
                <w:b/>
                <w:bCs/>
                <w:color w:val="000000"/>
                <w:kern w:val="0"/>
                <w:sz w:val="18"/>
                <w:szCs w:val="18"/>
              </w:rPr>
              <w:t>年</w:t>
            </w:r>
          </w:p>
        </w:tc>
        <w:tc>
          <w:tcPr>
            <w:tcW w:w="75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r>
              <w:rPr>
                <w:rFonts w:ascii="等线" w:hAnsi="等线" w:eastAsia="等线" w:cs="宋体"/>
                <w:color w:val="000000"/>
                <w:kern w:val="0"/>
                <w:sz w:val="18"/>
                <w:szCs w:val="18"/>
              </w:rPr>
              <w:t>9155</w:t>
            </w:r>
          </w:p>
        </w:tc>
        <w:tc>
          <w:tcPr>
            <w:tcW w:w="78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r>
              <w:rPr>
                <w:rFonts w:ascii="等线" w:hAnsi="等线" w:eastAsia="等线" w:cs="宋体"/>
                <w:color w:val="000000"/>
                <w:kern w:val="0"/>
                <w:sz w:val="18"/>
                <w:szCs w:val="18"/>
              </w:rPr>
              <w:t>483</w:t>
            </w:r>
          </w:p>
        </w:tc>
        <w:tc>
          <w:tcPr>
            <w:tcW w:w="855"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r>
              <w:rPr>
                <w:rFonts w:ascii="等线" w:hAnsi="等线" w:eastAsia="等线" w:cs="宋体"/>
                <w:color w:val="000000"/>
                <w:kern w:val="0"/>
                <w:sz w:val="18"/>
                <w:szCs w:val="18"/>
              </w:rPr>
              <w:t>2638</w:t>
            </w:r>
          </w:p>
        </w:tc>
        <w:tc>
          <w:tcPr>
            <w:tcW w:w="846"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r>
              <w:rPr>
                <w:rFonts w:ascii="等线" w:hAnsi="等线" w:eastAsia="等线" w:cs="宋体"/>
                <w:color w:val="000000"/>
                <w:kern w:val="0"/>
                <w:sz w:val="18"/>
                <w:szCs w:val="18"/>
              </w:rPr>
              <w:t>4437</w:t>
            </w:r>
          </w:p>
        </w:tc>
        <w:tc>
          <w:tcPr>
            <w:tcW w:w="8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r>
              <w:rPr>
                <w:rFonts w:ascii="等线" w:hAnsi="等线" w:eastAsia="等线" w:cs="宋体"/>
                <w:color w:val="000000"/>
                <w:kern w:val="0"/>
                <w:sz w:val="18"/>
                <w:szCs w:val="18"/>
              </w:rPr>
              <w:t>243</w:t>
            </w:r>
          </w:p>
        </w:tc>
        <w:tc>
          <w:tcPr>
            <w:tcW w:w="822"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r>
              <w:rPr>
                <w:rFonts w:ascii="等线" w:hAnsi="等线" w:eastAsia="等线" w:cs="宋体"/>
                <w:color w:val="000000"/>
                <w:kern w:val="0"/>
                <w:sz w:val="18"/>
                <w:szCs w:val="18"/>
              </w:rPr>
              <w:t>5680</w:t>
            </w:r>
          </w:p>
        </w:tc>
        <w:tc>
          <w:tcPr>
            <w:tcW w:w="827" w:type="dxa"/>
            <w:tcBorders>
              <w:top w:val="single" w:color="7E7E7E" w:themeColor="text1" w:themeTint="80" w:sz="4" w:space="0"/>
              <w:bottom w:val="single" w:color="7E7E7E" w:themeColor="text1" w:themeTint="80" w:sz="4" w:space="0"/>
              <w:insideH w:val="single" w:sz="4" w:space="0"/>
            </w:tcBorders>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r>
              <w:rPr>
                <w:rFonts w:ascii="等线" w:hAnsi="等线" w:eastAsia="等线" w:cs="宋体"/>
                <w:color w:val="000000"/>
                <w:kern w:val="0"/>
                <w:sz w:val="18"/>
                <w:szCs w:val="18"/>
              </w:rPr>
              <w:t>718</w:t>
            </w:r>
          </w:p>
        </w:tc>
        <w:tc>
          <w:tcPr>
            <w:tcW w:w="721" w:type="dxa"/>
            <w:tcBorders>
              <w:top w:val="single" w:color="7E7E7E" w:themeColor="text1" w:themeTint="80" w:sz="4" w:space="0"/>
              <w:bottom w:val="single" w:color="7E7E7E" w:themeColor="text1" w:themeTint="80" w:sz="4" w:space="0"/>
              <w:insideH w:val="single" w:sz="4" w:space="0"/>
            </w:tcBorders>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r>
              <w:rPr>
                <w:rFonts w:ascii="等线" w:hAnsi="等线" w:eastAsia="等线" w:cs="宋体"/>
                <w:color w:val="000000"/>
                <w:kern w:val="0"/>
                <w:sz w:val="18"/>
                <w:szCs w:val="18"/>
              </w:rPr>
              <w:t>240</w:t>
            </w:r>
          </w:p>
        </w:tc>
        <w:tc>
          <w:tcPr>
            <w:tcW w:w="1071"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w:t>
            </w:r>
            <w:r>
              <w:rPr>
                <w:rFonts w:ascii="等线" w:hAnsi="等线" w:eastAsia="等线" w:cs="宋体"/>
                <w:color w:val="000000"/>
                <w:kern w:val="0"/>
                <w:sz w:val="18"/>
                <w:szCs w:val="18"/>
              </w:rPr>
              <w:t>958</w:t>
            </w:r>
          </w:p>
        </w:tc>
      </w:tr>
    </w:tbl>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sz w:val="21"/>
          <w:szCs w:val="21"/>
        </w:rPr>
      </w:pPr>
      <w:bookmarkStart w:id="136" w:name="_Hlk32078507"/>
      <w:r>
        <w:rPr>
          <w:rFonts w:hint="eastAsia"/>
          <w:sz w:val="21"/>
          <w:szCs w:val="21"/>
        </w:rPr>
        <w:t>数据来源：相应年度《西山区统计年鉴》</w:t>
      </w:r>
      <w:bookmarkStart w:id="137" w:name="_Hlk36300825"/>
      <w:r>
        <w:rPr>
          <w:rFonts w:hint="eastAsia"/>
          <w:sz w:val="21"/>
          <w:szCs w:val="21"/>
        </w:rPr>
        <w:t>第4</w:t>
      </w:r>
      <w:r>
        <w:rPr>
          <w:sz w:val="21"/>
          <w:szCs w:val="21"/>
        </w:rPr>
        <w:t>2</w:t>
      </w:r>
      <w:r>
        <w:rPr>
          <w:rFonts w:hint="eastAsia"/>
          <w:sz w:val="21"/>
          <w:szCs w:val="21"/>
        </w:rPr>
        <w:t>页，第4</w:t>
      </w:r>
      <w:r>
        <w:rPr>
          <w:sz w:val="21"/>
          <w:szCs w:val="21"/>
        </w:rPr>
        <w:t>6</w:t>
      </w:r>
      <w:r>
        <w:rPr>
          <w:rFonts w:hint="eastAsia"/>
          <w:sz w:val="21"/>
          <w:szCs w:val="21"/>
        </w:rPr>
        <w:t>页，</w:t>
      </w:r>
      <w:bookmarkEnd w:id="137"/>
      <w:r>
        <w:rPr>
          <w:rFonts w:hint="eastAsia"/>
          <w:sz w:val="21"/>
          <w:szCs w:val="21"/>
        </w:rPr>
        <w:t>第3</w:t>
      </w:r>
      <w:r>
        <w:rPr>
          <w:sz w:val="21"/>
          <w:szCs w:val="21"/>
        </w:rPr>
        <w:t>6</w:t>
      </w:r>
      <w:r>
        <w:rPr>
          <w:rFonts w:hint="eastAsia"/>
          <w:sz w:val="21"/>
          <w:szCs w:val="21"/>
        </w:rPr>
        <w:t>页。2</w:t>
      </w:r>
      <w:r>
        <w:rPr>
          <w:sz w:val="21"/>
          <w:szCs w:val="21"/>
        </w:rPr>
        <w:t>019</w:t>
      </w:r>
      <w:r>
        <w:rPr>
          <w:rFonts w:hint="eastAsia"/>
          <w:sz w:val="21"/>
          <w:szCs w:val="21"/>
        </w:rPr>
        <w:t>年数据来自西山区公安分局。</w:t>
      </w:r>
      <w:bookmarkEnd w:id="136"/>
    </w:p>
    <w:p>
      <w:pPr>
        <w:spacing w:line="276" w:lineRule="auto"/>
        <w:ind w:firstLine="420" w:firstLineChars="200"/>
        <w:jc w:val="center"/>
      </w:pPr>
      <w:r>
        <w:rPr>
          <w:rFonts w:hint="eastAsia"/>
        </w:rPr>
        <w:t>表4</w:t>
      </w:r>
      <w:r>
        <w:tab/>
      </w:r>
      <w:r>
        <w:tab/>
      </w:r>
      <w:r>
        <w:rPr>
          <w:rFonts w:hint="eastAsia"/>
        </w:rPr>
        <w:t>西山区户籍人口性别比</w:t>
      </w:r>
      <w:r>
        <w:tab/>
      </w:r>
      <w:r>
        <w:tab/>
      </w:r>
      <w:r>
        <w:tab/>
      </w:r>
      <w:r>
        <w:rPr>
          <w:rFonts w:hint="eastAsia"/>
        </w:rPr>
        <w:t>单位：人、女=1</w:t>
      </w:r>
      <w:r>
        <w:t>00</w:t>
      </w:r>
    </w:p>
    <w:tbl>
      <w:tblPr>
        <w:tblStyle w:val="26"/>
        <w:tblW w:w="7560" w:type="dxa"/>
        <w:jc w:val="center"/>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1080"/>
        <w:gridCol w:w="1080"/>
        <w:gridCol w:w="1080"/>
        <w:gridCol w:w="1080"/>
        <w:gridCol w:w="1080"/>
        <w:gridCol w:w="1080"/>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bottom w:val="single" w:color="7E7E7E" w:themeColor="text1" w:themeTint="80" w:sz="4" w:space="0"/>
              <w:insideH w:val="single" w:sz="4" w:space="0"/>
            </w:tcBorders>
            <w:noWrap/>
            <w:vAlign w:val="center"/>
          </w:tcPr>
          <w:p>
            <w:pPr>
              <w:widowControl/>
              <w:jc w:val="center"/>
              <w:rPr>
                <w:rFonts w:ascii="宋体" w:hAnsi="宋体" w:eastAsia="宋体" w:cs="宋体"/>
                <w:b/>
                <w:bCs/>
                <w:kern w:val="0"/>
                <w:sz w:val="18"/>
                <w:szCs w:val="18"/>
              </w:rPr>
            </w:pPr>
          </w:p>
        </w:tc>
        <w:tc>
          <w:tcPr>
            <w:tcW w:w="3240" w:type="dxa"/>
            <w:gridSpan w:val="3"/>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总人口</w:t>
            </w:r>
          </w:p>
        </w:tc>
        <w:tc>
          <w:tcPr>
            <w:tcW w:w="3240" w:type="dxa"/>
            <w:gridSpan w:val="3"/>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出生人口</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宋体" w:hAnsi="宋体" w:eastAsia="宋体" w:cs="宋体"/>
                <w:b/>
                <w:bCs/>
                <w:kern w:val="0"/>
                <w:sz w:val="18"/>
                <w:szCs w:val="18"/>
              </w:rPr>
            </w:pP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男</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女</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性别比</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男</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女</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性别比</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2016年</w:t>
            </w:r>
          </w:p>
        </w:tc>
        <w:tc>
          <w:tcPr>
            <w:tcW w:w="108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268553</w:t>
            </w:r>
          </w:p>
        </w:tc>
        <w:tc>
          <w:tcPr>
            <w:tcW w:w="108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271941</w:t>
            </w:r>
          </w:p>
        </w:tc>
        <w:tc>
          <w:tcPr>
            <w:tcW w:w="108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w:t>
            </w:r>
          </w:p>
        </w:tc>
        <w:tc>
          <w:tcPr>
            <w:tcW w:w="108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2798</w:t>
            </w:r>
          </w:p>
        </w:tc>
        <w:tc>
          <w:tcPr>
            <w:tcW w:w="108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2619</w:t>
            </w:r>
          </w:p>
        </w:tc>
        <w:tc>
          <w:tcPr>
            <w:tcW w:w="108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2017年</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269390</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274803</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3726</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3481</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2018年</w:t>
            </w:r>
          </w:p>
        </w:tc>
        <w:tc>
          <w:tcPr>
            <w:tcW w:w="108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275484</w:t>
            </w:r>
          </w:p>
        </w:tc>
        <w:tc>
          <w:tcPr>
            <w:tcW w:w="108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282645</w:t>
            </w:r>
          </w:p>
        </w:tc>
        <w:tc>
          <w:tcPr>
            <w:tcW w:w="108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w:t>
            </w:r>
          </w:p>
        </w:tc>
        <w:tc>
          <w:tcPr>
            <w:tcW w:w="108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3591</w:t>
            </w:r>
          </w:p>
        </w:tc>
        <w:tc>
          <w:tcPr>
            <w:tcW w:w="108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3466</w:t>
            </w:r>
          </w:p>
        </w:tc>
        <w:tc>
          <w:tcPr>
            <w:tcW w:w="108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w:t>
            </w:r>
            <w:r>
              <w:rPr>
                <w:rFonts w:ascii="等线" w:hAnsi="等线" w:eastAsia="等线" w:cs="宋体"/>
                <w:b/>
                <w:bCs/>
                <w:color w:val="000000"/>
                <w:kern w:val="0"/>
                <w:sz w:val="18"/>
                <w:szCs w:val="18"/>
              </w:rPr>
              <w:t>019</w:t>
            </w:r>
            <w:r>
              <w:rPr>
                <w:rFonts w:hint="eastAsia" w:ascii="等线" w:hAnsi="等线" w:eastAsia="等线" w:cs="宋体"/>
                <w:b/>
                <w:bCs/>
                <w:color w:val="000000"/>
                <w:kern w:val="0"/>
                <w:sz w:val="18"/>
                <w:szCs w:val="18"/>
              </w:rPr>
              <w:t>年</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r>
              <w:rPr>
                <w:rFonts w:ascii="等线" w:hAnsi="等线" w:eastAsia="等线" w:cs="宋体"/>
                <w:color w:val="000000"/>
                <w:kern w:val="0"/>
                <w:sz w:val="18"/>
                <w:szCs w:val="18"/>
              </w:rPr>
              <w:t>80153</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r>
              <w:rPr>
                <w:rFonts w:ascii="等线" w:hAnsi="等线" w:eastAsia="等线" w:cs="宋体"/>
                <w:color w:val="000000"/>
                <w:kern w:val="0"/>
                <w:sz w:val="18"/>
                <w:szCs w:val="18"/>
              </w:rPr>
              <w:t>88961</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w:t>
            </w:r>
            <w:r>
              <w:rPr>
                <w:rFonts w:ascii="等线" w:hAnsi="等线" w:eastAsia="等线" w:cs="宋体"/>
                <w:color w:val="000000"/>
                <w:kern w:val="0"/>
                <w:sz w:val="18"/>
                <w:szCs w:val="18"/>
              </w:rPr>
              <w:t>7</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r>
              <w:rPr>
                <w:rFonts w:ascii="等线" w:hAnsi="等线" w:eastAsia="等线" w:cs="宋体"/>
                <w:color w:val="000000"/>
                <w:kern w:val="0"/>
                <w:sz w:val="18"/>
                <w:szCs w:val="18"/>
              </w:rPr>
              <w:t>409</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r>
              <w:rPr>
                <w:rFonts w:ascii="等线" w:hAnsi="等线" w:eastAsia="等线" w:cs="宋体"/>
                <w:color w:val="000000"/>
                <w:kern w:val="0"/>
                <w:sz w:val="18"/>
                <w:szCs w:val="18"/>
              </w:rPr>
              <w:t>262</w:t>
            </w:r>
          </w:p>
        </w:tc>
        <w:tc>
          <w:tcPr>
            <w:tcW w:w="108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r>
              <w:rPr>
                <w:rFonts w:ascii="等线" w:hAnsi="等线" w:eastAsia="等线" w:cs="宋体"/>
                <w:color w:val="000000"/>
                <w:kern w:val="0"/>
                <w:sz w:val="18"/>
                <w:szCs w:val="18"/>
              </w:rPr>
              <w:t>05</w:t>
            </w:r>
          </w:p>
        </w:tc>
      </w:tr>
    </w:tbl>
    <w:p>
      <w:pPr>
        <w:spacing w:line="276" w:lineRule="auto"/>
        <w:ind w:firstLine="360" w:firstLineChars="200"/>
        <w:rPr>
          <w:rFonts w:hint="eastAsia"/>
          <w:sz w:val="18"/>
          <w:szCs w:val="18"/>
        </w:rPr>
      </w:pPr>
      <w:r>
        <w:rPr>
          <w:rFonts w:hint="eastAsia"/>
          <w:sz w:val="18"/>
          <w:szCs w:val="18"/>
        </w:rPr>
        <w:t>数据来源：相应年度《西山区统计年鉴》第4</w:t>
      </w:r>
      <w:r>
        <w:rPr>
          <w:sz w:val="18"/>
          <w:szCs w:val="18"/>
        </w:rPr>
        <w:t>1-42</w:t>
      </w:r>
      <w:r>
        <w:rPr>
          <w:rFonts w:hint="eastAsia"/>
          <w:sz w:val="18"/>
          <w:szCs w:val="18"/>
        </w:rPr>
        <w:t>页，第4</w:t>
      </w:r>
      <w:r>
        <w:rPr>
          <w:sz w:val="18"/>
          <w:szCs w:val="18"/>
        </w:rPr>
        <w:t>5-</w:t>
      </w:r>
      <w:r>
        <w:rPr>
          <w:rFonts w:hint="eastAsia"/>
          <w:sz w:val="18"/>
          <w:szCs w:val="18"/>
        </w:rPr>
        <w:t>4</w:t>
      </w:r>
      <w:r>
        <w:rPr>
          <w:sz w:val="18"/>
          <w:szCs w:val="18"/>
        </w:rPr>
        <w:t>6</w:t>
      </w:r>
      <w:r>
        <w:rPr>
          <w:rFonts w:hint="eastAsia"/>
          <w:sz w:val="18"/>
          <w:szCs w:val="18"/>
        </w:rPr>
        <w:t>页，第3</w:t>
      </w:r>
      <w:r>
        <w:rPr>
          <w:sz w:val="18"/>
          <w:szCs w:val="18"/>
        </w:rPr>
        <w:t>5-</w:t>
      </w:r>
      <w:r>
        <w:rPr>
          <w:rFonts w:hint="eastAsia"/>
          <w:sz w:val="18"/>
          <w:szCs w:val="18"/>
        </w:rPr>
        <w:t>3</w:t>
      </w:r>
      <w:r>
        <w:rPr>
          <w:sz w:val="18"/>
          <w:szCs w:val="18"/>
        </w:rPr>
        <w:t>6</w:t>
      </w:r>
      <w:r>
        <w:rPr>
          <w:rFonts w:hint="eastAsia"/>
          <w:sz w:val="18"/>
          <w:szCs w:val="18"/>
        </w:rPr>
        <w:t>页。2</w:t>
      </w:r>
      <w:r>
        <w:rPr>
          <w:sz w:val="18"/>
          <w:szCs w:val="18"/>
        </w:rPr>
        <w:t>019</w:t>
      </w:r>
      <w:r>
        <w:rPr>
          <w:rFonts w:hint="eastAsia"/>
          <w:sz w:val="18"/>
          <w:szCs w:val="18"/>
        </w:rPr>
        <w:t>年数据来自西山区公安分局。</w:t>
      </w:r>
    </w:p>
    <w:p>
      <w:pPr>
        <w:spacing w:line="276" w:lineRule="auto"/>
        <w:ind w:firstLine="360" w:firstLineChars="200"/>
        <w:rPr>
          <w:rFonts w:hint="eastAsia"/>
          <w:sz w:val="18"/>
          <w:szCs w:val="18"/>
        </w:rPr>
      </w:pPr>
    </w:p>
    <w:p>
      <w:pPr>
        <w:spacing w:line="276" w:lineRule="auto"/>
        <w:ind w:firstLine="420" w:firstLineChars="200"/>
        <w:jc w:val="center"/>
      </w:pPr>
      <w:bookmarkStart w:id="138" w:name="_Hlk35778703"/>
      <w:bookmarkStart w:id="139" w:name="_Hlk32152820"/>
      <w:bookmarkStart w:id="140" w:name="_Hlk33716480"/>
      <w:r>
        <w:rPr>
          <w:rFonts w:hint="eastAsia"/>
        </w:rPr>
        <w:t>表5</w:t>
      </w:r>
      <w:r>
        <w:tab/>
      </w:r>
      <w:r>
        <w:tab/>
      </w:r>
      <w:r>
        <w:rPr>
          <w:rFonts w:hint="eastAsia"/>
        </w:rPr>
        <w:t>西山区户籍人口</w:t>
      </w:r>
      <w:bookmarkEnd w:id="138"/>
      <w:r>
        <w:rPr>
          <w:rFonts w:hint="eastAsia"/>
        </w:rPr>
        <w:t>年龄结构统计</w:t>
      </w:r>
      <w:bookmarkEnd w:id="139"/>
      <w:r>
        <w:rPr>
          <w:rFonts w:hint="eastAsia"/>
        </w:rPr>
        <w:t xml:space="preserve"> </w:t>
      </w:r>
      <w:r>
        <w:t xml:space="preserve">       </w:t>
      </w:r>
      <w:bookmarkStart w:id="141" w:name="_Hlk36240728"/>
      <w:r>
        <w:rPr>
          <w:rFonts w:hint="eastAsia"/>
        </w:rPr>
        <w:t>单位：%</w:t>
      </w:r>
      <w:bookmarkEnd w:id="141"/>
    </w:p>
    <w:tbl>
      <w:tblPr>
        <w:tblStyle w:val="26"/>
        <w:tblW w:w="6370" w:type="dxa"/>
        <w:jc w:val="center"/>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4"/>
        <w:gridCol w:w="1274"/>
        <w:gridCol w:w="1274"/>
        <w:gridCol w:w="1274"/>
        <w:gridCol w:w="1274"/>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6" w:hRule="atLeast"/>
          <w:jc w:val="center"/>
        </w:trPr>
        <w:tc>
          <w:tcPr>
            <w:tcW w:w="1274" w:type="dxa"/>
            <w:tcBorders>
              <w:bottom w:val="single" w:color="7E7E7E" w:themeColor="text1" w:themeTint="80" w:sz="4" w:space="0"/>
              <w:insideH w:val="single" w:sz="4" w:space="0"/>
            </w:tcBorders>
            <w:noWrap/>
          </w:tcPr>
          <w:p>
            <w:pPr>
              <w:widowControl/>
              <w:jc w:val="center"/>
              <w:rPr>
                <w:rFonts w:ascii="宋体" w:hAnsi="宋体" w:eastAsia="宋体" w:cs="宋体"/>
                <w:b/>
                <w:bCs/>
                <w:kern w:val="0"/>
                <w:sz w:val="18"/>
                <w:szCs w:val="18"/>
              </w:rPr>
            </w:pPr>
            <w:bookmarkStart w:id="142" w:name="_Hlk33963618"/>
          </w:p>
        </w:tc>
        <w:tc>
          <w:tcPr>
            <w:tcW w:w="1274"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0-17岁</w:t>
            </w:r>
          </w:p>
        </w:tc>
        <w:tc>
          <w:tcPr>
            <w:tcW w:w="1274"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18-34岁</w:t>
            </w:r>
          </w:p>
        </w:tc>
        <w:tc>
          <w:tcPr>
            <w:tcW w:w="1274"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35-59岁</w:t>
            </w:r>
          </w:p>
        </w:tc>
        <w:tc>
          <w:tcPr>
            <w:tcW w:w="1274"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≥60岁</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6" w:hRule="atLeast"/>
          <w:jc w:val="center"/>
        </w:trPr>
        <w:tc>
          <w:tcPr>
            <w:tcW w:w="127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2016年</w:t>
            </w:r>
          </w:p>
        </w:tc>
        <w:tc>
          <w:tcPr>
            <w:tcW w:w="127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15.15</w:t>
            </w:r>
          </w:p>
        </w:tc>
        <w:tc>
          <w:tcPr>
            <w:tcW w:w="127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18.84</w:t>
            </w:r>
          </w:p>
        </w:tc>
        <w:tc>
          <w:tcPr>
            <w:tcW w:w="127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42.15</w:t>
            </w:r>
          </w:p>
        </w:tc>
        <w:tc>
          <w:tcPr>
            <w:tcW w:w="127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23.86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6" w:hRule="atLeast"/>
          <w:jc w:val="center"/>
        </w:trPr>
        <w:tc>
          <w:tcPr>
            <w:tcW w:w="1274"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2017年</w:t>
            </w:r>
          </w:p>
        </w:tc>
        <w:tc>
          <w:tcPr>
            <w:tcW w:w="127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15.87</w:t>
            </w:r>
          </w:p>
        </w:tc>
        <w:tc>
          <w:tcPr>
            <w:tcW w:w="127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18.45</w:t>
            </w:r>
          </w:p>
        </w:tc>
        <w:tc>
          <w:tcPr>
            <w:tcW w:w="127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42.06</w:t>
            </w:r>
          </w:p>
        </w:tc>
        <w:tc>
          <w:tcPr>
            <w:tcW w:w="127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23.63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6" w:hRule="atLeast"/>
          <w:jc w:val="center"/>
        </w:trPr>
        <w:tc>
          <w:tcPr>
            <w:tcW w:w="127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2018年</w:t>
            </w:r>
          </w:p>
        </w:tc>
        <w:tc>
          <w:tcPr>
            <w:tcW w:w="127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16.24</w:t>
            </w:r>
          </w:p>
        </w:tc>
        <w:tc>
          <w:tcPr>
            <w:tcW w:w="127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18.19</w:t>
            </w:r>
          </w:p>
        </w:tc>
        <w:tc>
          <w:tcPr>
            <w:tcW w:w="127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41.45</w:t>
            </w:r>
          </w:p>
        </w:tc>
        <w:tc>
          <w:tcPr>
            <w:tcW w:w="127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24.12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6" w:hRule="atLeast"/>
          <w:jc w:val="center"/>
        </w:trPr>
        <w:tc>
          <w:tcPr>
            <w:tcW w:w="1274"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w:t>
            </w:r>
            <w:r>
              <w:rPr>
                <w:rFonts w:ascii="等线" w:hAnsi="等线" w:eastAsia="等线" w:cs="宋体"/>
                <w:b/>
                <w:bCs/>
                <w:color w:val="000000"/>
                <w:kern w:val="0"/>
                <w:sz w:val="18"/>
                <w:szCs w:val="18"/>
              </w:rPr>
              <w:t>019</w:t>
            </w:r>
            <w:r>
              <w:rPr>
                <w:rFonts w:hint="eastAsia" w:ascii="等线" w:hAnsi="等线" w:eastAsia="等线" w:cs="宋体"/>
                <w:b/>
                <w:bCs/>
                <w:color w:val="000000"/>
                <w:kern w:val="0"/>
                <w:sz w:val="18"/>
                <w:szCs w:val="18"/>
              </w:rPr>
              <w:t>年</w:t>
            </w:r>
          </w:p>
        </w:tc>
        <w:tc>
          <w:tcPr>
            <w:tcW w:w="127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r>
              <w:rPr>
                <w:rFonts w:ascii="等线" w:hAnsi="等线" w:eastAsia="等线" w:cs="宋体"/>
                <w:color w:val="000000"/>
                <w:kern w:val="0"/>
                <w:sz w:val="18"/>
                <w:szCs w:val="18"/>
              </w:rPr>
              <w:t>6.54</w:t>
            </w:r>
          </w:p>
        </w:tc>
        <w:tc>
          <w:tcPr>
            <w:tcW w:w="127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r>
              <w:rPr>
                <w:rFonts w:ascii="等线" w:hAnsi="等线" w:eastAsia="等线" w:cs="宋体"/>
                <w:color w:val="000000"/>
                <w:kern w:val="0"/>
                <w:sz w:val="18"/>
                <w:szCs w:val="18"/>
              </w:rPr>
              <w:t>7.83</w:t>
            </w:r>
          </w:p>
        </w:tc>
        <w:tc>
          <w:tcPr>
            <w:tcW w:w="127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r>
              <w:rPr>
                <w:rFonts w:ascii="等线" w:hAnsi="等线" w:eastAsia="等线" w:cs="宋体"/>
                <w:color w:val="000000"/>
                <w:kern w:val="0"/>
                <w:sz w:val="18"/>
                <w:szCs w:val="18"/>
              </w:rPr>
              <w:t>1.22</w:t>
            </w:r>
          </w:p>
        </w:tc>
        <w:tc>
          <w:tcPr>
            <w:tcW w:w="127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r>
              <w:rPr>
                <w:rFonts w:ascii="等线" w:hAnsi="等线" w:eastAsia="等线" w:cs="宋体"/>
                <w:color w:val="000000"/>
                <w:kern w:val="0"/>
                <w:sz w:val="18"/>
                <w:szCs w:val="18"/>
              </w:rPr>
              <w:t>4.41</w:t>
            </w:r>
          </w:p>
        </w:tc>
      </w:tr>
      <w:bookmarkEnd w:id="142"/>
    </w:tbl>
    <w:p>
      <w:pPr>
        <w:spacing w:line="276" w:lineRule="auto"/>
        <w:ind w:firstLine="360" w:firstLineChars="200"/>
        <w:rPr>
          <w:sz w:val="18"/>
          <w:szCs w:val="18"/>
        </w:rPr>
      </w:pPr>
      <w:bookmarkStart w:id="143" w:name="_Hlk36240577"/>
      <w:bookmarkStart w:id="144" w:name="_Hlk36240127"/>
      <w:r>
        <w:rPr>
          <w:rFonts w:hint="eastAsia"/>
          <w:sz w:val="18"/>
          <w:szCs w:val="18"/>
        </w:rPr>
        <w:t>数据来源：</w:t>
      </w:r>
      <w:bookmarkEnd w:id="143"/>
      <w:r>
        <w:rPr>
          <w:rFonts w:hint="eastAsia"/>
          <w:sz w:val="18"/>
          <w:szCs w:val="18"/>
        </w:rPr>
        <w:t>相应年度《西山区统计年鉴》</w:t>
      </w:r>
      <w:bookmarkStart w:id="145" w:name="_Hlk36302493"/>
      <w:r>
        <w:rPr>
          <w:rFonts w:hint="eastAsia"/>
          <w:sz w:val="18"/>
          <w:szCs w:val="18"/>
        </w:rPr>
        <w:t>第4</w:t>
      </w:r>
      <w:r>
        <w:rPr>
          <w:sz w:val="18"/>
          <w:szCs w:val="18"/>
        </w:rPr>
        <w:t>1</w:t>
      </w:r>
      <w:r>
        <w:rPr>
          <w:rFonts w:hint="eastAsia"/>
          <w:sz w:val="18"/>
          <w:szCs w:val="18"/>
        </w:rPr>
        <w:t>页，第4</w:t>
      </w:r>
      <w:r>
        <w:rPr>
          <w:sz w:val="18"/>
          <w:szCs w:val="18"/>
        </w:rPr>
        <w:t>5</w:t>
      </w:r>
      <w:r>
        <w:rPr>
          <w:rFonts w:hint="eastAsia"/>
          <w:sz w:val="18"/>
          <w:szCs w:val="18"/>
        </w:rPr>
        <w:t>页，第3</w:t>
      </w:r>
      <w:r>
        <w:rPr>
          <w:sz w:val="18"/>
          <w:szCs w:val="18"/>
        </w:rPr>
        <w:t>5</w:t>
      </w:r>
      <w:r>
        <w:rPr>
          <w:rFonts w:hint="eastAsia"/>
          <w:sz w:val="18"/>
          <w:szCs w:val="18"/>
        </w:rPr>
        <w:t>页</w:t>
      </w:r>
      <w:bookmarkEnd w:id="145"/>
      <w:r>
        <w:rPr>
          <w:rFonts w:hint="eastAsia"/>
          <w:sz w:val="18"/>
          <w:szCs w:val="18"/>
        </w:rPr>
        <w:t>。2</w:t>
      </w:r>
      <w:r>
        <w:rPr>
          <w:sz w:val="18"/>
          <w:szCs w:val="18"/>
        </w:rPr>
        <w:t>019</w:t>
      </w:r>
      <w:r>
        <w:rPr>
          <w:rFonts w:hint="eastAsia"/>
          <w:sz w:val="18"/>
          <w:szCs w:val="18"/>
        </w:rPr>
        <w:t>年数据来自西山区公安分局。</w:t>
      </w:r>
    </w:p>
    <w:bookmarkEnd w:id="140"/>
    <w:bookmarkEnd w:id="144"/>
    <w:p>
      <w:pPr>
        <w:spacing w:line="276" w:lineRule="auto"/>
        <w:ind w:firstLine="420" w:firstLineChars="200"/>
        <w:jc w:val="left"/>
      </w:pPr>
    </w:p>
    <w:p>
      <w:pPr>
        <w:spacing w:line="276" w:lineRule="auto"/>
        <w:ind w:firstLine="420" w:firstLineChars="200"/>
        <w:jc w:val="left"/>
      </w:pPr>
    </w:p>
    <w:p>
      <w:pPr>
        <w:spacing w:line="276" w:lineRule="auto"/>
        <w:ind w:firstLine="420" w:firstLineChars="200"/>
        <w:jc w:val="center"/>
      </w:pPr>
      <w:r>
        <w:rPr>
          <w:rFonts w:hint="eastAsia"/>
        </w:rPr>
        <w:t>表6</w:t>
      </w:r>
      <w:r>
        <w:tab/>
      </w:r>
      <w:r>
        <w:tab/>
      </w:r>
      <w:r>
        <w:t>2015</w:t>
      </w:r>
      <w:r>
        <w:rPr>
          <w:rFonts w:hint="eastAsia"/>
        </w:rPr>
        <w:t xml:space="preserve">年西山区常住人口年龄结构与昆明市和云南省比较 </w:t>
      </w:r>
      <w:r>
        <w:t xml:space="preserve">   </w:t>
      </w:r>
      <w:r>
        <w:rPr>
          <w:rFonts w:hint="eastAsia"/>
        </w:rPr>
        <w:t>单位：%</w:t>
      </w:r>
    </w:p>
    <w:tbl>
      <w:tblPr>
        <w:tblStyle w:val="26"/>
        <w:tblW w:w="7324" w:type="dxa"/>
        <w:jc w:val="center"/>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31"/>
        <w:gridCol w:w="1831"/>
        <w:gridCol w:w="1831"/>
        <w:gridCol w:w="1831"/>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7" w:hRule="atLeast"/>
          <w:jc w:val="center"/>
        </w:trPr>
        <w:tc>
          <w:tcPr>
            <w:tcW w:w="1831" w:type="dxa"/>
            <w:tcBorders>
              <w:bottom w:val="single" w:color="7E7E7E" w:themeColor="text1" w:themeTint="80" w:sz="4" w:space="0"/>
              <w:insideH w:val="single" w:sz="4" w:space="0"/>
            </w:tcBorders>
            <w:vAlign w:val="center"/>
          </w:tcPr>
          <w:p>
            <w:pPr>
              <w:spacing w:line="276" w:lineRule="auto"/>
              <w:jc w:val="center"/>
              <w:rPr>
                <w:b/>
                <w:bCs/>
              </w:rPr>
            </w:pPr>
          </w:p>
        </w:tc>
        <w:tc>
          <w:tcPr>
            <w:tcW w:w="1831" w:type="dxa"/>
            <w:tcBorders>
              <w:bottom w:val="single" w:color="7E7E7E" w:themeColor="text1" w:themeTint="80" w:sz="4" w:space="0"/>
              <w:insideH w:val="single" w:sz="4" w:space="0"/>
            </w:tcBorders>
            <w:vAlign w:val="center"/>
          </w:tcPr>
          <w:p>
            <w:pPr>
              <w:spacing w:line="276" w:lineRule="auto"/>
              <w:jc w:val="center"/>
              <w:rPr>
                <w:b/>
                <w:bCs/>
              </w:rPr>
            </w:pPr>
            <w:r>
              <w:rPr>
                <w:rFonts w:hint="eastAsia"/>
                <w:b/>
                <w:bCs/>
              </w:rPr>
              <w:t>≤</w:t>
            </w:r>
            <w:r>
              <w:rPr>
                <w:b/>
                <w:bCs/>
              </w:rPr>
              <w:t>14岁</w:t>
            </w:r>
          </w:p>
        </w:tc>
        <w:tc>
          <w:tcPr>
            <w:tcW w:w="1831" w:type="dxa"/>
            <w:tcBorders>
              <w:bottom w:val="single" w:color="7E7E7E" w:themeColor="text1" w:themeTint="80" w:sz="4" w:space="0"/>
              <w:insideH w:val="single" w:sz="4" w:space="0"/>
            </w:tcBorders>
            <w:vAlign w:val="center"/>
          </w:tcPr>
          <w:p>
            <w:pPr>
              <w:spacing w:line="276" w:lineRule="auto"/>
              <w:jc w:val="center"/>
              <w:rPr>
                <w:b/>
                <w:bCs/>
              </w:rPr>
            </w:pPr>
            <w:r>
              <w:rPr>
                <w:b/>
                <w:bCs/>
              </w:rPr>
              <w:t>15-59岁</w:t>
            </w:r>
          </w:p>
        </w:tc>
        <w:tc>
          <w:tcPr>
            <w:tcW w:w="1831" w:type="dxa"/>
            <w:tcBorders>
              <w:bottom w:val="single" w:color="7E7E7E" w:themeColor="text1" w:themeTint="80" w:sz="4" w:space="0"/>
              <w:insideH w:val="single" w:sz="4" w:space="0"/>
            </w:tcBorders>
            <w:vAlign w:val="center"/>
          </w:tcPr>
          <w:p>
            <w:pPr>
              <w:spacing w:line="276" w:lineRule="auto"/>
              <w:jc w:val="center"/>
              <w:rPr>
                <w:b/>
                <w:bCs/>
              </w:rPr>
            </w:pPr>
            <w:r>
              <w:rPr>
                <w:rFonts w:hint="eastAsia"/>
                <w:b/>
                <w:bCs/>
              </w:rPr>
              <w:t>≥</w:t>
            </w:r>
            <w:r>
              <w:rPr>
                <w:b/>
                <w:bCs/>
              </w:rPr>
              <w:t>60岁</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7" w:hRule="atLeast"/>
          <w:jc w:val="center"/>
        </w:trPr>
        <w:tc>
          <w:tcPr>
            <w:tcW w:w="1831"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b/>
                <w:bCs/>
              </w:rPr>
            </w:pPr>
            <w:r>
              <w:rPr>
                <w:b/>
                <w:bCs/>
              </w:rPr>
              <w:t>西山区</w:t>
            </w:r>
          </w:p>
        </w:tc>
        <w:tc>
          <w:tcPr>
            <w:tcW w:w="1831"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pPr>
            <w:r>
              <w:t>11.76</w:t>
            </w:r>
          </w:p>
        </w:tc>
        <w:tc>
          <w:tcPr>
            <w:tcW w:w="1831"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pPr>
            <w:r>
              <w:t>70.58</w:t>
            </w:r>
          </w:p>
        </w:tc>
        <w:tc>
          <w:tcPr>
            <w:tcW w:w="1831"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pPr>
            <w:r>
              <w:t>17.54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7" w:hRule="atLeast"/>
          <w:jc w:val="center"/>
        </w:trPr>
        <w:tc>
          <w:tcPr>
            <w:tcW w:w="1831" w:type="dxa"/>
            <w:vAlign w:val="center"/>
          </w:tcPr>
          <w:p>
            <w:pPr>
              <w:spacing w:line="276" w:lineRule="auto"/>
              <w:jc w:val="center"/>
              <w:rPr>
                <w:b/>
                <w:bCs/>
              </w:rPr>
            </w:pPr>
            <w:r>
              <w:rPr>
                <w:b/>
                <w:bCs/>
              </w:rPr>
              <w:t>昆明市</w:t>
            </w:r>
          </w:p>
        </w:tc>
        <w:tc>
          <w:tcPr>
            <w:tcW w:w="1831" w:type="dxa"/>
            <w:vAlign w:val="center"/>
          </w:tcPr>
          <w:p>
            <w:pPr>
              <w:spacing w:line="276" w:lineRule="auto"/>
              <w:jc w:val="center"/>
            </w:pPr>
            <w:r>
              <w:t>13.86</w:t>
            </w:r>
          </w:p>
        </w:tc>
        <w:tc>
          <w:tcPr>
            <w:tcW w:w="1831" w:type="dxa"/>
            <w:vAlign w:val="center"/>
          </w:tcPr>
          <w:p>
            <w:pPr>
              <w:spacing w:line="276" w:lineRule="auto"/>
              <w:jc w:val="center"/>
            </w:pPr>
            <w:r>
              <w:t>72.97</w:t>
            </w:r>
          </w:p>
        </w:tc>
        <w:tc>
          <w:tcPr>
            <w:tcW w:w="1831" w:type="dxa"/>
            <w:vAlign w:val="center"/>
          </w:tcPr>
          <w:p>
            <w:pPr>
              <w:spacing w:line="276" w:lineRule="auto"/>
              <w:jc w:val="center"/>
            </w:pPr>
            <w:r>
              <w:t>13.17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7" w:hRule="atLeast"/>
          <w:jc w:val="center"/>
        </w:trPr>
        <w:tc>
          <w:tcPr>
            <w:tcW w:w="1831"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b/>
                <w:bCs/>
              </w:rPr>
            </w:pPr>
            <w:r>
              <w:rPr>
                <w:rFonts w:hint="eastAsia"/>
                <w:b/>
                <w:bCs/>
              </w:rPr>
              <w:t>云南省</w:t>
            </w:r>
          </w:p>
        </w:tc>
        <w:tc>
          <w:tcPr>
            <w:tcW w:w="1831"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pPr>
            <w:r>
              <w:rPr>
                <w:rFonts w:hint="eastAsia"/>
              </w:rPr>
              <w:t>1</w:t>
            </w:r>
            <w:r>
              <w:t>9.12</w:t>
            </w:r>
          </w:p>
        </w:tc>
        <w:tc>
          <w:tcPr>
            <w:tcW w:w="1831"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pPr>
            <w:r>
              <w:rPr>
                <w:rFonts w:hint="eastAsia"/>
              </w:rPr>
              <w:t>6</w:t>
            </w:r>
            <w:r>
              <w:t>8.21</w:t>
            </w:r>
          </w:p>
        </w:tc>
        <w:tc>
          <w:tcPr>
            <w:tcW w:w="1831"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pPr>
            <w:r>
              <w:rPr>
                <w:rFonts w:hint="eastAsia"/>
              </w:rPr>
              <w:t>1</w:t>
            </w:r>
            <w:r>
              <w:t>2.67</w:t>
            </w:r>
          </w:p>
        </w:tc>
      </w:tr>
    </w:tbl>
    <w:p>
      <w:pPr>
        <w:spacing w:line="276" w:lineRule="auto"/>
        <w:ind w:firstLine="360" w:firstLineChars="200"/>
        <w:jc w:val="left"/>
      </w:pPr>
      <w:r>
        <w:rPr>
          <w:rFonts w:hint="eastAsia"/>
          <w:sz w:val="18"/>
          <w:szCs w:val="18"/>
        </w:rPr>
        <w:t>数据来源：西山区数据为笔者预测，昆明市和云南省数据来自《云南省2</w:t>
      </w:r>
      <w:r>
        <w:rPr>
          <w:sz w:val="18"/>
          <w:szCs w:val="18"/>
        </w:rPr>
        <w:t>015</w:t>
      </w:r>
      <w:r>
        <w:rPr>
          <w:rFonts w:hint="eastAsia"/>
          <w:sz w:val="18"/>
          <w:szCs w:val="18"/>
        </w:rPr>
        <w:t>年1%人口抽样调查》表3</w:t>
      </w:r>
      <w:r>
        <w:rPr>
          <w:sz w:val="18"/>
          <w:szCs w:val="18"/>
        </w:rPr>
        <w:t>-2</w:t>
      </w:r>
      <w:r>
        <w:rPr>
          <w:rFonts w:hint="eastAsia"/>
          <w:sz w:val="18"/>
          <w:szCs w:val="18"/>
        </w:rPr>
        <w:t>。</w:t>
      </w:r>
    </w:p>
    <w:p>
      <w:pPr>
        <w:spacing w:line="276" w:lineRule="auto"/>
        <w:ind w:firstLine="420" w:firstLineChars="200"/>
        <w:jc w:val="left"/>
      </w:pPr>
      <w:r>
        <w:tab/>
      </w:r>
    </w:p>
    <w:p>
      <w:pPr>
        <w:spacing w:line="276" w:lineRule="auto"/>
        <w:ind w:firstLine="420" w:firstLineChars="200"/>
        <w:jc w:val="center"/>
      </w:pPr>
      <w:bookmarkStart w:id="146" w:name="_Hlk47709049"/>
      <w:r>
        <w:rPr>
          <w:rFonts w:hint="eastAsia"/>
        </w:rPr>
        <w:t>表</w:t>
      </w:r>
      <w:r>
        <w:t>7</w:t>
      </w:r>
      <w:bookmarkEnd w:id="146"/>
      <w:r>
        <w:tab/>
      </w:r>
      <w:r>
        <w:t xml:space="preserve">      2018</w:t>
      </w:r>
      <w:r>
        <w:rPr>
          <w:rFonts w:hint="eastAsia"/>
        </w:rPr>
        <w:t>年西山区户籍人口分布</w:t>
      </w:r>
      <w:r>
        <w:tab/>
      </w:r>
      <w:r>
        <w:tab/>
      </w:r>
      <w:r>
        <w:tab/>
      </w:r>
      <w:r>
        <w:rPr>
          <w:rFonts w:hint="eastAsia"/>
        </w:rPr>
        <w:t>单位：人，%</w:t>
      </w:r>
    </w:p>
    <w:tbl>
      <w:tblPr>
        <w:tblStyle w:val="26"/>
        <w:tblW w:w="8349"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9"/>
        <w:gridCol w:w="759"/>
        <w:gridCol w:w="759"/>
        <w:gridCol w:w="759"/>
        <w:gridCol w:w="759"/>
        <w:gridCol w:w="759"/>
        <w:gridCol w:w="759"/>
        <w:gridCol w:w="759"/>
        <w:gridCol w:w="759"/>
        <w:gridCol w:w="759"/>
        <w:gridCol w:w="759"/>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8" w:hRule="atLeast"/>
        </w:trPr>
        <w:tc>
          <w:tcPr>
            <w:tcW w:w="759" w:type="dxa"/>
            <w:tcBorders>
              <w:bottom w:val="single" w:color="7E7E7E" w:themeColor="text1" w:themeTint="80" w:sz="4" w:space="0"/>
              <w:insideH w:val="single" w:sz="4" w:space="0"/>
            </w:tcBorders>
            <w:noWrap/>
          </w:tcPr>
          <w:p>
            <w:pPr>
              <w:widowControl/>
              <w:jc w:val="left"/>
              <w:rPr>
                <w:rFonts w:ascii="宋体" w:hAnsi="宋体" w:eastAsia="宋体" w:cs="宋体"/>
                <w:b/>
                <w:bCs/>
                <w:kern w:val="0"/>
                <w:sz w:val="18"/>
                <w:szCs w:val="18"/>
              </w:rPr>
            </w:pPr>
          </w:p>
        </w:tc>
        <w:tc>
          <w:tcPr>
            <w:tcW w:w="759"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西苑</w:t>
            </w:r>
          </w:p>
        </w:tc>
        <w:tc>
          <w:tcPr>
            <w:tcW w:w="759"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马街</w:t>
            </w:r>
          </w:p>
        </w:tc>
        <w:tc>
          <w:tcPr>
            <w:tcW w:w="759"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金碧</w:t>
            </w:r>
          </w:p>
        </w:tc>
        <w:tc>
          <w:tcPr>
            <w:tcW w:w="759"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永昌</w:t>
            </w:r>
          </w:p>
        </w:tc>
        <w:tc>
          <w:tcPr>
            <w:tcW w:w="759"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前卫</w:t>
            </w:r>
          </w:p>
        </w:tc>
        <w:tc>
          <w:tcPr>
            <w:tcW w:w="759"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福海</w:t>
            </w:r>
          </w:p>
        </w:tc>
        <w:tc>
          <w:tcPr>
            <w:tcW w:w="759"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棕树营</w:t>
            </w:r>
          </w:p>
        </w:tc>
        <w:tc>
          <w:tcPr>
            <w:tcW w:w="759"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碧鸡</w:t>
            </w:r>
          </w:p>
        </w:tc>
        <w:tc>
          <w:tcPr>
            <w:tcW w:w="759"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海口</w:t>
            </w:r>
          </w:p>
        </w:tc>
        <w:tc>
          <w:tcPr>
            <w:tcW w:w="759"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团结</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8" w:hRule="atLeast"/>
        </w:trPr>
        <w:tc>
          <w:tcPr>
            <w:tcW w:w="759" w:type="dxa"/>
            <w:tcBorders>
              <w:top w:val="single" w:color="7E7E7E" w:themeColor="text1" w:themeTint="80" w:sz="4" w:space="0"/>
              <w:bottom w:val="single" w:color="7E7E7E" w:themeColor="text1" w:themeTint="80" w:sz="4" w:space="0"/>
              <w:insideH w:val="single" w:sz="4" w:space="0"/>
            </w:tcBorders>
            <w:noWrap/>
          </w:tcPr>
          <w:p>
            <w:pPr>
              <w:widowControl/>
              <w:jc w:val="left"/>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人口</w:t>
            </w:r>
          </w:p>
        </w:tc>
        <w:tc>
          <w:tcPr>
            <w:tcW w:w="75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32693</w:t>
            </w:r>
          </w:p>
        </w:tc>
        <w:tc>
          <w:tcPr>
            <w:tcW w:w="75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53514</w:t>
            </w:r>
          </w:p>
        </w:tc>
        <w:tc>
          <w:tcPr>
            <w:tcW w:w="75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91782</w:t>
            </w:r>
          </w:p>
        </w:tc>
        <w:tc>
          <w:tcPr>
            <w:tcW w:w="75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55433</w:t>
            </w:r>
          </w:p>
        </w:tc>
        <w:tc>
          <w:tcPr>
            <w:tcW w:w="75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79838</w:t>
            </w:r>
          </w:p>
        </w:tc>
        <w:tc>
          <w:tcPr>
            <w:tcW w:w="75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79186</w:t>
            </w:r>
          </w:p>
        </w:tc>
        <w:tc>
          <w:tcPr>
            <w:tcW w:w="75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41526</w:t>
            </w:r>
          </w:p>
        </w:tc>
        <w:tc>
          <w:tcPr>
            <w:tcW w:w="75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25933</w:t>
            </w:r>
          </w:p>
        </w:tc>
        <w:tc>
          <w:tcPr>
            <w:tcW w:w="75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63551</w:t>
            </w:r>
          </w:p>
        </w:tc>
        <w:tc>
          <w:tcPr>
            <w:tcW w:w="75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34673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8" w:hRule="atLeast"/>
        </w:trPr>
        <w:tc>
          <w:tcPr>
            <w:tcW w:w="759" w:type="dxa"/>
            <w:noWrap/>
          </w:tcPr>
          <w:p>
            <w:pPr>
              <w:widowControl/>
              <w:jc w:val="left"/>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占比</w:t>
            </w:r>
          </w:p>
        </w:tc>
        <w:tc>
          <w:tcPr>
            <w:tcW w:w="759"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5.86</w:t>
            </w:r>
          </w:p>
        </w:tc>
        <w:tc>
          <w:tcPr>
            <w:tcW w:w="759"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9.59</w:t>
            </w:r>
          </w:p>
        </w:tc>
        <w:tc>
          <w:tcPr>
            <w:tcW w:w="759"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16.44</w:t>
            </w:r>
          </w:p>
        </w:tc>
        <w:tc>
          <w:tcPr>
            <w:tcW w:w="759"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9.93</w:t>
            </w:r>
          </w:p>
        </w:tc>
        <w:tc>
          <w:tcPr>
            <w:tcW w:w="759"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14.30</w:t>
            </w:r>
          </w:p>
        </w:tc>
        <w:tc>
          <w:tcPr>
            <w:tcW w:w="759"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14.19</w:t>
            </w:r>
          </w:p>
        </w:tc>
        <w:tc>
          <w:tcPr>
            <w:tcW w:w="759"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7.44</w:t>
            </w:r>
          </w:p>
        </w:tc>
        <w:tc>
          <w:tcPr>
            <w:tcW w:w="759"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4.65</w:t>
            </w:r>
          </w:p>
        </w:tc>
        <w:tc>
          <w:tcPr>
            <w:tcW w:w="759"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11.39</w:t>
            </w:r>
          </w:p>
        </w:tc>
        <w:tc>
          <w:tcPr>
            <w:tcW w:w="759"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6.21</w:t>
            </w:r>
          </w:p>
        </w:tc>
      </w:tr>
    </w:tbl>
    <w:p>
      <w:pPr>
        <w:spacing w:line="276" w:lineRule="auto"/>
        <w:ind w:firstLine="360" w:firstLineChars="200"/>
        <w:rPr>
          <w:sz w:val="18"/>
          <w:szCs w:val="18"/>
        </w:rPr>
      </w:pPr>
      <w:r>
        <w:rPr>
          <w:rFonts w:hint="eastAsia"/>
          <w:sz w:val="18"/>
          <w:szCs w:val="18"/>
        </w:rPr>
        <w:t>数据来源：昆明市西山区统计局编印《西山区统计年鉴》第3</w:t>
      </w:r>
      <w:r>
        <w:rPr>
          <w:sz w:val="18"/>
          <w:szCs w:val="18"/>
        </w:rPr>
        <w:t>5</w:t>
      </w:r>
      <w:r>
        <w:rPr>
          <w:rFonts w:hint="eastAsia"/>
          <w:sz w:val="18"/>
          <w:szCs w:val="18"/>
        </w:rPr>
        <w:t>页。</w:t>
      </w:r>
    </w:p>
    <w:p>
      <w:pPr>
        <w:spacing w:line="276" w:lineRule="auto"/>
        <w:ind w:firstLine="420" w:firstLineChars="200"/>
        <w:jc w:val="left"/>
      </w:pPr>
    </w:p>
    <w:p>
      <w:pPr>
        <w:spacing w:line="276" w:lineRule="auto"/>
        <w:ind w:firstLine="420" w:firstLineChars="200"/>
        <w:jc w:val="left"/>
      </w:pPr>
    </w:p>
    <w:p>
      <w:pPr>
        <w:spacing w:line="276" w:lineRule="auto"/>
        <w:ind w:firstLine="420" w:firstLineChars="200"/>
        <w:jc w:val="left"/>
      </w:pPr>
    </w:p>
    <w:p>
      <w:pPr>
        <w:spacing w:line="276" w:lineRule="auto"/>
        <w:ind w:firstLine="420" w:firstLineChars="200"/>
        <w:jc w:val="left"/>
      </w:pPr>
      <w:r>
        <w:rPr>
          <w:rFonts w:hint="eastAsia"/>
        </w:rPr>
        <w:t>表8</w:t>
      </w:r>
      <w:r>
        <w:tab/>
      </w:r>
      <w:r>
        <w:tab/>
      </w:r>
      <w:r>
        <w:t xml:space="preserve"> </w:t>
      </w:r>
      <w:r>
        <w:rPr>
          <w:rFonts w:hint="eastAsia"/>
        </w:rPr>
        <w:t>西山区户籍人口与常住人口城镇化统计</w:t>
      </w:r>
      <w:r>
        <w:tab/>
      </w:r>
      <w:r>
        <w:tab/>
      </w:r>
      <w:r>
        <w:tab/>
      </w:r>
      <w:r>
        <w:tab/>
      </w:r>
      <w:r>
        <w:rPr>
          <w:rFonts w:hint="eastAsia"/>
        </w:rPr>
        <w:t>单位：万人。%</w:t>
      </w:r>
    </w:p>
    <w:tbl>
      <w:tblPr>
        <w:tblStyle w:val="26"/>
        <w:tblW w:w="7865"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3"/>
        <w:gridCol w:w="1124"/>
        <w:gridCol w:w="1123"/>
        <w:gridCol w:w="1124"/>
        <w:gridCol w:w="1123"/>
        <w:gridCol w:w="1124"/>
        <w:gridCol w:w="1124"/>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trPr>
        <w:tc>
          <w:tcPr>
            <w:tcW w:w="1123" w:type="dxa"/>
            <w:tcBorders>
              <w:bottom w:val="single" w:color="7E7E7E" w:themeColor="text1" w:themeTint="80" w:sz="4" w:space="0"/>
              <w:insideH w:val="single" w:sz="4" w:space="0"/>
            </w:tcBorders>
            <w:noWrap/>
          </w:tcPr>
          <w:p>
            <w:pPr>
              <w:widowControl/>
              <w:jc w:val="center"/>
              <w:rPr>
                <w:rFonts w:ascii="宋体" w:hAnsi="宋体" w:eastAsia="宋体" w:cs="宋体"/>
                <w:b/>
                <w:bCs/>
                <w:kern w:val="0"/>
                <w:sz w:val="18"/>
                <w:szCs w:val="18"/>
              </w:rPr>
            </w:pPr>
          </w:p>
        </w:tc>
        <w:tc>
          <w:tcPr>
            <w:tcW w:w="1124"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户籍人口</w:t>
            </w:r>
          </w:p>
        </w:tc>
        <w:tc>
          <w:tcPr>
            <w:tcW w:w="1123"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城镇人口</w:t>
            </w:r>
          </w:p>
        </w:tc>
        <w:tc>
          <w:tcPr>
            <w:tcW w:w="1124"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城镇化率</w:t>
            </w:r>
          </w:p>
        </w:tc>
        <w:tc>
          <w:tcPr>
            <w:tcW w:w="1123"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常住人口</w:t>
            </w:r>
          </w:p>
        </w:tc>
        <w:tc>
          <w:tcPr>
            <w:tcW w:w="1124"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城镇人口</w:t>
            </w:r>
          </w:p>
        </w:tc>
        <w:tc>
          <w:tcPr>
            <w:tcW w:w="1124"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城镇化率</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trPr>
        <w:tc>
          <w:tcPr>
            <w:tcW w:w="1123"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2016年</w:t>
            </w:r>
          </w:p>
        </w:tc>
        <w:tc>
          <w:tcPr>
            <w:tcW w:w="112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w:t>
            </w:r>
            <w:r>
              <w:rPr>
                <w:rFonts w:ascii="等线" w:hAnsi="等线" w:eastAsia="等线" w:cs="宋体"/>
                <w:color w:val="000000"/>
                <w:kern w:val="0"/>
                <w:sz w:val="18"/>
                <w:szCs w:val="18"/>
              </w:rPr>
              <w:t>.</w:t>
            </w:r>
            <w:r>
              <w:rPr>
                <w:rFonts w:hint="eastAsia" w:ascii="等线" w:hAnsi="等线" w:eastAsia="等线" w:cs="宋体"/>
                <w:color w:val="000000"/>
                <w:kern w:val="0"/>
                <w:sz w:val="18"/>
                <w:szCs w:val="18"/>
              </w:rPr>
              <w:t>0</w:t>
            </w:r>
            <w:r>
              <w:rPr>
                <w:rFonts w:ascii="等线" w:hAnsi="等线" w:eastAsia="等线" w:cs="宋体"/>
                <w:color w:val="000000"/>
                <w:kern w:val="0"/>
                <w:sz w:val="18"/>
                <w:szCs w:val="18"/>
              </w:rPr>
              <w:t>5</w:t>
            </w:r>
          </w:p>
        </w:tc>
        <w:tc>
          <w:tcPr>
            <w:tcW w:w="1123"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w:t>
            </w:r>
            <w:r>
              <w:rPr>
                <w:rFonts w:ascii="等线" w:hAnsi="等线" w:eastAsia="等线" w:cs="宋体"/>
                <w:color w:val="000000"/>
                <w:kern w:val="0"/>
                <w:sz w:val="18"/>
                <w:szCs w:val="18"/>
              </w:rPr>
              <w:t>.</w:t>
            </w:r>
            <w:r>
              <w:rPr>
                <w:rFonts w:hint="eastAsia" w:ascii="等线" w:hAnsi="等线" w:eastAsia="等线" w:cs="宋体"/>
                <w:color w:val="000000"/>
                <w:kern w:val="0"/>
                <w:sz w:val="18"/>
                <w:szCs w:val="18"/>
              </w:rPr>
              <w:t>53</w:t>
            </w:r>
          </w:p>
        </w:tc>
        <w:tc>
          <w:tcPr>
            <w:tcW w:w="112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86.10</w:t>
            </w:r>
          </w:p>
        </w:tc>
        <w:tc>
          <w:tcPr>
            <w:tcW w:w="1123"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Times New Roman" w:hAnsi="Times New Roman" w:eastAsia="Times New Roman" w:cs="Times New Roman"/>
                <w:kern w:val="0"/>
                <w:sz w:val="18"/>
                <w:szCs w:val="18"/>
              </w:rPr>
            </w:pPr>
            <w:r>
              <w:rPr>
                <w:rFonts w:hint="eastAsia" w:cs="Times New Roman" w:asciiTheme="minorEastAsia" w:hAnsiTheme="minorEastAsia"/>
                <w:kern w:val="0"/>
                <w:sz w:val="18"/>
                <w:szCs w:val="18"/>
              </w:rPr>
              <w:t>-</w:t>
            </w:r>
          </w:p>
        </w:tc>
        <w:tc>
          <w:tcPr>
            <w:tcW w:w="112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Times New Roman" w:hAnsi="Times New Roman" w:eastAsia="Times New Roman" w:cs="Times New Roman"/>
                <w:kern w:val="0"/>
                <w:sz w:val="18"/>
                <w:szCs w:val="18"/>
              </w:rPr>
            </w:pPr>
            <w:r>
              <w:rPr>
                <w:rFonts w:hint="eastAsia" w:cs="Times New Roman" w:asciiTheme="minorEastAsia" w:hAnsiTheme="minorEastAsia"/>
                <w:kern w:val="0"/>
                <w:sz w:val="18"/>
                <w:szCs w:val="18"/>
              </w:rPr>
              <w:t>-</w:t>
            </w:r>
          </w:p>
        </w:tc>
        <w:tc>
          <w:tcPr>
            <w:tcW w:w="112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Times New Roman" w:hAnsi="Times New Roman" w:eastAsia="Times New Roman" w:cs="Times New Roman"/>
                <w:kern w:val="0"/>
                <w:sz w:val="18"/>
                <w:szCs w:val="18"/>
              </w:rPr>
            </w:pPr>
            <w:r>
              <w:rPr>
                <w:rFonts w:hint="eastAsia" w:cs="Times New Roman" w:asciiTheme="minorEastAsia" w:hAnsiTheme="minorEastAsia"/>
                <w:kern w:val="0"/>
                <w:sz w:val="18"/>
                <w:szCs w:val="18"/>
              </w:rPr>
              <w:t>-</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trPr>
        <w:tc>
          <w:tcPr>
            <w:tcW w:w="1123"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2017年</w:t>
            </w:r>
          </w:p>
        </w:tc>
        <w:tc>
          <w:tcPr>
            <w:tcW w:w="112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w:t>
            </w:r>
            <w:r>
              <w:rPr>
                <w:rFonts w:ascii="等线" w:hAnsi="等线" w:eastAsia="等线" w:cs="宋体"/>
                <w:color w:val="000000"/>
                <w:kern w:val="0"/>
                <w:sz w:val="18"/>
                <w:szCs w:val="18"/>
              </w:rPr>
              <w:t>.</w:t>
            </w:r>
            <w:r>
              <w:rPr>
                <w:rFonts w:hint="eastAsia" w:ascii="等线" w:hAnsi="等线" w:eastAsia="等线" w:cs="宋体"/>
                <w:color w:val="000000"/>
                <w:kern w:val="0"/>
                <w:sz w:val="18"/>
                <w:szCs w:val="18"/>
              </w:rPr>
              <w:t>4</w:t>
            </w:r>
            <w:r>
              <w:rPr>
                <w:rFonts w:ascii="等线" w:hAnsi="等线" w:eastAsia="等线" w:cs="宋体"/>
                <w:color w:val="000000"/>
                <w:kern w:val="0"/>
                <w:sz w:val="18"/>
                <w:szCs w:val="18"/>
              </w:rPr>
              <w:t>2</w:t>
            </w:r>
          </w:p>
        </w:tc>
        <w:tc>
          <w:tcPr>
            <w:tcW w:w="1123"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48</w:t>
            </w:r>
            <w:r>
              <w:rPr>
                <w:rFonts w:ascii="等线" w:hAnsi="等线" w:eastAsia="等线" w:cs="宋体"/>
                <w:color w:val="000000"/>
                <w:kern w:val="0"/>
                <w:sz w:val="18"/>
                <w:szCs w:val="18"/>
              </w:rPr>
              <w:t>.</w:t>
            </w:r>
            <w:r>
              <w:rPr>
                <w:rFonts w:hint="eastAsia" w:ascii="等线" w:hAnsi="等线" w:eastAsia="等线" w:cs="宋体"/>
                <w:color w:val="000000"/>
                <w:kern w:val="0"/>
                <w:sz w:val="18"/>
                <w:szCs w:val="18"/>
              </w:rPr>
              <w:t>7</w:t>
            </w:r>
            <w:r>
              <w:rPr>
                <w:rFonts w:ascii="等线" w:hAnsi="等线" w:eastAsia="等线" w:cs="宋体"/>
                <w:color w:val="000000"/>
                <w:kern w:val="0"/>
                <w:sz w:val="18"/>
                <w:szCs w:val="18"/>
              </w:rPr>
              <w:t>4</w:t>
            </w:r>
          </w:p>
        </w:tc>
        <w:tc>
          <w:tcPr>
            <w:tcW w:w="112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89.56</w:t>
            </w:r>
          </w:p>
        </w:tc>
        <w:tc>
          <w:tcPr>
            <w:tcW w:w="1123"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78.9</w:t>
            </w:r>
          </w:p>
        </w:tc>
        <w:tc>
          <w:tcPr>
            <w:tcW w:w="112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77.12</w:t>
            </w:r>
          </w:p>
        </w:tc>
        <w:tc>
          <w:tcPr>
            <w:tcW w:w="112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97.74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trPr>
        <w:tc>
          <w:tcPr>
            <w:tcW w:w="1123"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2018年</w:t>
            </w:r>
          </w:p>
        </w:tc>
        <w:tc>
          <w:tcPr>
            <w:tcW w:w="112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w:t>
            </w:r>
            <w:r>
              <w:rPr>
                <w:rFonts w:ascii="等线" w:hAnsi="等线" w:eastAsia="等线" w:cs="宋体"/>
                <w:color w:val="000000"/>
                <w:kern w:val="0"/>
                <w:sz w:val="18"/>
                <w:szCs w:val="18"/>
              </w:rPr>
              <w:t>.</w:t>
            </w:r>
            <w:r>
              <w:rPr>
                <w:rFonts w:hint="eastAsia" w:ascii="等线" w:hAnsi="等线" w:eastAsia="等线" w:cs="宋体"/>
                <w:color w:val="000000"/>
                <w:kern w:val="0"/>
                <w:sz w:val="18"/>
                <w:szCs w:val="18"/>
              </w:rPr>
              <w:t>81</w:t>
            </w:r>
          </w:p>
        </w:tc>
        <w:tc>
          <w:tcPr>
            <w:tcW w:w="1123"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w:t>
            </w:r>
            <w:r>
              <w:rPr>
                <w:rFonts w:ascii="等线" w:hAnsi="等线" w:eastAsia="等线" w:cs="宋体"/>
                <w:color w:val="000000"/>
                <w:kern w:val="0"/>
                <w:sz w:val="18"/>
                <w:szCs w:val="18"/>
              </w:rPr>
              <w:t>.</w:t>
            </w:r>
            <w:r>
              <w:rPr>
                <w:rFonts w:hint="eastAsia" w:ascii="等线" w:hAnsi="等线" w:eastAsia="等线" w:cs="宋体"/>
                <w:color w:val="000000"/>
                <w:kern w:val="0"/>
                <w:sz w:val="18"/>
                <w:szCs w:val="18"/>
              </w:rPr>
              <w:t>3</w:t>
            </w:r>
            <w:r>
              <w:rPr>
                <w:rFonts w:ascii="等线" w:hAnsi="等线" w:eastAsia="等线" w:cs="宋体"/>
                <w:color w:val="000000"/>
                <w:kern w:val="0"/>
                <w:sz w:val="18"/>
                <w:szCs w:val="18"/>
              </w:rPr>
              <w:t>9</w:t>
            </w:r>
          </w:p>
        </w:tc>
        <w:tc>
          <w:tcPr>
            <w:tcW w:w="112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92.07</w:t>
            </w:r>
          </w:p>
        </w:tc>
        <w:tc>
          <w:tcPr>
            <w:tcW w:w="1123"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79.27</w:t>
            </w:r>
          </w:p>
        </w:tc>
        <w:tc>
          <w:tcPr>
            <w:tcW w:w="112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77.64</w:t>
            </w:r>
          </w:p>
        </w:tc>
        <w:tc>
          <w:tcPr>
            <w:tcW w:w="112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97.94</w:t>
            </w:r>
          </w:p>
        </w:tc>
      </w:tr>
    </w:tbl>
    <w:p>
      <w:pPr>
        <w:spacing w:line="276" w:lineRule="auto"/>
        <w:ind w:firstLine="360" w:firstLineChars="200"/>
        <w:rPr>
          <w:sz w:val="18"/>
          <w:szCs w:val="18"/>
        </w:rPr>
      </w:pPr>
      <w:r>
        <w:rPr>
          <w:rFonts w:hint="eastAsia"/>
          <w:sz w:val="18"/>
          <w:szCs w:val="18"/>
        </w:rPr>
        <w:t>数据来源：相应年度《西山区统计年鉴》第4</w:t>
      </w:r>
      <w:r>
        <w:rPr>
          <w:sz w:val="18"/>
          <w:szCs w:val="18"/>
        </w:rPr>
        <w:t>1</w:t>
      </w:r>
      <w:r>
        <w:rPr>
          <w:rFonts w:hint="eastAsia"/>
          <w:sz w:val="18"/>
          <w:szCs w:val="18"/>
        </w:rPr>
        <w:t>页，第4</w:t>
      </w:r>
      <w:r>
        <w:rPr>
          <w:sz w:val="18"/>
          <w:szCs w:val="18"/>
        </w:rPr>
        <w:t>5</w:t>
      </w:r>
      <w:r>
        <w:rPr>
          <w:rFonts w:hint="eastAsia"/>
          <w:sz w:val="18"/>
          <w:szCs w:val="18"/>
        </w:rPr>
        <w:t>页，第3</w:t>
      </w:r>
      <w:r>
        <w:rPr>
          <w:sz w:val="18"/>
          <w:szCs w:val="18"/>
        </w:rPr>
        <w:t>5</w:t>
      </w:r>
      <w:r>
        <w:rPr>
          <w:rFonts w:hint="eastAsia"/>
          <w:sz w:val="18"/>
          <w:szCs w:val="18"/>
        </w:rPr>
        <w:t>页；昆明市统计局编《昆明市统计年鉴》表3</w:t>
      </w:r>
      <w:r>
        <w:rPr>
          <w:sz w:val="18"/>
          <w:szCs w:val="18"/>
        </w:rPr>
        <w:t>-3</w:t>
      </w:r>
    </w:p>
    <w:p>
      <w:pPr>
        <w:spacing w:line="276" w:lineRule="auto"/>
        <w:ind w:firstLine="420" w:firstLineChars="200"/>
        <w:jc w:val="center"/>
      </w:pPr>
    </w:p>
    <w:p>
      <w:pPr>
        <w:spacing w:line="276" w:lineRule="auto"/>
        <w:ind w:firstLine="420" w:firstLineChars="200"/>
        <w:jc w:val="center"/>
      </w:pPr>
    </w:p>
    <w:p>
      <w:pPr>
        <w:spacing w:line="276" w:lineRule="auto"/>
        <w:ind w:firstLine="420" w:firstLineChars="200"/>
        <w:jc w:val="center"/>
      </w:pPr>
      <w:r>
        <w:t xml:space="preserve">       </w:t>
      </w:r>
    </w:p>
    <w:p>
      <w:pPr>
        <w:spacing w:line="276" w:lineRule="auto"/>
        <w:ind w:firstLine="420" w:firstLineChars="200"/>
        <w:jc w:val="left"/>
      </w:pPr>
      <w:bookmarkStart w:id="147" w:name="_Hlk33891572"/>
      <w:r>
        <w:rPr>
          <w:rFonts w:hint="eastAsia"/>
        </w:rPr>
        <w:t>表9</w:t>
      </w:r>
      <w:r>
        <w:tab/>
      </w:r>
      <w:r>
        <w:tab/>
      </w:r>
      <w:r>
        <w:t xml:space="preserve"> 2018</w:t>
      </w:r>
      <w:r>
        <w:rPr>
          <w:rFonts w:hint="eastAsia"/>
        </w:rPr>
        <w:t>年西山区</w:t>
      </w:r>
      <w:bookmarkEnd w:id="147"/>
      <w:r>
        <w:rPr>
          <w:rFonts w:hint="eastAsia"/>
        </w:rPr>
        <w:t>部分街道办事处城乡户籍人口及构成</w:t>
      </w:r>
      <w:r>
        <w:tab/>
      </w:r>
      <w:r>
        <w:tab/>
      </w:r>
      <w:bookmarkStart w:id="148" w:name="_Hlk33891988"/>
      <w:r>
        <w:rPr>
          <w:rFonts w:hint="eastAsia"/>
        </w:rPr>
        <w:t>单位：人</w:t>
      </w:r>
      <w:bookmarkEnd w:id="148"/>
      <w:r>
        <w:rPr>
          <w:rFonts w:hint="eastAsia"/>
        </w:rPr>
        <w:t>、%</w:t>
      </w:r>
    </w:p>
    <w:tbl>
      <w:tblPr>
        <w:tblStyle w:val="26"/>
        <w:tblW w:w="7841" w:type="dxa"/>
        <w:jc w:val="center"/>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06"/>
        <w:gridCol w:w="1307"/>
        <w:gridCol w:w="1307"/>
        <w:gridCol w:w="1307"/>
        <w:gridCol w:w="1307"/>
        <w:gridCol w:w="1307"/>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7" w:hRule="atLeast"/>
          <w:jc w:val="center"/>
        </w:trPr>
        <w:tc>
          <w:tcPr>
            <w:tcW w:w="1306" w:type="dxa"/>
            <w:tcBorders>
              <w:bottom w:val="single" w:color="7E7E7E" w:themeColor="text1" w:themeTint="80" w:sz="4" w:space="0"/>
              <w:insideH w:val="single" w:sz="4" w:space="0"/>
            </w:tcBorders>
            <w:noWrap/>
          </w:tcPr>
          <w:p>
            <w:pPr>
              <w:widowControl/>
              <w:jc w:val="center"/>
              <w:rPr>
                <w:rFonts w:ascii="宋体" w:hAnsi="宋体" w:eastAsia="宋体" w:cs="宋体"/>
                <w:b/>
                <w:bCs/>
                <w:kern w:val="0"/>
                <w:sz w:val="18"/>
                <w:szCs w:val="18"/>
              </w:rPr>
            </w:pPr>
            <w:bookmarkStart w:id="149" w:name="_Hlk33891561"/>
          </w:p>
        </w:tc>
        <w:tc>
          <w:tcPr>
            <w:tcW w:w="1307"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户籍总人口</w:t>
            </w:r>
          </w:p>
        </w:tc>
        <w:tc>
          <w:tcPr>
            <w:tcW w:w="1307" w:type="dxa"/>
            <w:tcBorders>
              <w:bottom w:val="single" w:color="7E7E7E" w:themeColor="text1" w:themeTint="80" w:sz="4" w:space="0"/>
              <w:insideH w:val="single" w:sz="4" w:space="0"/>
            </w:tcBorders>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城镇户籍</w:t>
            </w:r>
          </w:p>
        </w:tc>
        <w:tc>
          <w:tcPr>
            <w:tcW w:w="1307" w:type="dxa"/>
            <w:tcBorders>
              <w:bottom w:val="single" w:color="7E7E7E" w:themeColor="text1" w:themeTint="80" w:sz="4" w:space="0"/>
              <w:insideH w:val="single" w:sz="4" w:space="0"/>
            </w:tcBorders>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占比</w:t>
            </w:r>
          </w:p>
        </w:tc>
        <w:tc>
          <w:tcPr>
            <w:tcW w:w="1307"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乡村户籍</w:t>
            </w:r>
          </w:p>
        </w:tc>
        <w:tc>
          <w:tcPr>
            <w:tcW w:w="1307" w:type="dxa"/>
            <w:tcBorders>
              <w:bottom w:val="single" w:color="7E7E7E" w:themeColor="text1" w:themeTint="80" w:sz="4" w:space="0"/>
              <w:insideH w:val="single" w:sz="4" w:space="0"/>
            </w:tcBorders>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占比</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7" w:hRule="atLeast"/>
          <w:jc w:val="center"/>
        </w:trPr>
        <w:tc>
          <w:tcPr>
            <w:tcW w:w="1306"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团结</w:t>
            </w:r>
          </w:p>
        </w:tc>
        <w:tc>
          <w:tcPr>
            <w:tcW w:w="1307"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34673</w:t>
            </w:r>
          </w:p>
        </w:tc>
        <w:tc>
          <w:tcPr>
            <w:tcW w:w="1307" w:type="dxa"/>
            <w:tcBorders>
              <w:top w:val="single" w:color="7E7E7E" w:themeColor="text1" w:themeTint="80" w:sz="4" w:space="0"/>
              <w:bottom w:val="single" w:color="7E7E7E" w:themeColor="text1" w:themeTint="80" w:sz="4" w:space="0"/>
              <w:insideH w:val="single" w:sz="4" w:space="0"/>
            </w:tcBorders>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w:t>
            </w:r>
            <w:r>
              <w:rPr>
                <w:rFonts w:ascii="等线" w:hAnsi="等线" w:eastAsia="等线" w:cs="宋体"/>
                <w:color w:val="000000"/>
                <w:kern w:val="0"/>
                <w:sz w:val="18"/>
                <w:szCs w:val="18"/>
              </w:rPr>
              <w:t>866</w:t>
            </w:r>
          </w:p>
        </w:tc>
        <w:tc>
          <w:tcPr>
            <w:tcW w:w="1307" w:type="dxa"/>
            <w:tcBorders>
              <w:top w:val="single" w:color="7F7F7F" w:sz="8" w:space="0"/>
              <w:left w:val="nil"/>
              <w:bottom w:val="single" w:color="7F7F7F" w:sz="8" w:space="0"/>
              <w:right w:val="nil"/>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25.57</w:t>
            </w:r>
          </w:p>
        </w:tc>
        <w:tc>
          <w:tcPr>
            <w:tcW w:w="1307"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r>
              <w:rPr>
                <w:rFonts w:ascii="等线" w:hAnsi="等线" w:eastAsia="等线" w:cs="宋体"/>
                <w:color w:val="000000"/>
                <w:kern w:val="0"/>
                <w:sz w:val="18"/>
                <w:szCs w:val="18"/>
              </w:rPr>
              <w:t>5807</w:t>
            </w:r>
          </w:p>
        </w:tc>
        <w:tc>
          <w:tcPr>
            <w:tcW w:w="1307" w:type="dxa"/>
            <w:tcBorders>
              <w:top w:val="single" w:color="7E7E7E" w:themeColor="text1" w:themeTint="80" w:sz="4" w:space="0"/>
              <w:bottom w:val="single" w:color="7E7E7E" w:themeColor="text1" w:themeTint="80" w:sz="4" w:space="0"/>
              <w:insideH w:val="single" w:sz="4" w:space="0"/>
            </w:tcBorders>
            <w:vAlign w:val="bottom"/>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74.43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7" w:hRule="atLeast"/>
          <w:jc w:val="center"/>
        </w:trPr>
        <w:tc>
          <w:tcPr>
            <w:tcW w:w="1306"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海口</w:t>
            </w:r>
          </w:p>
        </w:tc>
        <w:tc>
          <w:tcPr>
            <w:tcW w:w="1307"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63551</w:t>
            </w:r>
          </w:p>
        </w:tc>
        <w:tc>
          <w:tcPr>
            <w:tcW w:w="1307" w:type="dxa"/>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r>
              <w:rPr>
                <w:rFonts w:ascii="等线" w:hAnsi="等线" w:eastAsia="等线" w:cs="宋体"/>
                <w:color w:val="000000"/>
                <w:kern w:val="0"/>
                <w:sz w:val="18"/>
                <w:szCs w:val="18"/>
              </w:rPr>
              <w:t>0914</w:t>
            </w:r>
          </w:p>
        </w:tc>
        <w:tc>
          <w:tcPr>
            <w:tcW w:w="1307" w:type="dxa"/>
            <w:tcBorders>
              <w:top w:val="nil"/>
              <w:left w:val="nil"/>
              <w:bottom w:val="single" w:color="7F7F7F" w:sz="8" w:space="0"/>
              <w:right w:val="nil"/>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80.12</w:t>
            </w:r>
          </w:p>
        </w:tc>
        <w:tc>
          <w:tcPr>
            <w:tcW w:w="1307"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r>
              <w:rPr>
                <w:rFonts w:ascii="等线" w:hAnsi="等线" w:eastAsia="等线" w:cs="宋体"/>
                <w:color w:val="000000"/>
                <w:kern w:val="0"/>
                <w:sz w:val="18"/>
                <w:szCs w:val="18"/>
              </w:rPr>
              <w:t>2637</w:t>
            </w:r>
          </w:p>
        </w:tc>
        <w:tc>
          <w:tcPr>
            <w:tcW w:w="1307" w:type="dxa"/>
            <w:vAlign w:val="bottom"/>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19.88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7" w:hRule="atLeast"/>
          <w:jc w:val="center"/>
        </w:trPr>
        <w:tc>
          <w:tcPr>
            <w:tcW w:w="1306"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碧鸡</w:t>
            </w:r>
          </w:p>
        </w:tc>
        <w:tc>
          <w:tcPr>
            <w:tcW w:w="1307"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25933</w:t>
            </w:r>
          </w:p>
        </w:tc>
        <w:tc>
          <w:tcPr>
            <w:tcW w:w="1307" w:type="dxa"/>
            <w:tcBorders>
              <w:top w:val="single" w:color="7E7E7E" w:themeColor="text1" w:themeTint="80" w:sz="4" w:space="0"/>
              <w:bottom w:val="single" w:color="7E7E7E" w:themeColor="text1" w:themeTint="80" w:sz="4" w:space="0"/>
              <w:insideH w:val="single" w:sz="4" w:space="0"/>
            </w:tcBorders>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r>
              <w:rPr>
                <w:rFonts w:ascii="等线" w:hAnsi="等线" w:eastAsia="等线" w:cs="宋体"/>
                <w:color w:val="000000"/>
                <w:kern w:val="0"/>
                <w:sz w:val="18"/>
                <w:szCs w:val="18"/>
              </w:rPr>
              <w:t>0112</w:t>
            </w:r>
          </w:p>
        </w:tc>
        <w:tc>
          <w:tcPr>
            <w:tcW w:w="1307" w:type="dxa"/>
            <w:tcBorders>
              <w:top w:val="nil"/>
              <w:left w:val="nil"/>
              <w:bottom w:val="single" w:color="7F7F7F" w:sz="8" w:space="0"/>
              <w:right w:val="nil"/>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77.55</w:t>
            </w:r>
          </w:p>
        </w:tc>
        <w:tc>
          <w:tcPr>
            <w:tcW w:w="1307"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r>
              <w:rPr>
                <w:rFonts w:ascii="等线" w:hAnsi="等线" w:eastAsia="等线" w:cs="宋体"/>
                <w:color w:val="000000"/>
                <w:kern w:val="0"/>
                <w:sz w:val="18"/>
                <w:szCs w:val="18"/>
              </w:rPr>
              <w:t>821</w:t>
            </w:r>
          </w:p>
        </w:tc>
        <w:tc>
          <w:tcPr>
            <w:tcW w:w="1307" w:type="dxa"/>
            <w:tcBorders>
              <w:top w:val="single" w:color="7E7E7E" w:themeColor="text1" w:themeTint="80" w:sz="4" w:space="0"/>
              <w:bottom w:val="single" w:color="7E7E7E" w:themeColor="text1" w:themeTint="80" w:sz="4" w:space="0"/>
              <w:insideH w:val="single" w:sz="4" w:space="0"/>
            </w:tcBorders>
            <w:vAlign w:val="bottom"/>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22.45</w:t>
            </w:r>
          </w:p>
        </w:tc>
      </w:tr>
      <w:bookmarkEnd w:id="149"/>
    </w:tbl>
    <w:p>
      <w:pPr>
        <w:spacing w:line="276" w:lineRule="auto"/>
        <w:ind w:firstLine="360" w:firstLineChars="200"/>
        <w:rPr>
          <w:sz w:val="18"/>
          <w:szCs w:val="18"/>
        </w:rPr>
      </w:pPr>
      <w:bookmarkStart w:id="150" w:name="_Hlk36405778"/>
      <w:bookmarkStart w:id="151" w:name="_Hlk33964469"/>
      <w:r>
        <w:rPr>
          <w:rFonts w:hint="eastAsia"/>
          <w:sz w:val="18"/>
          <w:szCs w:val="18"/>
        </w:rPr>
        <w:t>数据来源：昆明市西山区统计局编印《西山区统计年鉴》第3</w:t>
      </w:r>
      <w:r>
        <w:rPr>
          <w:sz w:val="18"/>
          <w:szCs w:val="18"/>
        </w:rPr>
        <w:t>5</w:t>
      </w:r>
      <w:r>
        <w:rPr>
          <w:rFonts w:hint="eastAsia"/>
          <w:sz w:val="18"/>
          <w:szCs w:val="18"/>
        </w:rPr>
        <w:t>页</w:t>
      </w:r>
      <w:bookmarkEnd w:id="150"/>
      <w:r>
        <w:rPr>
          <w:rFonts w:hint="eastAsia"/>
          <w:sz w:val="18"/>
          <w:szCs w:val="18"/>
        </w:rPr>
        <w:t>。</w:t>
      </w:r>
    </w:p>
    <w:bookmarkEnd w:id="151"/>
    <w:p>
      <w:pPr>
        <w:spacing w:line="276" w:lineRule="auto"/>
        <w:ind w:firstLine="420" w:firstLineChars="200"/>
        <w:jc w:val="left"/>
      </w:pPr>
    </w:p>
    <w:p>
      <w:pPr>
        <w:spacing w:line="276" w:lineRule="auto"/>
        <w:ind w:firstLine="420" w:firstLineChars="200"/>
        <w:jc w:val="left"/>
      </w:pPr>
    </w:p>
    <w:p>
      <w:pPr>
        <w:spacing w:line="276" w:lineRule="auto"/>
        <w:ind w:firstLine="420" w:firstLineChars="200"/>
        <w:jc w:val="left"/>
      </w:pPr>
    </w:p>
    <w:p>
      <w:pPr>
        <w:spacing w:line="276" w:lineRule="auto"/>
        <w:ind w:firstLine="420" w:firstLineChars="200"/>
        <w:jc w:val="center"/>
      </w:pPr>
      <w:r>
        <w:rPr>
          <w:rFonts w:hint="eastAsia"/>
        </w:rPr>
        <w:t>表1</w:t>
      </w:r>
      <w:r>
        <w:t>0</w:t>
      </w:r>
      <w:r>
        <w:tab/>
      </w:r>
      <w:r>
        <w:tab/>
      </w:r>
      <w:r>
        <w:t>2018</w:t>
      </w:r>
      <w:r>
        <w:rPr>
          <w:rFonts w:hint="eastAsia"/>
        </w:rPr>
        <w:t>年西山区户籍人口密度</w:t>
      </w:r>
    </w:p>
    <w:tbl>
      <w:tblPr>
        <w:tblStyle w:val="26"/>
        <w:tblW w:w="7128" w:type="dxa"/>
        <w:jc w:val="center"/>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47"/>
        <w:gridCol w:w="1447"/>
        <w:gridCol w:w="1447"/>
        <w:gridCol w:w="1447"/>
        <w:gridCol w:w="1340"/>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447" w:type="dxa"/>
            <w:tcBorders>
              <w:bottom w:val="single" w:color="7E7E7E" w:themeColor="text1" w:themeTint="80" w:sz="4" w:space="0"/>
              <w:insideH w:val="single" w:sz="4" w:space="0"/>
            </w:tcBorders>
            <w:noWrap/>
            <w:vAlign w:val="center"/>
          </w:tcPr>
          <w:p>
            <w:pPr>
              <w:widowControl/>
              <w:jc w:val="center"/>
              <w:rPr>
                <w:rFonts w:ascii="宋体" w:hAnsi="宋体" w:eastAsia="宋体" w:cs="宋体"/>
                <w:b/>
                <w:bCs/>
                <w:kern w:val="0"/>
                <w:sz w:val="18"/>
                <w:szCs w:val="18"/>
              </w:rPr>
            </w:pPr>
          </w:p>
        </w:tc>
        <w:tc>
          <w:tcPr>
            <w:tcW w:w="1447" w:type="dxa"/>
            <w:tcBorders>
              <w:bottom w:val="single" w:color="7E7E7E" w:themeColor="text1" w:themeTint="80" w:sz="4" w:space="0"/>
              <w:insideH w:val="single" w:sz="4" w:space="0"/>
            </w:tcBorders>
            <w:noWrap/>
            <w:vAlign w:val="center"/>
          </w:tcPr>
          <w:p>
            <w:pPr>
              <w:widowControl/>
              <w:jc w:val="center"/>
              <w:rPr>
                <w:rFonts w:ascii="等线" w:hAnsi="等线" w:eastAsia="等线" w:cs="宋体"/>
                <w:b w:val="0"/>
                <w:bCs w:val="0"/>
                <w:color w:val="000000"/>
                <w:kern w:val="0"/>
                <w:sz w:val="18"/>
                <w:szCs w:val="18"/>
              </w:rPr>
            </w:pPr>
            <w:r>
              <w:rPr>
                <w:rFonts w:hint="eastAsia" w:ascii="等线" w:hAnsi="等线" w:eastAsia="等线" w:cs="宋体"/>
                <w:b/>
                <w:bCs/>
                <w:color w:val="000000"/>
                <w:kern w:val="0"/>
                <w:sz w:val="18"/>
                <w:szCs w:val="18"/>
              </w:rPr>
              <w:t>户籍人口</w:t>
            </w:r>
          </w:p>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（人）</w:t>
            </w:r>
          </w:p>
        </w:tc>
        <w:tc>
          <w:tcPr>
            <w:tcW w:w="1447" w:type="dxa"/>
            <w:tcBorders>
              <w:bottom w:val="single" w:color="7E7E7E" w:themeColor="text1" w:themeTint="80" w:sz="4" w:space="0"/>
              <w:insideH w:val="single" w:sz="4" w:space="0"/>
            </w:tcBorders>
            <w:noWrap/>
            <w:vAlign w:val="center"/>
          </w:tcPr>
          <w:p>
            <w:pPr>
              <w:widowControl/>
              <w:jc w:val="center"/>
              <w:rPr>
                <w:rFonts w:ascii="等线" w:hAnsi="等线" w:eastAsia="等线" w:cs="宋体"/>
                <w:b w:val="0"/>
                <w:bCs w:val="0"/>
                <w:color w:val="000000"/>
                <w:kern w:val="0"/>
                <w:sz w:val="18"/>
                <w:szCs w:val="18"/>
              </w:rPr>
            </w:pPr>
            <w:r>
              <w:rPr>
                <w:rFonts w:hint="eastAsia" w:ascii="等线" w:hAnsi="等线" w:eastAsia="等线" w:cs="宋体"/>
                <w:b/>
                <w:bCs/>
                <w:color w:val="000000"/>
                <w:kern w:val="0"/>
                <w:sz w:val="18"/>
                <w:szCs w:val="18"/>
              </w:rPr>
              <w:t>区域面积</w:t>
            </w:r>
          </w:p>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（km</w:t>
            </w:r>
            <w:r>
              <w:rPr>
                <w:rFonts w:hint="eastAsia" w:ascii="等线" w:hAnsi="等线" w:eastAsia="等线" w:cs="宋体"/>
                <w:b/>
                <w:bCs/>
                <w:color w:val="000000"/>
                <w:kern w:val="0"/>
                <w:sz w:val="18"/>
                <w:szCs w:val="18"/>
                <w:vertAlign w:val="superscript"/>
              </w:rPr>
              <w:t>2</w:t>
            </w:r>
            <w:r>
              <w:rPr>
                <w:rFonts w:hint="eastAsia" w:ascii="等线" w:hAnsi="等线" w:eastAsia="等线" w:cs="宋体"/>
                <w:b/>
                <w:bCs/>
                <w:color w:val="000000"/>
                <w:kern w:val="0"/>
                <w:sz w:val="18"/>
                <w:szCs w:val="18"/>
              </w:rPr>
              <w:t>）</w:t>
            </w:r>
          </w:p>
        </w:tc>
        <w:tc>
          <w:tcPr>
            <w:tcW w:w="1447" w:type="dxa"/>
            <w:tcBorders>
              <w:bottom w:val="single" w:color="7E7E7E" w:themeColor="text1" w:themeTint="80" w:sz="4" w:space="0"/>
              <w:insideH w:val="single" w:sz="4" w:space="0"/>
            </w:tcBorders>
            <w:noWrap/>
            <w:vAlign w:val="center"/>
          </w:tcPr>
          <w:p>
            <w:pPr>
              <w:widowControl/>
              <w:jc w:val="center"/>
              <w:rPr>
                <w:rFonts w:ascii="等线" w:hAnsi="等线" w:eastAsia="等线" w:cs="宋体"/>
                <w:b w:val="0"/>
                <w:bCs w:val="0"/>
                <w:color w:val="000000"/>
                <w:kern w:val="0"/>
                <w:sz w:val="18"/>
                <w:szCs w:val="18"/>
              </w:rPr>
            </w:pPr>
            <w:r>
              <w:rPr>
                <w:rFonts w:hint="eastAsia" w:ascii="等线" w:hAnsi="等线" w:eastAsia="等线" w:cs="宋体"/>
                <w:b/>
                <w:bCs/>
                <w:color w:val="000000"/>
                <w:kern w:val="0"/>
                <w:sz w:val="18"/>
                <w:szCs w:val="18"/>
              </w:rPr>
              <w:t>人口密度</w:t>
            </w:r>
          </w:p>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（人/km</w:t>
            </w:r>
            <w:r>
              <w:rPr>
                <w:rFonts w:hint="eastAsia" w:ascii="等线" w:hAnsi="等线" w:eastAsia="等线" w:cs="宋体"/>
                <w:b/>
                <w:bCs/>
                <w:color w:val="000000"/>
                <w:kern w:val="0"/>
                <w:sz w:val="18"/>
                <w:szCs w:val="18"/>
                <w:vertAlign w:val="superscript"/>
              </w:rPr>
              <w:t>2</w:t>
            </w:r>
            <w:r>
              <w:rPr>
                <w:rFonts w:hint="eastAsia" w:ascii="等线" w:hAnsi="等线" w:eastAsia="等线" w:cs="宋体"/>
                <w:b/>
                <w:bCs/>
                <w:color w:val="000000"/>
                <w:kern w:val="0"/>
                <w:sz w:val="18"/>
                <w:szCs w:val="18"/>
              </w:rPr>
              <w:t>）</w:t>
            </w:r>
          </w:p>
        </w:tc>
        <w:tc>
          <w:tcPr>
            <w:tcW w:w="1340"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排位</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西苑</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32693</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21795</w:t>
            </w:r>
          </w:p>
        </w:tc>
        <w:tc>
          <w:tcPr>
            <w:tcW w:w="134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447"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金碧</w:t>
            </w:r>
          </w:p>
        </w:tc>
        <w:tc>
          <w:tcPr>
            <w:tcW w:w="1447"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91782</w:t>
            </w:r>
          </w:p>
        </w:tc>
        <w:tc>
          <w:tcPr>
            <w:tcW w:w="1447"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4.44</w:t>
            </w:r>
          </w:p>
        </w:tc>
        <w:tc>
          <w:tcPr>
            <w:tcW w:w="1447"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20672</w:t>
            </w:r>
          </w:p>
        </w:tc>
        <w:tc>
          <w:tcPr>
            <w:tcW w:w="134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永昌</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55433</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3.88</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14287</w:t>
            </w:r>
          </w:p>
        </w:tc>
        <w:tc>
          <w:tcPr>
            <w:tcW w:w="134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447"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棕树营</w:t>
            </w:r>
          </w:p>
        </w:tc>
        <w:tc>
          <w:tcPr>
            <w:tcW w:w="1447"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41526</w:t>
            </w:r>
          </w:p>
        </w:tc>
        <w:tc>
          <w:tcPr>
            <w:tcW w:w="1447"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4.5</w:t>
            </w:r>
          </w:p>
        </w:tc>
        <w:tc>
          <w:tcPr>
            <w:tcW w:w="1447"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9228</w:t>
            </w:r>
          </w:p>
        </w:tc>
        <w:tc>
          <w:tcPr>
            <w:tcW w:w="134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福海</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79186</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15.17</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5220</w:t>
            </w:r>
          </w:p>
        </w:tc>
        <w:tc>
          <w:tcPr>
            <w:tcW w:w="134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447"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前卫</w:t>
            </w:r>
          </w:p>
        </w:tc>
        <w:tc>
          <w:tcPr>
            <w:tcW w:w="1447"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79838</w:t>
            </w:r>
          </w:p>
        </w:tc>
        <w:tc>
          <w:tcPr>
            <w:tcW w:w="1447"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15.48</w:t>
            </w:r>
          </w:p>
        </w:tc>
        <w:tc>
          <w:tcPr>
            <w:tcW w:w="1447"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5157</w:t>
            </w:r>
          </w:p>
        </w:tc>
        <w:tc>
          <w:tcPr>
            <w:tcW w:w="134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马街</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53514</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40.2</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1331</w:t>
            </w:r>
          </w:p>
        </w:tc>
        <w:tc>
          <w:tcPr>
            <w:tcW w:w="134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447"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海口</w:t>
            </w:r>
          </w:p>
        </w:tc>
        <w:tc>
          <w:tcPr>
            <w:tcW w:w="1447"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63551</w:t>
            </w:r>
          </w:p>
        </w:tc>
        <w:tc>
          <w:tcPr>
            <w:tcW w:w="1447"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174.37</w:t>
            </w:r>
          </w:p>
        </w:tc>
        <w:tc>
          <w:tcPr>
            <w:tcW w:w="1447"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364</w:t>
            </w:r>
          </w:p>
        </w:tc>
        <w:tc>
          <w:tcPr>
            <w:tcW w:w="134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碧鸡</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25933</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88.74</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292</w:t>
            </w:r>
          </w:p>
        </w:tc>
        <w:tc>
          <w:tcPr>
            <w:tcW w:w="134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447"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团结</w:t>
            </w:r>
          </w:p>
        </w:tc>
        <w:tc>
          <w:tcPr>
            <w:tcW w:w="1447"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34673</w:t>
            </w:r>
          </w:p>
        </w:tc>
        <w:tc>
          <w:tcPr>
            <w:tcW w:w="1447"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424.66</w:t>
            </w:r>
          </w:p>
        </w:tc>
        <w:tc>
          <w:tcPr>
            <w:tcW w:w="1447"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w:t>
            </w:r>
          </w:p>
        </w:tc>
        <w:tc>
          <w:tcPr>
            <w:tcW w:w="134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合计</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558129</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772.94</w:t>
            </w:r>
          </w:p>
        </w:tc>
        <w:tc>
          <w:tcPr>
            <w:tcW w:w="1447"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722</w:t>
            </w:r>
          </w:p>
        </w:tc>
        <w:tc>
          <w:tcPr>
            <w:tcW w:w="134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p>
        </w:tc>
      </w:tr>
    </w:tbl>
    <w:p>
      <w:pPr>
        <w:spacing w:line="276" w:lineRule="auto"/>
        <w:ind w:firstLine="360" w:firstLineChars="200"/>
        <w:jc w:val="left"/>
        <w:rPr>
          <w:sz w:val="18"/>
          <w:szCs w:val="18"/>
        </w:rPr>
      </w:pPr>
      <w:bookmarkStart w:id="152" w:name="_Hlk36405671"/>
      <w:r>
        <w:rPr>
          <w:rFonts w:hint="eastAsia"/>
          <w:sz w:val="18"/>
          <w:szCs w:val="18"/>
        </w:rPr>
        <w:t>数据来源：昆明市西山区统计局编印《西山区统计年鉴》第3</w:t>
      </w:r>
      <w:r>
        <w:rPr>
          <w:sz w:val="18"/>
          <w:szCs w:val="18"/>
        </w:rPr>
        <w:t>5</w:t>
      </w:r>
      <w:r>
        <w:rPr>
          <w:rFonts w:hint="eastAsia"/>
          <w:sz w:val="18"/>
          <w:szCs w:val="18"/>
        </w:rPr>
        <w:t>页。区域面积数据为网络资料查证，未必精确。</w:t>
      </w:r>
    </w:p>
    <w:bookmarkEnd w:id="152"/>
    <w:p>
      <w:pPr>
        <w:spacing w:line="276" w:lineRule="auto"/>
        <w:ind w:firstLine="420" w:firstLineChars="200"/>
        <w:jc w:val="left"/>
      </w:pPr>
    </w:p>
    <w:p>
      <w:pPr>
        <w:spacing w:line="276" w:lineRule="auto"/>
        <w:ind w:firstLine="420" w:firstLineChars="200"/>
      </w:pPr>
    </w:p>
    <w:p>
      <w:pPr>
        <w:spacing w:line="276" w:lineRule="auto"/>
        <w:ind w:firstLine="420" w:firstLineChars="200"/>
      </w:pPr>
    </w:p>
    <w:p>
      <w:pPr>
        <w:pStyle w:val="25"/>
        <w:spacing w:line="276" w:lineRule="auto"/>
        <w:ind w:left="420" w:firstLine="0" w:firstLineChars="0"/>
        <w:jc w:val="center"/>
      </w:pPr>
      <w:r>
        <w:drawing>
          <wp:inline distT="0" distB="0" distL="0" distR="0">
            <wp:extent cx="4060190" cy="2483485"/>
            <wp:effectExtent l="0" t="0" r="16510" b="1206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25"/>
        <w:spacing w:line="276" w:lineRule="auto"/>
        <w:ind w:left="420" w:firstLine="0" w:firstLineChars="0"/>
        <w:jc w:val="center"/>
      </w:pPr>
      <w:r>
        <w:rPr>
          <w:rFonts w:hint="eastAsia"/>
        </w:rPr>
        <w:t>图3：2</w:t>
      </w:r>
      <w:r>
        <w:t>018</w:t>
      </w:r>
      <w:r>
        <w:rPr>
          <w:rFonts w:hint="eastAsia"/>
        </w:rPr>
        <w:t>年西山区三个层级的人口结构</w:t>
      </w:r>
    </w:p>
    <w:p>
      <w:pPr>
        <w:pStyle w:val="25"/>
        <w:spacing w:line="276" w:lineRule="auto"/>
        <w:ind w:left="420" w:firstLine="0" w:firstLineChars="0"/>
      </w:pPr>
      <w:r>
        <w:rPr>
          <w:rFonts w:hint="eastAsia"/>
          <w:sz w:val="18"/>
          <w:szCs w:val="18"/>
        </w:rPr>
        <w:t>数据来源：2</w:t>
      </w:r>
      <w:r>
        <w:rPr>
          <w:sz w:val="18"/>
          <w:szCs w:val="18"/>
        </w:rPr>
        <w:t>018</w:t>
      </w:r>
      <w:r>
        <w:rPr>
          <w:rFonts w:hint="eastAsia"/>
          <w:sz w:val="18"/>
          <w:szCs w:val="18"/>
        </w:rPr>
        <w:t>年昆明市西山区统计局编印《西山区统计年鉴》，第3</w:t>
      </w:r>
      <w:r>
        <w:rPr>
          <w:sz w:val="18"/>
          <w:szCs w:val="18"/>
        </w:rPr>
        <w:t>5</w:t>
      </w:r>
      <w:r>
        <w:rPr>
          <w:rFonts w:hint="eastAsia"/>
          <w:sz w:val="18"/>
          <w:szCs w:val="18"/>
        </w:rPr>
        <w:t>页。</w:t>
      </w:r>
      <w:r>
        <w:t xml:space="preserve"> </w:t>
      </w:r>
    </w:p>
    <w:p>
      <w:pPr>
        <w:spacing w:line="276" w:lineRule="auto"/>
        <w:ind w:firstLine="360" w:firstLineChars="200"/>
        <w:rPr>
          <w:sz w:val="18"/>
          <w:szCs w:val="18"/>
        </w:rPr>
      </w:pPr>
      <w:r>
        <w:rPr>
          <w:rFonts w:hint="eastAsia"/>
          <w:sz w:val="18"/>
          <w:szCs w:val="18"/>
        </w:rPr>
        <w:t>注：“远郊区”包括碧鸡、海口、团结三个街道办事处；“市郊区”包括马街、前卫、福海三个街道办事处；“城市核心区”包括金碧、永昌、西苑、棕树营四个街道办事处。</w:t>
      </w:r>
    </w:p>
    <w:p>
      <w:pPr>
        <w:spacing w:line="276" w:lineRule="auto"/>
        <w:ind w:firstLine="420" w:firstLineChars="200"/>
        <w:jc w:val="left"/>
      </w:pPr>
    </w:p>
    <w:p>
      <w:pPr>
        <w:spacing w:line="276" w:lineRule="auto"/>
        <w:ind w:firstLine="420" w:firstLineChars="200"/>
        <w:jc w:val="left"/>
      </w:pPr>
    </w:p>
    <w:p>
      <w:pPr>
        <w:spacing w:line="276" w:lineRule="auto"/>
        <w:ind w:firstLine="420" w:firstLineChars="200"/>
        <w:jc w:val="left"/>
      </w:pPr>
    </w:p>
    <w:p>
      <w:pPr>
        <w:spacing w:line="276" w:lineRule="auto"/>
        <w:ind w:firstLine="420" w:firstLineChars="200"/>
      </w:pPr>
      <w:bookmarkStart w:id="153" w:name="_Hlk36407491"/>
      <w:r>
        <w:rPr>
          <w:rFonts w:hint="eastAsia"/>
        </w:rPr>
        <w:t>表1</w:t>
      </w:r>
      <w:r>
        <w:t>1-1</w:t>
      </w:r>
      <w:r>
        <w:tab/>
      </w:r>
      <w:r>
        <w:tab/>
      </w:r>
      <w:r>
        <w:t>2010</w:t>
      </w:r>
      <w:r>
        <w:rPr>
          <w:rFonts w:hint="eastAsia"/>
        </w:rPr>
        <w:t>年西山区常住人口</w:t>
      </w:r>
      <w:bookmarkEnd w:id="153"/>
      <w:r>
        <w:rPr>
          <w:rFonts w:hint="eastAsia"/>
        </w:rPr>
        <w:t>受教育状况</w:t>
      </w:r>
      <w:r>
        <w:tab/>
      </w:r>
      <w:r>
        <w:tab/>
      </w:r>
      <w:r>
        <w:tab/>
      </w:r>
      <w:r>
        <w:rPr>
          <w:rFonts w:hint="eastAsia"/>
        </w:rPr>
        <w:t>单位：年，%</w:t>
      </w:r>
    </w:p>
    <w:tbl>
      <w:tblPr>
        <w:tblStyle w:val="26"/>
        <w:tblW w:w="7917"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39"/>
        <w:gridCol w:w="1739"/>
        <w:gridCol w:w="2639"/>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3" w:hRule="atLeast"/>
        </w:trPr>
        <w:tc>
          <w:tcPr>
            <w:tcW w:w="3539" w:type="dxa"/>
            <w:tcBorders>
              <w:bottom w:val="single" w:color="7E7E7E" w:themeColor="text1" w:themeTint="80" w:sz="4" w:space="0"/>
              <w:insideH w:val="single" w:sz="4" w:space="0"/>
            </w:tcBorders>
            <w:vAlign w:val="center"/>
          </w:tcPr>
          <w:p>
            <w:pPr>
              <w:spacing w:line="276" w:lineRule="auto"/>
              <w:jc w:val="center"/>
              <w:rPr>
                <w:b/>
                <w:bCs/>
              </w:rPr>
            </w:pPr>
          </w:p>
        </w:tc>
        <w:tc>
          <w:tcPr>
            <w:tcW w:w="1739" w:type="dxa"/>
            <w:tcBorders>
              <w:bottom w:val="single" w:color="7E7E7E" w:themeColor="text1" w:themeTint="80" w:sz="4" w:space="0"/>
              <w:insideH w:val="single" w:sz="4" w:space="0"/>
            </w:tcBorders>
            <w:vAlign w:val="center"/>
          </w:tcPr>
          <w:p>
            <w:pPr>
              <w:spacing w:line="276" w:lineRule="auto"/>
              <w:jc w:val="center"/>
              <w:rPr>
                <w:b/>
                <w:bCs/>
              </w:rPr>
            </w:pPr>
            <w:r>
              <w:rPr>
                <w:rFonts w:hint="eastAsia"/>
                <w:b/>
                <w:bCs/>
              </w:rPr>
              <w:t>西山区</w:t>
            </w:r>
          </w:p>
        </w:tc>
        <w:tc>
          <w:tcPr>
            <w:tcW w:w="2639" w:type="dxa"/>
            <w:tcBorders>
              <w:bottom w:val="single" w:color="7E7E7E" w:themeColor="text1" w:themeTint="80" w:sz="4" w:space="0"/>
              <w:insideH w:val="single" w:sz="4" w:space="0"/>
            </w:tcBorders>
            <w:vAlign w:val="center"/>
          </w:tcPr>
          <w:p>
            <w:pPr>
              <w:spacing w:line="276" w:lineRule="auto"/>
              <w:jc w:val="center"/>
              <w:rPr>
                <w:b/>
                <w:bCs/>
              </w:rPr>
            </w:pPr>
            <w:r>
              <w:rPr>
                <w:rFonts w:hint="eastAsia"/>
                <w:b/>
                <w:bCs/>
              </w:rPr>
              <w:t>昆明市</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3" w:hRule="atLeast"/>
        </w:trPr>
        <w:tc>
          <w:tcPr>
            <w:tcW w:w="3539"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rPr>
                <w:b/>
                <w:bCs/>
              </w:rPr>
            </w:pPr>
            <w:r>
              <w:rPr>
                <w:rFonts w:hint="eastAsia"/>
                <w:b/>
                <w:bCs/>
              </w:rPr>
              <w:t>≥6岁人口平均受教育年限（年）</w:t>
            </w:r>
          </w:p>
        </w:tc>
        <w:tc>
          <w:tcPr>
            <w:tcW w:w="1739"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pPr>
            <w:r>
              <w:rPr>
                <w:rFonts w:hint="eastAsia"/>
              </w:rPr>
              <w:t>9</w:t>
            </w:r>
            <w:r>
              <w:t>.93</w:t>
            </w:r>
          </w:p>
        </w:tc>
        <w:tc>
          <w:tcPr>
            <w:tcW w:w="2639" w:type="dxa"/>
            <w:tcBorders>
              <w:top w:val="single" w:color="7E7E7E" w:themeColor="text1" w:themeTint="80" w:sz="4" w:space="0"/>
              <w:bottom w:val="single" w:color="7E7E7E" w:themeColor="text1" w:themeTint="80" w:sz="4" w:space="0"/>
              <w:insideH w:val="single" w:sz="4" w:space="0"/>
            </w:tcBorders>
            <w:vAlign w:val="center"/>
          </w:tcPr>
          <w:p>
            <w:pPr>
              <w:spacing w:line="276" w:lineRule="auto"/>
              <w:jc w:val="center"/>
            </w:pPr>
            <w:r>
              <w:rPr>
                <w:rFonts w:hint="eastAsia"/>
              </w:rPr>
              <w:t>9</w:t>
            </w:r>
            <w:r>
              <w:t>.22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3" w:hRule="atLeast"/>
        </w:trPr>
        <w:tc>
          <w:tcPr>
            <w:tcW w:w="3539" w:type="dxa"/>
            <w:vAlign w:val="center"/>
          </w:tcPr>
          <w:p>
            <w:pPr>
              <w:spacing w:line="276" w:lineRule="auto"/>
              <w:jc w:val="center"/>
              <w:rPr>
                <w:b/>
                <w:bCs/>
              </w:rPr>
            </w:pPr>
            <w:r>
              <w:rPr>
                <w:rFonts w:hint="eastAsia"/>
                <w:b/>
                <w:bCs/>
              </w:rPr>
              <w:t>≥1</w:t>
            </w:r>
            <w:r>
              <w:rPr>
                <w:b/>
                <w:bCs/>
              </w:rPr>
              <w:t>5</w:t>
            </w:r>
            <w:r>
              <w:rPr>
                <w:rFonts w:hint="eastAsia"/>
                <w:b/>
                <w:bCs/>
              </w:rPr>
              <w:t>岁人口文盲率（%）</w:t>
            </w:r>
          </w:p>
        </w:tc>
        <w:tc>
          <w:tcPr>
            <w:tcW w:w="1739" w:type="dxa"/>
            <w:vAlign w:val="center"/>
          </w:tcPr>
          <w:p>
            <w:pPr>
              <w:spacing w:line="276" w:lineRule="auto"/>
              <w:jc w:val="center"/>
            </w:pPr>
            <w:r>
              <w:rPr>
                <w:rFonts w:hint="eastAsia"/>
              </w:rPr>
              <w:t>2</w:t>
            </w:r>
            <w:r>
              <w:t>.14</w:t>
            </w:r>
          </w:p>
        </w:tc>
        <w:tc>
          <w:tcPr>
            <w:tcW w:w="2639" w:type="dxa"/>
            <w:vAlign w:val="center"/>
          </w:tcPr>
          <w:p>
            <w:pPr>
              <w:spacing w:line="276" w:lineRule="auto"/>
              <w:jc w:val="center"/>
            </w:pPr>
            <w:r>
              <w:rPr>
                <w:rFonts w:hint="eastAsia"/>
              </w:rPr>
              <w:t>4</w:t>
            </w:r>
            <w:r>
              <w:t>.67</w:t>
            </w:r>
          </w:p>
        </w:tc>
      </w:tr>
    </w:tbl>
    <w:p>
      <w:pPr>
        <w:spacing w:line="276" w:lineRule="auto"/>
        <w:ind w:firstLine="360" w:firstLineChars="200"/>
        <w:rPr>
          <w:sz w:val="18"/>
          <w:szCs w:val="18"/>
        </w:rPr>
      </w:pPr>
      <w:bookmarkStart w:id="154" w:name="_Hlk36407606"/>
      <w:bookmarkStart w:id="155" w:name="_Hlk36286303"/>
      <w:r>
        <w:rPr>
          <w:rFonts w:hint="eastAsia"/>
          <w:sz w:val="18"/>
          <w:szCs w:val="18"/>
        </w:rPr>
        <w:t>数据来源：</w:t>
      </w:r>
      <w:bookmarkStart w:id="156" w:name="_Hlk50193379"/>
      <w:r>
        <w:rPr>
          <w:rFonts w:hint="eastAsia"/>
          <w:sz w:val="18"/>
          <w:szCs w:val="18"/>
        </w:rPr>
        <w:t>昆明市第六次人口普查办公室《昆明市2</w:t>
      </w:r>
      <w:r>
        <w:rPr>
          <w:sz w:val="18"/>
          <w:szCs w:val="18"/>
        </w:rPr>
        <w:t>010</w:t>
      </w:r>
      <w:r>
        <w:rPr>
          <w:rFonts w:hint="eastAsia"/>
          <w:sz w:val="18"/>
          <w:szCs w:val="18"/>
        </w:rPr>
        <w:t>年人口普查资料》表</w:t>
      </w:r>
      <w:bookmarkEnd w:id="154"/>
      <w:r>
        <w:rPr>
          <w:rFonts w:hint="eastAsia"/>
          <w:sz w:val="18"/>
          <w:szCs w:val="18"/>
        </w:rPr>
        <w:t>1</w:t>
      </w:r>
      <w:r>
        <w:rPr>
          <w:sz w:val="18"/>
          <w:szCs w:val="18"/>
        </w:rPr>
        <w:t>-8</w:t>
      </w:r>
      <w:bookmarkEnd w:id="156"/>
      <w:r>
        <w:rPr>
          <w:rFonts w:hint="eastAsia"/>
          <w:sz w:val="18"/>
          <w:szCs w:val="18"/>
        </w:rPr>
        <w:t>和表1</w:t>
      </w:r>
      <w:r>
        <w:rPr>
          <w:sz w:val="18"/>
          <w:szCs w:val="18"/>
        </w:rPr>
        <w:t>-9</w:t>
      </w:r>
      <w:r>
        <w:rPr>
          <w:rFonts w:hint="eastAsia"/>
          <w:sz w:val="18"/>
          <w:szCs w:val="18"/>
        </w:rPr>
        <w:t>。</w:t>
      </w:r>
    </w:p>
    <w:bookmarkEnd w:id="155"/>
    <w:p>
      <w:pPr>
        <w:spacing w:line="276" w:lineRule="auto"/>
        <w:ind w:firstLine="420" w:firstLineChars="200"/>
      </w:pPr>
    </w:p>
    <w:p>
      <w:pPr>
        <w:spacing w:line="276" w:lineRule="auto"/>
        <w:ind w:firstLine="420" w:firstLineChars="200"/>
      </w:pPr>
    </w:p>
    <w:p>
      <w:pPr>
        <w:spacing w:line="276" w:lineRule="auto"/>
        <w:ind w:firstLine="420" w:firstLineChars="200"/>
      </w:pPr>
    </w:p>
    <w:p>
      <w:pPr>
        <w:spacing w:line="276" w:lineRule="auto"/>
        <w:ind w:firstLine="420" w:firstLineChars="200"/>
      </w:pPr>
      <w:r>
        <w:rPr>
          <w:rFonts w:hint="eastAsia"/>
        </w:rPr>
        <w:t>表1</w:t>
      </w:r>
      <w:r>
        <w:t>1-2</w:t>
      </w:r>
      <w:r>
        <w:tab/>
      </w:r>
      <w:r>
        <w:t>2010</w:t>
      </w:r>
      <w:r>
        <w:rPr>
          <w:rFonts w:hint="eastAsia"/>
        </w:rPr>
        <w:t>年西山区常住人口每十万人口中拥有各类受教育程度人口</w:t>
      </w:r>
      <w:r>
        <w:tab/>
      </w:r>
      <w:r>
        <w:rPr>
          <w:rFonts w:hint="eastAsia"/>
        </w:rPr>
        <w:t>单位：人</w:t>
      </w:r>
    </w:p>
    <w:tbl>
      <w:tblPr>
        <w:tblStyle w:val="26"/>
        <w:tblW w:w="8252" w:type="dxa"/>
        <w:jc w:val="center"/>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62"/>
        <w:gridCol w:w="1662"/>
        <w:gridCol w:w="1662"/>
        <w:gridCol w:w="1662"/>
        <w:gridCol w:w="1604"/>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1662" w:type="dxa"/>
            <w:tcBorders>
              <w:bottom w:val="single" w:color="7E7E7E" w:themeColor="text1" w:themeTint="80" w:sz="4" w:space="0"/>
              <w:insideH w:val="single" w:sz="4" w:space="0"/>
            </w:tcBorders>
          </w:tcPr>
          <w:p>
            <w:pPr>
              <w:widowControl/>
              <w:jc w:val="center"/>
              <w:rPr>
                <w:rFonts w:ascii="宋体" w:hAnsi="宋体" w:eastAsia="宋体" w:cs="宋体"/>
                <w:b/>
                <w:bCs/>
                <w:kern w:val="0"/>
                <w:sz w:val="18"/>
                <w:szCs w:val="18"/>
              </w:rPr>
            </w:pPr>
          </w:p>
        </w:tc>
        <w:tc>
          <w:tcPr>
            <w:tcW w:w="1662" w:type="dxa"/>
            <w:tcBorders>
              <w:bottom w:val="single" w:color="7E7E7E" w:themeColor="text1" w:themeTint="80" w:sz="4" w:space="0"/>
              <w:insideH w:val="single" w:sz="4" w:space="0"/>
            </w:tcBorders>
            <w:noWrap/>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小学</w:t>
            </w:r>
          </w:p>
        </w:tc>
        <w:tc>
          <w:tcPr>
            <w:tcW w:w="1662" w:type="dxa"/>
            <w:tcBorders>
              <w:bottom w:val="single" w:color="7E7E7E" w:themeColor="text1" w:themeTint="80" w:sz="4" w:space="0"/>
              <w:insideH w:val="single" w:sz="4" w:space="0"/>
            </w:tcBorders>
            <w:noWrap/>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初中</w:t>
            </w:r>
          </w:p>
        </w:tc>
        <w:tc>
          <w:tcPr>
            <w:tcW w:w="1662" w:type="dxa"/>
            <w:tcBorders>
              <w:bottom w:val="single" w:color="7E7E7E" w:themeColor="text1" w:themeTint="80" w:sz="4" w:space="0"/>
              <w:insideH w:val="single" w:sz="4" w:space="0"/>
            </w:tcBorders>
            <w:noWrap/>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高中</w:t>
            </w:r>
          </w:p>
        </w:tc>
        <w:tc>
          <w:tcPr>
            <w:tcW w:w="1604" w:type="dxa"/>
            <w:tcBorders>
              <w:bottom w:val="single" w:color="7E7E7E" w:themeColor="text1" w:themeTint="80" w:sz="4" w:space="0"/>
              <w:insideH w:val="single" w:sz="4" w:space="0"/>
            </w:tcBorders>
            <w:noWrap/>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大学</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1662" w:type="dxa"/>
            <w:tcBorders>
              <w:top w:val="single" w:color="7E7E7E" w:themeColor="text1" w:themeTint="80" w:sz="4" w:space="0"/>
              <w:bottom w:val="single" w:color="7E7E7E" w:themeColor="text1" w:themeTint="80" w:sz="4" w:space="0"/>
              <w:insideH w:val="single" w:sz="4" w:space="0"/>
            </w:tcBorders>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五华</w:t>
            </w:r>
          </w:p>
        </w:tc>
        <w:tc>
          <w:tcPr>
            <w:tcW w:w="1662"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15596</w:t>
            </w:r>
          </w:p>
        </w:tc>
        <w:tc>
          <w:tcPr>
            <w:tcW w:w="1662"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24747</w:t>
            </w:r>
          </w:p>
        </w:tc>
        <w:tc>
          <w:tcPr>
            <w:tcW w:w="1662"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19939</w:t>
            </w:r>
          </w:p>
        </w:tc>
        <w:tc>
          <w:tcPr>
            <w:tcW w:w="160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34301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1662"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盘龙</w:t>
            </w:r>
          </w:p>
        </w:tc>
        <w:tc>
          <w:tcPr>
            <w:tcW w:w="1662" w:type="dxa"/>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20156</w:t>
            </w:r>
          </w:p>
        </w:tc>
        <w:tc>
          <w:tcPr>
            <w:tcW w:w="1662" w:type="dxa"/>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29109</w:t>
            </w:r>
          </w:p>
        </w:tc>
        <w:tc>
          <w:tcPr>
            <w:tcW w:w="1662" w:type="dxa"/>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18920</w:t>
            </w:r>
          </w:p>
        </w:tc>
        <w:tc>
          <w:tcPr>
            <w:tcW w:w="1604" w:type="dxa"/>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24054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1662" w:type="dxa"/>
            <w:tcBorders>
              <w:top w:val="single" w:color="7E7E7E" w:themeColor="text1" w:themeTint="80" w:sz="4" w:space="0"/>
              <w:bottom w:val="single" w:color="7E7E7E" w:themeColor="text1" w:themeTint="80" w:sz="4" w:space="0"/>
              <w:insideH w:val="single" w:sz="4" w:space="0"/>
            </w:tcBorders>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官渡</w:t>
            </w:r>
          </w:p>
        </w:tc>
        <w:tc>
          <w:tcPr>
            <w:tcW w:w="1662"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23127</w:t>
            </w:r>
          </w:p>
        </w:tc>
        <w:tc>
          <w:tcPr>
            <w:tcW w:w="1662"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35549</w:t>
            </w:r>
          </w:p>
        </w:tc>
        <w:tc>
          <w:tcPr>
            <w:tcW w:w="1662"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18155</w:t>
            </w:r>
          </w:p>
        </w:tc>
        <w:tc>
          <w:tcPr>
            <w:tcW w:w="160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15341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1662"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西山</w:t>
            </w:r>
          </w:p>
        </w:tc>
        <w:tc>
          <w:tcPr>
            <w:tcW w:w="1662" w:type="dxa"/>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20004</w:t>
            </w:r>
          </w:p>
        </w:tc>
        <w:tc>
          <w:tcPr>
            <w:tcW w:w="1662" w:type="dxa"/>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30471</w:t>
            </w:r>
          </w:p>
        </w:tc>
        <w:tc>
          <w:tcPr>
            <w:tcW w:w="1662" w:type="dxa"/>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20421</w:t>
            </w:r>
          </w:p>
        </w:tc>
        <w:tc>
          <w:tcPr>
            <w:tcW w:w="1604" w:type="dxa"/>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21735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1662" w:type="dxa"/>
            <w:tcBorders>
              <w:top w:val="single" w:color="7E7E7E" w:themeColor="text1" w:themeTint="80" w:sz="4" w:space="0"/>
              <w:bottom w:val="single" w:color="7E7E7E" w:themeColor="text1" w:themeTint="80" w:sz="4" w:space="0"/>
              <w:insideH w:val="single" w:sz="4" w:space="0"/>
            </w:tcBorders>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呈贡</w:t>
            </w:r>
          </w:p>
        </w:tc>
        <w:tc>
          <w:tcPr>
            <w:tcW w:w="1662"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28089</w:t>
            </w:r>
          </w:p>
        </w:tc>
        <w:tc>
          <w:tcPr>
            <w:tcW w:w="1662"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32627</w:t>
            </w:r>
          </w:p>
        </w:tc>
        <w:tc>
          <w:tcPr>
            <w:tcW w:w="1662"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9298</w:t>
            </w:r>
          </w:p>
        </w:tc>
        <w:tc>
          <w:tcPr>
            <w:tcW w:w="160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21223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1662"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昆明市</w:t>
            </w:r>
          </w:p>
        </w:tc>
        <w:tc>
          <w:tcPr>
            <w:tcW w:w="1662" w:type="dxa"/>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29090</w:t>
            </w:r>
          </w:p>
        </w:tc>
        <w:tc>
          <w:tcPr>
            <w:tcW w:w="1662" w:type="dxa"/>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31019</w:t>
            </w:r>
          </w:p>
        </w:tc>
        <w:tc>
          <w:tcPr>
            <w:tcW w:w="1662" w:type="dxa"/>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14072</w:t>
            </w:r>
          </w:p>
        </w:tc>
        <w:tc>
          <w:tcPr>
            <w:tcW w:w="1604" w:type="dxa"/>
            <w:noWrap/>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15246</w:t>
            </w:r>
          </w:p>
        </w:tc>
      </w:tr>
    </w:tbl>
    <w:p>
      <w:pPr>
        <w:spacing w:line="276" w:lineRule="auto"/>
        <w:ind w:firstLine="360" w:firstLineChars="200"/>
      </w:pPr>
      <w:r>
        <w:rPr>
          <w:rFonts w:hint="eastAsia"/>
          <w:sz w:val="18"/>
          <w:szCs w:val="18"/>
        </w:rPr>
        <w:t>数据来源：</w:t>
      </w:r>
      <w:bookmarkStart w:id="157" w:name="_Hlk50193752"/>
      <w:r>
        <w:rPr>
          <w:rFonts w:hint="eastAsia"/>
          <w:sz w:val="18"/>
          <w:szCs w:val="18"/>
        </w:rPr>
        <w:t>昆明市第六次人口普查办公室《昆明市2</w:t>
      </w:r>
      <w:r>
        <w:rPr>
          <w:sz w:val="18"/>
          <w:szCs w:val="18"/>
        </w:rPr>
        <w:t>010</w:t>
      </w:r>
      <w:r>
        <w:rPr>
          <w:rFonts w:hint="eastAsia"/>
          <w:sz w:val="18"/>
          <w:szCs w:val="18"/>
        </w:rPr>
        <w:t>年人口普查资料》</w:t>
      </w:r>
      <w:bookmarkEnd w:id="157"/>
      <w:r>
        <w:rPr>
          <w:rFonts w:hint="eastAsia"/>
          <w:sz w:val="18"/>
          <w:szCs w:val="18"/>
        </w:rPr>
        <w:t>表1</w:t>
      </w:r>
      <w:r>
        <w:rPr>
          <w:sz w:val="18"/>
          <w:szCs w:val="18"/>
        </w:rPr>
        <w:t>-8</w:t>
      </w:r>
    </w:p>
    <w:p>
      <w:pPr>
        <w:spacing w:line="276" w:lineRule="auto"/>
        <w:ind w:firstLine="420" w:firstLineChars="200"/>
      </w:pPr>
    </w:p>
    <w:p>
      <w:pPr>
        <w:spacing w:line="276" w:lineRule="auto"/>
        <w:ind w:firstLine="420" w:firstLineChars="200"/>
      </w:pPr>
    </w:p>
    <w:p>
      <w:pPr>
        <w:spacing w:line="276" w:lineRule="auto"/>
        <w:ind w:firstLine="420" w:firstLineChars="200"/>
      </w:pPr>
    </w:p>
    <w:p>
      <w:pPr>
        <w:spacing w:line="276" w:lineRule="auto"/>
        <w:ind w:firstLine="420" w:firstLineChars="200"/>
      </w:pPr>
    </w:p>
    <w:p>
      <w:pPr>
        <w:spacing w:line="276" w:lineRule="auto"/>
        <w:ind w:firstLine="420" w:firstLineChars="200"/>
        <w:jc w:val="center"/>
      </w:pPr>
      <w:bookmarkStart w:id="158" w:name="_Hlk36286631"/>
      <w:r>
        <w:rPr>
          <w:rFonts w:hint="eastAsia"/>
        </w:rPr>
        <w:t>表1</w:t>
      </w:r>
      <w:r>
        <w:t>2-1</w:t>
      </w:r>
      <w:r>
        <w:tab/>
      </w:r>
      <w:r>
        <w:t xml:space="preserve">   2010</w:t>
      </w:r>
      <w:r>
        <w:rPr>
          <w:rFonts w:hint="eastAsia"/>
        </w:rPr>
        <w:t>年昆明市就业人口产业结构</w:t>
      </w:r>
      <w:r>
        <w:tab/>
      </w:r>
      <w:r>
        <w:tab/>
      </w:r>
      <w:r>
        <w:tab/>
      </w:r>
      <w:r>
        <w:rPr>
          <w:rFonts w:hint="eastAsia"/>
        </w:rPr>
        <w:t>单位： 人。%</w:t>
      </w:r>
    </w:p>
    <w:bookmarkEnd w:id="158"/>
    <w:tbl>
      <w:tblPr>
        <w:tblStyle w:val="26"/>
        <w:tblW w:w="8163"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0"/>
        <w:gridCol w:w="1020"/>
        <w:gridCol w:w="1020"/>
        <w:gridCol w:w="1020"/>
        <w:gridCol w:w="1022"/>
        <w:gridCol w:w="1020"/>
        <w:gridCol w:w="1020"/>
        <w:gridCol w:w="1021"/>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trPr>
        <w:tc>
          <w:tcPr>
            <w:tcW w:w="1020" w:type="dxa"/>
            <w:tcBorders>
              <w:bottom w:val="single" w:color="7E7E7E" w:themeColor="text1" w:themeTint="80" w:sz="4" w:space="0"/>
              <w:insideH w:val="single" w:sz="4" w:space="0"/>
            </w:tcBorders>
            <w:noWrap/>
            <w:vAlign w:val="center"/>
          </w:tcPr>
          <w:p>
            <w:pPr>
              <w:widowControl/>
              <w:jc w:val="center"/>
              <w:rPr>
                <w:rFonts w:ascii="宋体" w:hAnsi="宋体" w:eastAsia="宋体" w:cs="宋体"/>
                <w:b/>
                <w:bCs/>
                <w:kern w:val="0"/>
                <w:sz w:val="18"/>
                <w:szCs w:val="18"/>
              </w:rPr>
            </w:pPr>
            <w:bookmarkStart w:id="159" w:name="_Hlk36286596"/>
          </w:p>
        </w:tc>
        <w:tc>
          <w:tcPr>
            <w:tcW w:w="4082" w:type="dxa"/>
            <w:gridSpan w:val="4"/>
            <w:tcBorders>
              <w:bottom w:val="single" w:color="7E7E7E" w:themeColor="text1" w:themeTint="80" w:sz="4" w:space="0"/>
              <w:insideH w:val="single" w:sz="4" w:space="0"/>
            </w:tcBorders>
            <w:noWrap/>
            <w:vAlign w:val="center"/>
          </w:tcPr>
          <w:p>
            <w:pPr>
              <w:widowControl/>
              <w:jc w:val="center"/>
              <w:rPr>
                <w:rFonts w:ascii="Times New Roman" w:hAnsi="Times New Roman" w:eastAsia="Times New Roman" w:cs="Times New Roman"/>
                <w:b/>
                <w:bCs/>
                <w:kern w:val="0"/>
                <w:sz w:val="18"/>
                <w:szCs w:val="18"/>
              </w:rPr>
            </w:pPr>
            <w:r>
              <w:rPr>
                <w:rFonts w:hint="eastAsia" w:ascii="等线" w:hAnsi="等线" w:eastAsia="等线" w:cs="宋体"/>
                <w:b/>
                <w:bCs/>
                <w:color w:val="000000"/>
                <w:kern w:val="0"/>
                <w:sz w:val="18"/>
                <w:szCs w:val="18"/>
              </w:rPr>
              <w:t>16岁及以上人口</w:t>
            </w:r>
          </w:p>
        </w:tc>
        <w:tc>
          <w:tcPr>
            <w:tcW w:w="3061" w:type="dxa"/>
            <w:gridSpan w:val="3"/>
            <w:tcBorders>
              <w:bottom w:val="single" w:color="7E7E7E" w:themeColor="text1" w:themeTint="80" w:sz="4" w:space="0"/>
              <w:insideH w:val="single" w:sz="4" w:space="0"/>
            </w:tcBorders>
            <w:noWrap/>
            <w:vAlign w:val="center"/>
          </w:tcPr>
          <w:p>
            <w:pPr>
              <w:widowControl/>
              <w:jc w:val="center"/>
              <w:rPr>
                <w:rFonts w:ascii="Times New Roman" w:hAnsi="Times New Roman" w:eastAsia="Times New Roman" w:cs="Times New Roman"/>
                <w:b/>
                <w:bCs/>
                <w:kern w:val="0"/>
                <w:sz w:val="18"/>
                <w:szCs w:val="18"/>
              </w:rPr>
            </w:pPr>
            <w:r>
              <w:rPr>
                <w:rFonts w:hint="eastAsia" w:ascii="等线" w:hAnsi="等线" w:eastAsia="等线" w:cs="宋体"/>
                <w:b/>
                <w:bCs/>
                <w:color w:val="000000"/>
                <w:kern w:val="0"/>
                <w:sz w:val="18"/>
                <w:szCs w:val="18"/>
              </w:rPr>
              <w:t>构成</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trPr>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Times New Roman" w:hAnsi="Times New Roman" w:eastAsia="Times New Roman" w:cs="Times New Roman"/>
                <w:b/>
                <w:bCs/>
                <w:kern w:val="0"/>
                <w:sz w:val="18"/>
                <w:szCs w:val="18"/>
              </w:rPr>
            </w:pPr>
          </w:p>
        </w:tc>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合计</w:t>
            </w:r>
          </w:p>
        </w:tc>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一产</w:t>
            </w:r>
          </w:p>
        </w:tc>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二产</w:t>
            </w:r>
          </w:p>
        </w:tc>
        <w:tc>
          <w:tcPr>
            <w:tcW w:w="102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三产</w:t>
            </w:r>
          </w:p>
        </w:tc>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一产</w:t>
            </w:r>
          </w:p>
        </w:tc>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二产</w:t>
            </w:r>
          </w:p>
        </w:tc>
        <w:tc>
          <w:tcPr>
            <w:tcW w:w="10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三产</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trPr>
        <w:tc>
          <w:tcPr>
            <w:tcW w:w="1020"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昆明市</w:t>
            </w:r>
          </w:p>
        </w:tc>
        <w:tc>
          <w:tcPr>
            <w:tcW w:w="10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315636</w:t>
            </w:r>
          </w:p>
        </w:tc>
        <w:tc>
          <w:tcPr>
            <w:tcW w:w="10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138597</w:t>
            </w:r>
          </w:p>
        </w:tc>
        <w:tc>
          <w:tcPr>
            <w:tcW w:w="10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50459</w:t>
            </w:r>
          </w:p>
        </w:tc>
        <w:tc>
          <w:tcPr>
            <w:tcW w:w="102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126580</w:t>
            </w:r>
          </w:p>
        </w:tc>
        <w:tc>
          <w:tcPr>
            <w:tcW w:w="10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43.91</w:t>
            </w:r>
          </w:p>
        </w:tc>
        <w:tc>
          <w:tcPr>
            <w:tcW w:w="10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15.99</w:t>
            </w:r>
          </w:p>
        </w:tc>
        <w:tc>
          <w:tcPr>
            <w:tcW w:w="10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40.10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trPr>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五华区</w:t>
            </w:r>
          </w:p>
        </w:tc>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32632</w:t>
            </w:r>
          </w:p>
        </w:tc>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1838</w:t>
            </w:r>
          </w:p>
        </w:tc>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7451</w:t>
            </w:r>
          </w:p>
        </w:tc>
        <w:tc>
          <w:tcPr>
            <w:tcW w:w="102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23343</w:t>
            </w:r>
          </w:p>
        </w:tc>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5.63</w:t>
            </w:r>
          </w:p>
        </w:tc>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22.83</w:t>
            </w:r>
          </w:p>
        </w:tc>
        <w:tc>
          <w:tcPr>
            <w:tcW w:w="10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71.53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trPr>
        <w:tc>
          <w:tcPr>
            <w:tcW w:w="1020"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盘龙区</w:t>
            </w:r>
          </w:p>
        </w:tc>
        <w:tc>
          <w:tcPr>
            <w:tcW w:w="10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33711</w:t>
            </w:r>
          </w:p>
        </w:tc>
        <w:tc>
          <w:tcPr>
            <w:tcW w:w="10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4584</w:t>
            </w:r>
          </w:p>
        </w:tc>
        <w:tc>
          <w:tcPr>
            <w:tcW w:w="10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7152</w:t>
            </w:r>
          </w:p>
        </w:tc>
        <w:tc>
          <w:tcPr>
            <w:tcW w:w="102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21975</w:t>
            </w:r>
          </w:p>
        </w:tc>
        <w:tc>
          <w:tcPr>
            <w:tcW w:w="10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13.60</w:t>
            </w:r>
          </w:p>
        </w:tc>
        <w:tc>
          <w:tcPr>
            <w:tcW w:w="10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21.22</w:t>
            </w:r>
          </w:p>
        </w:tc>
        <w:tc>
          <w:tcPr>
            <w:tcW w:w="10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65.19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trPr>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官渡区</w:t>
            </w:r>
          </w:p>
        </w:tc>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42596</w:t>
            </w:r>
          </w:p>
        </w:tc>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4458</w:t>
            </w:r>
          </w:p>
        </w:tc>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10298</w:t>
            </w:r>
          </w:p>
        </w:tc>
        <w:tc>
          <w:tcPr>
            <w:tcW w:w="102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27840</w:t>
            </w:r>
          </w:p>
        </w:tc>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10.47</w:t>
            </w:r>
          </w:p>
        </w:tc>
        <w:tc>
          <w:tcPr>
            <w:tcW w:w="10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24.18</w:t>
            </w:r>
          </w:p>
        </w:tc>
        <w:tc>
          <w:tcPr>
            <w:tcW w:w="10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65.36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trPr>
        <w:tc>
          <w:tcPr>
            <w:tcW w:w="1020"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西山区</w:t>
            </w:r>
          </w:p>
        </w:tc>
        <w:tc>
          <w:tcPr>
            <w:tcW w:w="10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32253</w:t>
            </w:r>
          </w:p>
        </w:tc>
        <w:tc>
          <w:tcPr>
            <w:tcW w:w="10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2840</w:t>
            </w:r>
          </w:p>
        </w:tc>
        <w:tc>
          <w:tcPr>
            <w:tcW w:w="10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8082</w:t>
            </w:r>
          </w:p>
        </w:tc>
        <w:tc>
          <w:tcPr>
            <w:tcW w:w="102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21331</w:t>
            </w:r>
          </w:p>
        </w:tc>
        <w:tc>
          <w:tcPr>
            <w:tcW w:w="10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8.81</w:t>
            </w:r>
          </w:p>
        </w:tc>
        <w:tc>
          <w:tcPr>
            <w:tcW w:w="10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25.06</w:t>
            </w:r>
          </w:p>
        </w:tc>
        <w:tc>
          <w:tcPr>
            <w:tcW w:w="10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66.14</w:t>
            </w:r>
          </w:p>
        </w:tc>
      </w:tr>
      <w:bookmarkEnd w:id="159"/>
    </w:tbl>
    <w:p>
      <w:pPr>
        <w:spacing w:line="276" w:lineRule="auto"/>
        <w:ind w:firstLine="360" w:firstLineChars="200"/>
        <w:rPr>
          <w:sz w:val="18"/>
          <w:szCs w:val="18"/>
        </w:rPr>
      </w:pPr>
      <w:bookmarkStart w:id="160" w:name="_Hlk36287777"/>
      <w:r>
        <w:rPr>
          <w:rFonts w:hint="eastAsia"/>
          <w:sz w:val="18"/>
          <w:szCs w:val="18"/>
        </w:rPr>
        <w:t>数据来源：</w:t>
      </w:r>
      <w:bookmarkEnd w:id="160"/>
      <w:r>
        <w:rPr>
          <w:rFonts w:hint="eastAsia"/>
          <w:sz w:val="18"/>
          <w:szCs w:val="18"/>
        </w:rPr>
        <w:t>昆明市第六次人口普查办公室《昆明市2</w:t>
      </w:r>
      <w:r>
        <w:rPr>
          <w:sz w:val="18"/>
          <w:szCs w:val="18"/>
        </w:rPr>
        <w:t>010</w:t>
      </w:r>
      <w:r>
        <w:rPr>
          <w:rFonts w:hint="eastAsia"/>
          <w:sz w:val="18"/>
          <w:szCs w:val="18"/>
        </w:rPr>
        <w:t>年人口普查资料》表4</w:t>
      </w:r>
      <w:r>
        <w:rPr>
          <w:sz w:val="18"/>
          <w:szCs w:val="18"/>
        </w:rPr>
        <w:t>-4</w:t>
      </w:r>
      <w:r>
        <w:rPr>
          <w:rFonts w:hint="eastAsia"/>
          <w:sz w:val="18"/>
          <w:szCs w:val="18"/>
        </w:rPr>
        <w:t>，</w:t>
      </w:r>
      <w:r>
        <w:rPr>
          <w:sz w:val="18"/>
          <w:szCs w:val="18"/>
        </w:rPr>
        <w:t xml:space="preserve"> </w:t>
      </w:r>
    </w:p>
    <w:p>
      <w:pPr>
        <w:spacing w:line="276" w:lineRule="auto"/>
        <w:ind w:firstLine="420" w:firstLineChars="200"/>
      </w:pPr>
    </w:p>
    <w:p>
      <w:pPr>
        <w:spacing w:line="276" w:lineRule="auto"/>
        <w:ind w:firstLine="420" w:firstLineChars="200"/>
      </w:pPr>
    </w:p>
    <w:p>
      <w:pPr>
        <w:spacing w:line="276" w:lineRule="auto"/>
        <w:ind w:firstLine="420" w:firstLineChars="200"/>
        <w:jc w:val="center"/>
      </w:pPr>
      <w:r>
        <w:rPr>
          <w:rFonts w:hint="eastAsia"/>
        </w:rPr>
        <w:t>表1</w:t>
      </w:r>
      <w:r>
        <w:t>2-2</w:t>
      </w:r>
      <w:r>
        <w:tab/>
      </w:r>
      <w:r>
        <w:t xml:space="preserve">   2016-2018</w:t>
      </w:r>
      <w:r>
        <w:rPr>
          <w:rFonts w:hint="eastAsia"/>
        </w:rPr>
        <w:t>年西山区就业人口产业结构</w:t>
      </w:r>
      <w:r>
        <w:tab/>
      </w:r>
      <w:r>
        <w:tab/>
      </w:r>
      <w:r>
        <w:tab/>
      </w:r>
      <w:r>
        <w:rPr>
          <w:rFonts w:hint="eastAsia"/>
        </w:rPr>
        <w:t>单位： 人。%</w:t>
      </w:r>
    </w:p>
    <w:tbl>
      <w:tblPr>
        <w:tblStyle w:val="26"/>
        <w:tblW w:w="8163"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0"/>
        <w:gridCol w:w="1020"/>
        <w:gridCol w:w="1020"/>
        <w:gridCol w:w="1020"/>
        <w:gridCol w:w="1022"/>
        <w:gridCol w:w="1020"/>
        <w:gridCol w:w="1020"/>
        <w:gridCol w:w="1021"/>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trPr>
        <w:tc>
          <w:tcPr>
            <w:tcW w:w="1020" w:type="dxa"/>
            <w:tcBorders>
              <w:bottom w:val="single" w:color="7E7E7E" w:themeColor="text1" w:themeTint="80" w:sz="4" w:space="0"/>
              <w:insideH w:val="single" w:sz="4" w:space="0"/>
            </w:tcBorders>
            <w:noWrap/>
          </w:tcPr>
          <w:p>
            <w:pPr>
              <w:widowControl/>
              <w:jc w:val="center"/>
              <w:rPr>
                <w:rFonts w:ascii="宋体" w:hAnsi="宋体" w:eastAsia="宋体" w:cs="宋体"/>
                <w:b/>
                <w:bCs/>
                <w:kern w:val="0"/>
                <w:sz w:val="18"/>
                <w:szCs w:val="18"/>
              </w:rPr>
            </w:pPr>
          </w:p>
        </w:tc>
        <w:tc>
          <w:tcPr>
            <w:tcW w:w="4082" w:type="dxa"/>
            <w:gridSpan w:val="4"/>
            <w:tcBorders>
              <w:bottom w:val="single" w:color="7E7E7E" w:themeColor="text1" w:themeTint="80" w:sz="4" w:space="0"/>
              <w:insideH w:val="single" w:sz="4" w:space="0"/>
            </w:tcBorders>
            <w:noWrap/>
          </w:tcPr>
          <w:p>
            <w:pPr>
              <w:widowControl/>
              <w:jc w:val="center"/>
              <w:rPr>
                <w:rFonts w:ascii="Times New Roman" w:hAnsi="Times New Roman" w:eastAsia="Times New Roman" w:cs="Times New Roman"/>
                <w:b/>
                <w:bCs/>
                <w:kern w:val="0"/>
                <w:sz w:val="18"/>
                <w:szCs w:val="18"/>
              </w:rPr>
            </w:pPr>
            <w:r>
              <w:rPr>
                <w:rFonts w:hint="eastAsia" w:ascii="宋体" w:hAnsi="宋体" w:eastAsia="宋体" w:cs="宋体"/>
                <w:b/>
                <w:bCs/>
                <w:kern w:val="0"/>
                <w:sz w:val="18"/>
                <w:szCs w:val="18"/>
              </w:rPr>
              <w:t>单位从业人员年末人数</w:t>
            </w:r>
          </w:p>
        </w:tc>
        <w:tc>
          <w:tcPr>
            <w:tcW w:w="3061" w:type="dxa"/>
            <w:gridSpan w:val="3"/>
            <w:tcBorders>
              <w:bottom w:val="single" w:color="7E7E7E" w:themeColor="text1" w:themeTint="80" w:sz="4" w:space="0"/>
              <w:insideH w:val="single" w:sz="4" w:space="0"/>
            </w:tcBorders>
            <w:noWrap/>
          </w:tcPr>
          <w:p>
            <w:pPr>
              <w:widowControl/>
              <w:jc w:val="center"/>
              <w:rPr>
                <w:rFonts w:ascii="Times New Roman" w:hAnsi="Times New Roman" w:eastAsia="Times New Roman" w:cs="Times New Roman"/>
                <w:b/>
                <w:bCs/>
                <w:kern w:val="0"/>
                <w:sz w:val="18"/>
                <w:szCs w:val="18"/>
              </w:rPr>
            </w:pPr>
            <w:r>
              <w:rPr>
                <w:rFonts w:hint="eastAsia" w:ascii="等线" w:hAnsi="等线" w:eastAsia="等线" w:cs="宋体"/>
                <w:b/>
                <w:bCs/>
                <w:color w:val="000000"/>
                <w:kern w:val="0"/>
                <w:sz w:val="18"/>
                <w:szCs w:val="18"/>
              </w:rPr>
              <w:t>构成</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trPr>
        <w:tc>
          <w:tcPr>
            <w:tcW w:w="10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Times New Roman" w:hAnsi="Times New Roman" w:eastAsia="Times New Roman" w:cs="Times New Roman"/>
                <w:b/>
                <w:bCs/>
                <w:kern w:val="0"/>
                <w:sz w:val="18"/>
                <w:szCs w:val="18"/>
              </w:rPr>
            </w:pPr>
          </w:p>
        </w:tc>
        <w:tc>
          <w:tcPr>
            <w:tcW w:w="10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合计</w:t>
            </w:r>
          </w:p>
        </w:tc>
        <w:tc>
          <w:tcPr>
            <w:tcW w:w="10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一产</w:t>
            </w:r>
          </w:p>
        </w:tc>
        <w:tc>
          <w:tcPr>
            <w:tcW w:w="10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二产</w:t>
            </w:r>
          </w:p>
        </w:tc>
        <w:tc>
          <w:tcPr>
            <w:tcW w:w="1022"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三产</w:t>
            </w:r>
          </w:p>
        </w:tc>
        <w:tc>
          <w:tcPr>
            <w:tcW w:w="10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一产</w:t>
            </w:r>
          </w:p>
        </w:tc>
        <w:tc>
          <w:tcPr>
            <w:tcW w:w="10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二产</w:t>
            </w:r>
          </w:p>
        </w:tc>
        <w:tc>
          <w:tcPr>
            <w:tcW w:w="1021"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三产</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trPr>
        <w:tc>
          <w:tcPr>
            <w:tcW w:w="1020"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w:t>
            </w:r>
            <w:r>
              <w:rPr>
                <w:rFonts w:ascii="等线" w:hAnsi="等线" w:eastAsia="等线" w:cs="宋体"/>
                <w:b/>
                <w:bCs/>
                <w:color w:val="000000"/>
                <w:kern w:val="0"/>
                <w:sz w:val="18"/>
                <w:szCs w:val="18"/>
              </w:rPr>
              <w:t>016</w:t>
            </w:r>
            <w:r>
              <w:rPr>
                <w:rFonts w:hint="eastAsia" w:ascii="等线" w:hAnsi="等线" w:eastAsia="等线" w:cs="宋体"/>
                <w:b/>
                <w:bCs/>
                <w:color w:val="000000"/>
                <w:kern w:val="0"/>
                <w:sz w:val="18"/>
                <w:szCs w:val="18"/>
              </w:rPr>
              <w:t>年</w:t>
            </w:r>
          </w:p>
        </w:tc>
        <w:tc>
          <w:tcPr>
            <w:tcW w:w="1020" w:type="dxa"/>
            <w:noWrap/>
          </w:tcPr>
          <w:p>
            <w:pPr>
              <w:widowControl/>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46421</w:t>
            </w:r>
          </w:p>
        </w:tc>
        <w:tc>
          <w:tcPr>
            <w:tcW w:w="1020" w:type="dxa"/>
            <w:noWrap/>
          </w:tcPr>
          <w:p>
            <w:pPr>
              <w:widowControl/>
              <w:jc w:val="center"/>
              <w:rPr>
                <w:rFonts w:ascii="Times New Roman" w:hAnsi="Times New Roman" w:cs="Times New Roman"/>
                <w:kern w:val="0"/>
                <w:sz w:val="18"/>
                <w:szCs w:val="18"/>
              </w:rPr>
            </w:pPr>
            <w:r>
              <w:rPr>
                <w:rFonts w:hint="eastAsia" w:ascii="Times New Roman" w:hAnsi="Times New Roman" w:cs="Times New Roman"/>
                <w:kern w:val="0"/>
                <w:sz w:val="18"/>
                <w:szCs w:val="18"/>
              </w:rPr>
              <w:t>4</w:t>
            </w:r>
            <w:r>
              <w:rPr>
                <w:rFonts w:ascii="Times New Roman" w:hAnsi="Times New Roman" w:cs="Times New Roman"/>
                <w:kern w:val="0"/>
                <w:sz w:val="18"/>
                <w:szCs w:val="18"/>
              </w:rPr>
              <w:t>57</w:t>
            </w:r>
          </w:p>
        </w:tc>
        <w:tc>
          <w:tcPr>
            <w:tcW w:w="1020" w:type="dxa"/>
            <w:noWrap/>
          </w:tcPr>
          <w:p>
            <w:pPr>
              <w:widowControl/>
              <w:jc w:val="center"/>
              <w:rPr>
                <w:rFonts w:ascii="Times New Roman" w:hAnsi="Times New Roman" w:cs="Times New Roman"/>
                <w:kern w:val="0"/>
                <w:sz w:val="18"/>
                <w:szCs w:val="18"/>
              </w:rPr>
            </w:pPr>
            <w:r>
              <w:rPr>
                <w:rFonts w:hint="eastAsia" w:ascii="Times New Roman" w:hAnsi="Times New Roman" w:cs="Times New Roman"/>
                <w:kern w:val="0"/>
                <w:sz w:val="18"/>
                <w:szCs w:val="18"/>
              </w:rPr>
              <w:t>5</w:t>
            </w:r>
            <w:r>
              <w:rPr>
                <w:rFonts w:ascii="Times New Roman" w:hAnsi="Times New Roman" w:cs="Times New Roman"/>
                <w:kern w:val="0"/>
                <w:sz w:val="18"/>
                <w:szCs w:val="18"/>
              </w:rPr>
              <w:t>2884</w:t>
            </w:r>
          </w:p>
        </w:tc>
        <w:tc>
          <w:tcPr>
            <w:tcW w:w="1022" w:type="dxa"/>
            <w:noWrap/>
          </w:tcPr>
          <w:p>
            <w:pPr>
              <w:widowControl/>
              <w:jc w:val="center"/>
              <w:rPr>
                <w:rFonts w:ascii="Times New Roman" w:hAnsi="Times New Roman" w:cs="Times New Roman"/>
                <w:kern w:val="0"/>
                <w:sz w:val="18"/>
                <w:szCs w:val="18"/>
              </w:rPr>
            </w:pPr>
            <w:r>
              <w:rPr>
                <w:rFonts w:hint="eastAsia" w:ascii="Times New Roman" w:hAnsi="Times New Roman" w:cs="Times New Roman"/>
                <w:kern w:val="0"/>
                <w:sz w:val="18"/>
                <w:szCs w:val="18"/>
              </w:rPr>
              <w:t>9</w:t>
            </w:r>
            <w:r>
              <w:rPr>
                <w:rFonts w:ascii="Times New Roman" w:hAnsi="Times New Roman" w:cs="Times New Roman"/>
                <w:kern w:val="0"/>
                <w:sz w:val="18"/>
                <w:szCs w:val="18"/>
              </w:rPr>
              <w:t>3080</w:t>
            </w:r>
          </w:p>
        </w:tc>
        <w:tc>
          <w:tcPr>
            <w:tcW w:w="1020" w:type="dxa"/>
            <w:noWrap/>
          </w:tcPr>
          <w:p>
            <w:pPr>
              <w:widowControl/>
              <w:jc w:val="center"/>
              <w:rPr>
                <w:rFonts w:ascii="Times New Roman" w:hAnsi="Times New Roman" w:eastAsia="Times New Roman" w:cs="Times New Roman"/>
                <w:kern w:val="0"/>
                <w:sz w:val="18"/>
                <w:szCs w:val="18"/>
              </w:rPr>
            </w:pPr>
            <w:r>
              <w:rPr>
                <w:rFonts w:hint="eastAsia" w:ascii="等线" w:hAnsi="等线" w:eastAsia="等线"/>
                <w:color w:val="000000"/>
                <w:sz w:val="18"/>
                <w:szCs w:val="18"/>
              </w:rPr>
              <w:t>0.31</w:t>
            </w:r>
          </w:p>
        </w:tc>
        <w:tc>
          <w:tcPr>
            <w:tcW w:w="1020" w:type="dxa"/>
            <w:noWrap/>
          </w:tcPr>
          <w:p>
            <w:pPr>
              <w:widowControl/>
              <w:jc w:val="center"/>
              <w:rPr>
                <w:rFonts w:ascii="Times New Roman" w:hAnsi="Times New Roman" w:eastAsia="Times New Roman" w:cs="Times New Roman"/>
                <w:kern w:val="0"/>
                <w:sz w:val="18"/>
                <w:szCs w:val="18"/>
              </w:rPr>
            </w:pPr>
            <w:r>
              <w:rPr>
                <w:rFonts w:hint="eastAsia" w:ascii="等线" w:hAnsi="等线" w:eastAsia="等线"/>
                <w:color w:val="000000"/>
                <w:sz w:val="18"/>
                <w:szCs w:val="18"/>
              </w:rPr>
              <w:t>36.12</w:t>
            </w:r>
          </w:p>
        </w:tc>
        <w:tc>
          <w:tcPr>
            <w:tcW w:w="1021" w:type="dxa"/>
            <w:noWrap/>
          </w:tcPr>
          <w:p>
            <w:pPr>
              <w:widowControl/>
              <w:jc w:val="center"/>
              <w:rPr>
                <w:rFonts w:ascii="Times New Roman" w:hAnsi="Times New Roman" w:eastAsia="Times New Roman" w:cs="Times New Roman"/>
                <w:kern w:val="0"/>
                <w:sz w:val="18"/>
                <w:szCs w:val="18"/>
              </w:rPr>
            </w:pPr>
            <w:r>
              <w:rPr>
                <w:rFonts w:hint="eastAsia" w:ascii="等线" w:hAnsi="等线" w:eastAsia="等线"/>
                <w:color w:val="000000"/>
                <w:sz w:val="18"/>
                <w:szCs w:val="18"/>
              </w:rPr>
              <w:t>63.57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trPr>
        <w:tc>
          <w:tcPr>
            <w:tcW w:w="10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w:t>
            </w:r>
            <w:r>
              <w:rPr>
                <w:rFonts w:ascii="等线" w:hAnsi="等线" w:eastAsia="等线" w:cs="宋体"/>
                <w:b/>
                <w:bCs/>
                <w:color w:val="000000"/>
                <w:kern w:val="0"/>
                <w:sz w:val="18"/>
                <w:szCs w:val="18"/>
              </w:rPr>
              <w:t>017</w:t>
            </w:r>
            <w:r>
              <w:rPr>
                <w:rFonts w:hint="eastAsia" w:ascii="等线" w:hAnsi="等线" w:eastAsia="等线" w:cs="宋体"/>
                <w:b/>
                <w:bCs/>
                <w:color w:val="000000"/>
                <w:kern w:val="0"/>
                <w:sz w:val="18"/>
                <w:szCs w:val="18"/>
              </w:rPr>
              <w:t>年</w:t>
            </w:r>
          </w:p>
        </w:tc>
        <w:tc>
          <w:tcPr>
            <w:tcW w:w="10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45512</w:t>
            </w:r>
          </w:p>
        </w:tc>
        <w:tc>
          <w:tcPr>
            <w:tcW w:w="10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Times New Roman" w:hAnsi="Times New Roman" w:cs="Times New Roman"/>
                <w:kern w:val="0"/>
                <w:sz w:val="18"/>
                <w:szCs w:val="18"/>
              </w:rPr>
            </w:pPr>
            <w:r>
              <w:rPr>
                <w:rFonts w:hint="eastAsia" w:ascii="Times New Roman" w:hAnsi="Times New Roman" w:cs="Times New Roman"/>
                <w:kern w:val="0"/>
                <w:sz w:val="18"/>
                <w:szCs w:val="18"/>
              </w:rPr>
              <w:t>5</w:t>
            </w:r>
            <w:r>
              <w:rPr>
                <w:rFonts w:ascii="Times New Roman" w:hAnsi="Times New Roman" w:cs="Times New Roman"/>
                <w:kern w:val="0"/>
                <w:sz w:val="18"/>
                <w:szCs w:val="18"/>
              </w:rPr>
              <w:t>45</w:t>
            </w:r>
          </w:p>
        </w:tc>
        <w:tc>
          <w:tcPr>
            <w:tcW w:w="10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Times New Roman" w:hAnsi="Times New Roman" w:cs="Times New Roman"/>
                <w:kern w:val="0"/>
                <w:sz w:val="18"/>
                <w:szCs w:val="18"/>
              </w:rPr>
            </w:pPr>
            <w:r>
              <w:rPr>
                <w:rFonts w:hint="eastAsia" w:ascii="Times New Roman" w:hAnsi="Times New Roman" w:cs="Times New Roman"/>
                <w:kern w:val="0"/>
                <w:sz w:val="18"/>
                <w:szCs w:val="18"/>
              </w:rPr>
              <w:t>4</w:t>
            </w:r>
            <w:r>
              <w:rPr>
                <w:rFonts w:ascii="Times New Roman" w:hAnsi="Times New Roman" w:cs="Times New Roman"/>
                <w:kern w:val="0"/>
                <w:sz w:val="18"/>
                <w:szCs w:val="18"/>
              </w:rPr>
              <w:t>9374</w:t>
            </w:r>
          </w:p>
        </w:tc>
        <w:tc>
          <w:tcPr>
            <w:tcW w:w="1022"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Times New Roman" w:hAnsi="Times New Roman" w:cs="Times New Roman"/>
                <w:kern w:val="0"/>
                <w:sz w:val="18"/>
                <w:szCs w:val="18"/>
              </w:rPr>
            </w:pPr>
            <w:r>
              <w:rPr>
                <w:rFonts w:hint="eastAsia" w:ascii="Times New Roman" w:hAnsi="Times New Roman" w:cs="Times New Roman"/>
                <w:kern w:val="0"/>
                <w:sz w:val="18"/>
                <w:szCs w:val="18"/>
              </w:rPr>
              <w:t>9</w:t>
            </w:r>
            <w:r>
              <w:rPr>
                <w:rFonts w:ascii="Times New Roman" w:hAnsi="Times New Roman" w:cs="Times New Roman"/>
                <w:kern w:val="0"/>
                <w:sz w:val="18"/>
                <w:szCs w:val="18"/>
              </w:rPr>
              <w:t>5593</w:t>
            </w:r>
          </w:p>
        </w:tc>
        <w:tc>
          <w:tcPr>
            <w:tcW w:w="10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Times New Roman" w:hAnsi="Times New Roman" w:eastAsia="Times New Roman" w:cs="Times New Roman"/>
                <w:kern w:val="0"/>
                <w:sz w:val="18"/>
                <w:szCs w:val="18"/>
              </w:rPr>
            </w:pPr>
            <w:r>
              <w:rPr>
                <w:rFonts w:hint="eastAsia" w:ascii="等线" w:hAnsi="等线" w:eastAsia="等线"/>
                <w:color w:val="000000"/>
                <w:sz w:val="18"/>
                <w:szCs w:val="18"/>
              </w:rPr>
              <w:t>0.37</w:t>
            </w:r>
          </w:p>
        </w:tc>
        <w:tc>
          <w:tcPr>
            <w:tcW w:w="10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Times New Roman" w:hAnsi="Times New Roman" w:eastAsia="Times New Roman" w:cs="Times New Roman"/>
                <w:kern w:val="0"/>
                <w:sz w:val="18"/>
                <w:szCs w:val="18"/>
              </w:rPr>
            </w:pPr>
            <w:r>
              <w:rPr>
                <w:rFonts w:hint="eastAsia" w:ascii="等线" w:hAnsi="等线" w:eastAsia="等线"/>
                <w:color w:val="000000"/>
                <w:sz w:val="18"/>
                <w:szCs w:val="18"/>
              </w:rPr>
              <w:t>33.93</w:t>
            </w:r>
          </w:p>
        </w:tc>
        <w:tc>
          <w:tcPr>
            <w:tcW w:w="1021"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Times New Roman" w:hAnsi="Times New Roman" w:eastAsia="Times New Roman" w:cs="Times New Roman"/>
                <w:kern w:val="0"/>
                <w:sz w:val="18"/>
                <w:szCs w:val="18"/>
              </w:rPr>
            </w:pPr>
            <w:r>
              <w:rPr>
                <w:rFonts w:hint="eastAsia" w:ascii="等线" w:hAnsi="等线" w:eastAsia="等线"/>
                <w:color w:val="000000"/>
                <w:sz w:val="18"/>
                <w:szCs w:val="18"/>
              </w:rPr>
              <w:t>65.69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trPr>
        <w:tc>
          <w:tcPr>
            <w:tcW w:w="1020"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2018年</w:t>
            </w:r>
          </w:p>
        </w:tc>
        <w:tc>
          <w:tcPr>
            <w:tcW w:w="10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133354</w:t>
            </w:r>
          </w:p>
        </w:tc>
        <w:tc>
          <w:tcPr>
            <w:tcW w:w="10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515</w:t>
            </w:r>
          </w:p>
        </w:tc>
        <w:tc>
          <w:tcPr>
            <w:tcW w:w="10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36763</w:t>
            </w:r>
          </w:p>
        </w:tc>
        <w:tc>
          <w:tcPr>
            <w:tcW w:w="1022"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96076</w:t>
            </w:r>
          </w:p>
        </w:tc>
        <w:tc>
          <w:tcPr>
            <w:tcW w:w="10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0.39</w:t>
            </w:r>
          </w:p>
        </w:tc>
        <w:tc>
          <w:tcPr>
            <w:tcW w:w="10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27.57</w:t>
            </w:r>
          </w:p>
        </w:tc>
        <w:tc>
          <w:tcPr>
            <w:tcW w:w="1021"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72.05</w:t>
            </w:r>
          </w:p>
        </w:tc>
      </w:tr>
    </w:tbl>
    <w:p>
      <w:pPr>
        <w:spacing w:line="276" w:lineRule="auto"/>
        <w:ind w:firstLine="360" w:firstLineChars="200"/>
        <w:rPr>
          <w:sz w:val="18"/>
          <w:szCs w:val="18"/>
        </w:rPr>
      </w:pPr>
      <w:r>
        <w:rPr>
          <w:rFonts w:hint="eastAsia"/>
          <w:sz w:val="18"/>
          <w:szCs w:val="18"/>
        </w:rPr>
        <w:t>数据来源：《西山区统计年鉴》表1</w:t>
      </w:r>
      <w:r>
        <w:rPr>
          <w:sz w:val="18"/>
          <w:szCs w:val="18"/>
        </w:rPr>
        <w:t>2</w:t>
      </w:r>
      <w:r>
        <w:rPr>
          <w:rFonts w:hint="eastAsia"/>
          <w:sz w:val="18"/>
          <w:szCs w:val="18"/>
        </w:rPr>
        <w:t>（按国民经济行业分组），第2</w:t>
      </w:r>
      <w:r>
        <w:rPr>
          <w:sz w:val="18"/>
          <w:szCs w:val="18"/>
        </w:rPr>
        <w:t>33</w:t>
      </w:r>
      <w:r>
        <w:rPr>
          <w:rFonts w:hint="eastAsia"/>
          <w:sz w:val="18"/>
          <w:szCs w:val="18"/>
        </w:rPr>
        <w:t>页。</w:t>
      </w:r>
    </w:p>
    <w:p>
      <w:pPr>
        <w:spacing w:line="276" w:lineRule="auto"/>
        <w:ind w:firstLine="420" w:firstLineChars="200"/>
      </w:pPr>
    </w:p>
    <w:p>
      <w:pPr>
        <w:spacing w:line="276" w:lineRule="auto"/>
        <w:ind w:firstLine="420" w:firstLineChars="200"/>
      </w:pPr>
    </w:p>
    <w:p>
      <w:pPr>
        <w:spacing w:line="276" w:lineRule="auto"/>
        <w:ind w:firstLine="420" w:firstLineChars="200"/>
      </w:pPr>
      <w:r>
        <w:rPr>
          <w:szCs w:val="21"/>
        </w:rPr>
        <w:tab/>
      </w:r>
      <w:r>
        <w:rPr>
          <w:rFonts w:hint="eastAsia"/>
          <w:szCs w:val="21"/>
        </w:rPr>
        <w:t>表1</w:t>
      </w:r>
      <w:r>
        <w:rPr>
          <w:szCs w:val="21"/>
        </w:rPr>
        <w:t xml:space="preserve">3     </w:t>
      </w:r>
      <w:r>
        <w:rPr>
          <w:rFonts w:ascii="等线" w:hAnsi="等线" w:cs="Times New Roman"/>
          <w:color w:val="000000" w:themeColor="text1"/>
          <w:szCs w:val="21"/>
          <w14:textFill>
            <w14:solidFill>
              <w14:schemeClr w14:val="tx1"/>
            </w14:solidFill>
          </w14:textFill>
        </w:rPr>
        <w:t>2016-2025年西山区常住人口增长方案预设</w:t>
      </w:r>
      <w:r>
        <w:tab/>
      </w:r>
      <w:r>
        <w:tab/>
      </w:r>
      <w:r>
        <w:rPr>
          <w:rFonts w:hint="eastAsia"/>
        </w:rPr>
        <w:t xml:space="preserve">单位 </w:t>
      </w:r>
      <w:r>
        <w:t xml:space="preserve">  </w:t>
      </w:r>
      <w:r>
        <w:rPr>
          <w:rFonts w:hint="eastAsia"/>
        </w:rPr>
        <w:t>人</w:t>
      </w:r>
    </w:p>
    <w:tbl>
      <w:tblPr>
        <w:tblStyle w:val="13"/>
        <w:tblW w:w="8736" w:type="dxa"/>
        <w:tblInd w:w="0" w:type="dxa"/>
        <w:tblLayout w:type="fixed"/>
        <w:tblCellMar>
          <w:top w:w="0" w:type="dxa"/>
          <w:left w:w="0" w:type="dxa"/>
          <w:bottom w:w="0" w:type="dxa"/>
          <w:right w:w="0" w:type="dxa"/>
        </w:tblCellMar>
      </w:tblPr>
      <w:tblGrid>
        <w:gridCol w:w="1092"/>
        <w:gridCol w:w="1092"/>
        <w:gridCol w:w="1092"/>
        <w:gridCol w:w="1092"/>
        <w:gridCol w:w="1092"/>
        <w:gridCol w:w="1092"/>
        <w:gridCol w:w="1092"/>
        <w:gridCol w:w="1092"/>
      </w:tblGrid>
      <w:tr>
        <w:tblPrEx>
          <w:tblLayout w:type="fixed"/>
          <w:tblCellMar>
            <w:top w:w="0" w:type="dxa"/>
            <w:left w:w="0" w:type="dxa"/>
            <w:bottom w:w="0" w:type="dxa"/>
            <w:right w:w="0" w:type="dxa"/>
          </w:tblCellMar>
        </w:tblPrEx>
        <w:trPr>
          <w:trHeight w:val="460" w:hRule="atLeast"/>
        </w:trPr>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0" w:firstLineChars="0"/>
              <w:jc w:val="center"/>
              <w:rPr>
                <w:b/>
                <w:bCs/>
                <w:sz w:val="18"/>
                <w:szCs w:val="18"/>
              </w:rPr>
            </w:pPr>
            <w:r>
              <w:rPr>
                <w:rFonts w:hint="eastAsia"/>
                <w:b/>
                <w:bCs/>
                <w:sz w:val="18"/>
                <w:szCs w:val="18"/>
              </w:rPr>
              <w:t>基期人口</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jc w:val="center"/>
              <w:rPr>
                <w:b/>
                <w:bCs/>
                <w:sz w:val="18"/>
                <w:szCs w:val="18"/>
              </w:rPr>
            </w:pPr>
            <w:r>
              <w:rPr>
                <w:b/>
                <w:bCs/>
                <w:sz w:val="18"/>
                <w:szCs w:val="18"/>
              </w:rPr>
              <w:t>年</w:t>
            </w:r>
            <w:r>
              <w:rPr>
                <w:rFonts w:hint="eastAsia"/>
                <w:b/>
                <w:bCs/>
                <w:sz w:val="18"/>
                <w:szCs w:val="18"/>
              </w:rPr>
              <w:t>均</w:t>
            </w:r>
            <w:r>
              <w:rPr>
                <w:b/>
                <w:bCs/>
                <w:sz w:val="18"/>
                <w:szCs w:val="18"/>
              </w:rPr>
              <w:t>净增</w:t>
            </w:r>
          </w:p>
          <w:p>
            <w:pPr>
              <w:spacing w:line="276" w:lineRule="auto"/>
              <w:jc w:val="center"/>
              <w:rPr>
                <w:b/>
                <w:bCs/>
                <w:sz w:val="18"/>
                <w:szCs w:val="18"/>
              </w:rPr>
            </w:pPr>
            <w:r>
              <w:rPr>
                <w:rFonts w:hint="eastAsia"/>
                <w:b/>
                <w:bCs/>
                <w:sz w:val="18"/>
                <w:szCs w:val="18"/>
              </w:rPr>
              <w:t>人口预设</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b/>
                <w:bCs/>
                <w:sz w:val="18"/>
                <w:szCs w:val="18"/>
              </w:rPr>
            </w:pPr>
            <w:r>
              <w:rPr>
                <w:b/>
                <w:bCs/>
                <w:sz w:val="18"/>
                <w:szCs w:val="18"/>
              </w:rPr>
              <w:t>2021年</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b/>
                <w:bCs/>
                <w:sz w:val="18"/>
                <w:szCs w:val="18"/>
              </w:rPr>
            </w:pPr>
            <w:r>
              <w:rPr>
                <w:b/>
                <w:bCs/>
                <w:sz w:val="18"/>
                <w:szCs w:val="18"/>
              </w:rPr>
              <w:t>2022年</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b/>
                <w:bCs/>
                <w:sz w:val="18"/>
                <w:szCs w:val="18"/>
              </w:rPr>
            </w:pPr>
            <w:r>
              <w:rPr>
                <w:b/>
                <w:bCs/>
                <w:sz w:val="18"/>
                <w:szCs w:val="18"/>
              </w:rPr>
              <w:t>2023年</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b/>
                <w:bCs/>
                <w:sz w:val="18"/>
                <w:szCs w:val="18"/>
              </w:rPr>
            </w:pPr>
            <w:r>
              <w:rPr>
                <w:b/>
                <w:bCs/>
                <w:sz w:val="18"/>
                <w:szCs w:val="18"/>
              </w:rPr>
              <w:t>2024年</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b/>
                <w:bCs/>
                <w:sz w:val="18"/>
                <w:szCs w:val="18"/>
              </w:rPr>
            </w:pPr>
            <w:r>
              <w:rPr>
                <w:b/>
                <w:bCs/>
                <w:sz w:val="18"/>
                <w:szCs w:val="18"/>
              </w:rPr>
              <w:t>2025年</w:t>
            </w:r>
          </w:p>
        </w:tc>
      </w:tr>
      <w:tr>
        <w:tblPrEx>
          <w:tblLayout w:type="fixed"/>
          <w:tblCellMar>
            <w:top w:w="0" w:type="dxa"/>
            <w:left w:w="0" w:type="dxa"/>
            <w:bottom w:w="0" w:type="dxa"/>
            <w:right w:w="0" w:type="dxa"/>
          </w:tblCellMar>
        </w:tblPrEx>
        <w:trPr>
          <w:trHeight w:val="318" w:hRule="atLeast"/>
        </w:trPr>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b/>
                <w:bCs/>
                <w:sz w:val="18"/>
                <w:szCs w:val="18"/>
              </w:rPr>
              <w:t>高方案</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964246</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20000</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984246</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1004246</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1024246</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1044246</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1064246</w:t>
            </w:r>
          </w:p>
        </w:tc>
      </w:tr>
      <w:tr>
        <w:tblPrEx>
          <w:tblLayout w:type="fixed"/>
          <w:tblCellMar>
            <w:top w:w="0" w:type="dxa"/>
            <w:left w:w="0" w:type="dxa"/>
            <w:bottom w:w="0" w:type="dxa"/>
            <w:right w:w="0" w:type="dxa"/>
          </w:tblCellMar>
        </w:tblPrEx>
        <w:trPr>
          <w:trHeight w:val="352" w:hRule="atLeast"/>
        </w:trPr>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b/>
                <w:bCs/>
                <w:sz w:val="18"/>
                <w:szCs w:val="18"/>
              </w:rPr>
              <w:t>中方案</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964246</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15000</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979246</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994246</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1009246</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1024246</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1039246</w:t>
            </w:r>
          </w:p>
        </w:tc>
      </w:tr>
      <w:tr>
        <w:tblPrEx>
          <w:tblLayout w:type="fixed"/>
          <w:tblCellMar>
            <w:top w:w="0" w:type="dxa"/>
            <w:left w:w="0" w:type="dxa"/>
            <w:bottom w:w="0" w:type="dxa"/>
            <w:right w:w="0" w:type="dxa"/>
          </w:tblCellMar>
        </w:tblPrEx>
        <w:trPr>
          <w:trHeight w:val="318" w:hRule="atLeast"/>
        </w:trPr>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b/>
                <w:bCs/>
                <w:sz w:val="18"/>
                <w:szCs w:val="18"/>
              </w:rPr>
              <w:t>低方案</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964246</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10000</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974246</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984246</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994246</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1004246</w:t>
            </w:r>
          </w:p>
        </w:tc>
        <w:tc>
          <w:tcPr>
            <w:tcW w:w="109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sz w:val="18"/>
                <w:szCs w:val="18"/>
              </w:rPr>
              <w:t>1014246</w:t>
            </w:r>
          </w:p>
        </w:tc>
      </w:tr>
    </w:tbl>
    <w:p>
      <w:pPr>
        <w:spacing w:line="276" w:lineRule="auto"/>
        <w:ind w:firstLine="360" w:firstLineChars="200"/>
        <w:rPr>
          <w:sz w:val="18"/>
          <w:szCs w:val="18"/>
        </w:rPr>
      </w:pPr>
      <w:r>
        <w:rPr>
          <w:rFonts w:hint="eastAsia"/>
          <w:sz w:val="18"/>
          <w:szCs w:val="18"/>
        </w:rPr>
        <w:t>注：“基期人口”是</w:t>
      </w:r>
      <w:r>
        <w:rPr>
          <w:sz w:val="18"/>
          <w:szCs w:val="18"/>
        </w:rPr>
        <w:t>2020年底人口数，根据2020年普查人口数，追加11-12两个月的净增人口数得到，</w:t>
      </w:r>
      <w:r>
        <w:rPr>
          <w:rFonts w:hint="eastAsia"/>
          <w:sz w:val="18"/>
          <w:szCs w:val="18"/>
        </w:rPr>
        <w:t>即</w:t>
      </w:r>
      <w:r>
        <w:rPr>
          <w:sz w:val="18"/>
          <w:szCs w:val="18"/>
        </w:rPr>
        <w:t>960746+3500=964246。</w:t>
      </w:r>
    </w:p>
    <w:p>
      <w:pPr>
        <w:spacing w:line="276" w:lineRule="auto"/>
        <w:ind w:firstLine="360" w:firstLineChars="200"/>
        <w:rPr>
          <w:sz w:val="18"/>
          <w:szCs w:val="18"/>
        </w:rPr>
      </w:pPr>
      <w:r>
        <w:rPr>
          <w:rFonts w:hint="eastAsia"/>
          <w:sz w:val="18"/>
          <w:szCs w:val="18"/>
        </w:rPr>
        <w:t>预设依据：鉴于全国人口增长趋于减缓的大背景，“十四五”时期西山区人口</w:t>
      </w:r>
      <w:bookmarkStart w:id="161" w:name="_Hlk87175464"/>
      <w:r>
        <w:rPr>
          <w:rFonts w:hint="eastAsia"/>
          <w:sz w:val="18"/>
          <w:szCs w:val="18"/>
        </w:rPr>
        <w:t>增长</w:t>
      </w:r>
      <w:bookmarkEnd w:id="161"/>
      <w:r>
        <w:rPr>
          <w:rFonts w:hint="eastAsia"/>
          <w:sz w:val="18"/>
          <w:szCs w:val="18"/>
        </w:rPr>
        <w:t>不可能像过去一样，仍然保持年均2</w:t>
      </w:r>
      <w:r>
        <w:rPr>
          <w:sz w:val="18"/>
          <w:szCs w:val="18"/>
        </w:rPr>
        <w:t>.1</w:t>
      </w:r>
      <w:r>
        <w:rPr>
          <w:rFonts w:hint="eastAsia"/>
          <w:sz w:val="18"/>
          <w:szCs w:val="18"/>
        </w:rPr>
        <w:t>万的增长规模，但也不会低于年均1万的净增人口规模，因此预设年均净增1万、1</w:t>
      </w:r>
      <w:r>
        <w:rPr>
          <w:sz w:val="18"/>
          <w:szCs w:val="18"/>
        </w:rPr>
        <w:t>.5</w:t>
      </w:r>
      <w:r>
        <w:rPr>
          <w:rFonts w:hint="eastAsia"/>
          <w:sz w:val="18"/>
          <w:szCs w:val="18"/>
        </w:rPr>
        <w:t>万和</w:t>
      </w:r>
      <w:r>
        <w:rPr>
          <w:sz w:val="18"/>
          <w:szCs w:val="18"/>
        </w:rPr>
        <w:t>2</w:t>
      </w:r>
      <w:r>
        <w:rPr>
          <w:rFonts w:hint="eastAsia"/>
          <w:sz w:val="18"/>
          <w:szCs w:val="18"/>
        </w:rPr>
        <w:t>万三个测算方案。</w:t>
      </w:r>
    </w:p>
    <w:p>
      <w:pPr>
        <w:spacing w:line="276" w:lineRule="auto"/>
        <w:ind w:firstLine="420" w:firstLineChars="200"/>
      </w:pPr>
    </w:p>
    <w:p>
      <w:pPr>
        <w:spacing w:line="276" w:lineRule="auto"/>
        <w:ind w:firstLine="420" w:firstLineChars="200"/>
        <w:jc w:val="center"/>
      </w:pPr>
      <w:r>
        <w:rPr>
          <w:rFonts w:hint="eastAsia"/>
        </w:rPr>
        <w:t>表1</w:t>
      </w:r>
      <w:r>
        <w:t>4</w:t>
      </w:r>
      <w:r>
        <w:tab/>
      </w:r>
      <w:r>
        <w:tab/>
      </w:r>
      <w:r>
        <w:rPr>
          <w:rFonts w:hint="eastAsia"/>
        </w:rPr>
        <w:t>根据不同人口占比预设推算的西山区户籍人口数</w:t>
      </w:r>
      <w:r>
        <w:tab/>
      </w:r>
      <w:r>
        <w:tab/>
      </w:r>
      <w:r>
        <w:rPr>
          <w:rFonts w:hint="eastAsia"/>
        </w:rPr>
        <w:t xml:space="preserve">单位 </w:t>
      </w:r>
      <w:r>
        <w:t xml:space="preserve"> </w:t>
      </w:r>
      <w:r>
        <w:rPr>
          <w:rFonts w:hint="eastAsia"/>
        </w:rPr>
        <w:t>人，%</w:t>
      </w:r>
    </w:p>
    <w:tbl>
      <w:tblPr>
        <w:tblStyle w:val="13"/>
        <w:tblW w:w="8938" w:type="dxa"/>
        <w:tblInd w:w="-294" w:type="dxa"/>
        <w:tblLayout w:type="fixed"/>
        <w:tblCellMar>
          <w:top w:w="0" w:type="dxa"/>
          <w:left w:w="0" w:type="dxa"/>
          <w:bottom w:w="0" w:type="dxa"/>
          <w:right w:w="0" w:type="dxa"/>
        </w:tblCellMar>
      </w:tblPr>
      <w:tblGrid>
        <w:gridCol w:w="1546"/>
        <w:gridCol w:w="1232"/>
        <w:gridCol w:w="1232"/>
        <w:gridCol w:w="1232"/>
        <w:gridCol w:w="1232"/>
        <w:gridCol w:w="1232"/>
        <w:gridCol w:w="1232"/>
      </w:tblGrid>
      <w:tr>
        <w:tblPrEx>
          <w:tblLayout w:type="fixed"/>
          <w:tblCellMar>
            <w:top w:w="0" w:type="dxa"/>
            <w:left w:w="0" w:type="dxa"/>
            <w:bottom w:w="0" w:type="dxa"/>
            <w:right w:w="0" w:type="dxa"/>
          </w:tblCellMar>
        </w:tblPrEx>
        <w:trPr>
          <w:trHeight w:val="477" w:hRule="atLeast"/>
        </w:trPr>
        <w:tc>
          <w:tcPr>
            <w:tcW w:w="1546"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p>
        </w:tc>
        <w:tc>
          <w:tcPr>
            <w:tcW w:w="1232" w:type="dxa"/>
            <w:tcBorders>
              <w:top w:val="single" w:color="5B9BD5" w:sz="8" w:space="0"/>
              <w:left w:val="single" w:color="5B9BD5" w:sz="8" w:space="0"/>
              <w:bottom w:val="single" w:color="5B9BD5" w:sz="8" w:space="0"/>
              <w:right w:val="single" w:color="5B9BD5" w:sz="8" w:space="0"/>
            </w:tcBorders>
            <w:shd w:val="clear" w:color="auto" w:fill="EAEFF7"/>
          </w:tcPr>
          <w:p>
            <w:pPr>
              <w:spacing w:line="276" w:lineRule="auto"/>
              <w:jc w:val="center"/>
              <w:rPr>
                <w:b/>
                <w:bCs/>
                <w:sz w:val="18"/>
                <w:szCs w:val="18"/>
              </w:rPr>
            </w:pPr>
            <w:r>
              <w:rPr>
                <w:rFonts w:hint="eastAsia"/>
                <w:b/>
                <w:bCs/>
                <w:sz w:val="18"/>
                <w:szCs w:val="18"/>
              </w:rPr>
              <w:t>基期人口</w:t>
            </w:r>
          </w:p>
        </w:tc>
        <w:tc>
          <w:tcPr>
            <w:tcW w:w="1232" w:type="dxa"/>
            <w:tcBorders>
              <w:top w:val="single" w:color="5B9BD5" w:sz="8" w:space="0"/>
              <w:left w:val="single" w:color="5B9BD5" w:sz="8" w:space="0"/>
              <w:bottom w:val="single" w:color="5B9BD5" w:sz="8" w:space="0"/>
              <w:right w:val="single" w:color="5B9BD5" w:sz="8" w:space="0"/>
            </w:tcBorders>
            <w:shd w:val="clear" w:color="auto" w:fill="EAEFF7"/>
            <w:vAlign w:val="center"/>
          </w:tcPr>
          <w:p>
            <w:pPr>
              <w:spacing w:line="276" w:lineRule="auto"/>
              <w:ind w:firstLine="360" w:firstLineChars="200"/>
              <w:jc w:val="center"/>
              <w:rPr>
                <w:b/>
                <w:bCs/>
                <w:sz w:val="18"/>
                <w:szCs w:val="18"/>
              </w:rPr>
            </w:pPr>
            <w:r>
              <w:rPr>
                <w:rFonts w:hint="eastAsia"/>
                <w:b/>
                <w:bCs/>
                <w:sz w:val="18"/>
                <w:szCs w:val="18"/>
              </w:rPr>
              <w:t>2021</w:t>
            </w:r>
            <w:r>
              <w:rPr>
                <w:b/>
                <w:bCs/>
                <w:sz w:val="18"/>
                <w:szCs w:val="18"/>
              </w:rPr>
              <w:t>年</w:t>
            </w:r>
          </w:p>
        </w:tc>
        <w:tc>
          <w:tcPr>
            <w:tcW w:w="123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rFonts w:hint="eastAsia"/>
                <w:b/>
                <w:bCs/>
                <w:sz w:val="18"/>
                <w:szCs w:val="18"/>
              </w:rPr>
              <w:t>2022</w:t>
            </w:r>
            <w:r>
              <w:rPr>
                <w:b/>
                <w:bCs/>
                <w:sz w:val="18"/>
                <w:szCs w:val="18"/>
              </w:rPr>
              <w:t>年</w:t>
            </w:r>
          </w:p>
        </w:tc>
        <w:tc>
          <w:tcPr>
            <w:tcW w:w="123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rFonts w:hint="eastAsia"/>
                <w:b/>
                <w:bCs/>
                <w:sz w:val="18"/>
                <w:szCs w:val="18"/>
              </w:rPr>
              <w:t>2023</w:t>
            </w:r>
            <w:r>
              <w:rPr>
                <w:b/>
                <w:bCs/>
                <w:sz w:val="18"/>
                <w:szCs w:val="18"/>
              </w:rPr>
              <w:t>年</w:t>
            </w:r>
          </w:p>
        </w:tc>
        <w:tc>
          <w:tcPr>
            <w:tcW w:w="123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rFonts w:hint="eastAsia"/>
                <w:b/>
                <w:bCs/>
                <w:sz w:val="18"/>
                <w:szCs w:val="18"/>
              </w:rPr>
              <w:t>2024</w:t>
            </w:r>
            <w:r>
              <w:rPr>
                <w:b/>
                <w:bCs/>
                <w:sz w:val="18"/>
                <w:szCs w:val="18"/>
              </w:rPr>
              <w:t>年</w:t>
            </w:r>
          </w:p>
        </w:tc>
        <w:tc>
          <w:tcPr>
            <w:tcW w:w="123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jc w:val="center"/>
              <w:rPr>
                <w:sz w:val="18"/>
                <w:szCs w:val="18"/>
              </w:rPr>
            </w:pPr>
            <w:r>
              <w:rPr>
                <w:rFonts w:hint="eastAsia"/>
                <w:b/>
                <w:bCs/>
                <w:sz w:val="18"/>
                <w:szCs w:val="18"/>
              </w:rPr>
              <w:t>2025</w:t>
            </w:r>
            <w:r>
              <w:rPr>
                <w:b/>
                <w:bCs/>
                <w:sz w:val="18"/>
                <w:szCs w:val="18"/>
              </w:rPr>
              <w:t>年</w:t>
            </w:r>
          </w:p>
        </w:tc>
      </w:tr>
      <w:tr>
        <w:tblPrEx>
          <w:tblLayout w:type="fixed"/>
          <w:tblCellMar>
            <w:top w:w="0" w:type="dxa"/>
            <w:left w:w="0" w:type="dxa"/>
            <w:bottom w:w="0" w:type="dxa"/>
            <w:right w:w="0" w:type="dxa"/>
          </w:tblCellMar>
        </w:tblPrEx>
        <w:trPr>
          <w:trHeight w:val="633" w:hRule="atLeast"/>
        </w:trPr>
        <w:tc>
          <w:tcPr>
            <w:tcW w:w="1546"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jc w:val="center"/>
              <w:rPr>
                <w:b/>
                <w:bCs/>
                <w:sz w:val="18"/>
                <w:szCs w:val="18"/>
              </w:rPr>
            </w:pPr>
            <w:r>
              <w:rPr>
                <w:rFonts w:hint="eastAsia"/>
                <w:b/>
                <w:bCs/>
                <w:sz w:val="18"/>
                <w:szCs w:val="18"/>
              </w:rPr>
              <w:t>常住人口</w:t>
            </w:r>
          </w:p>
          <w:p>
            <w:pPr>
              <w:spacing w:line="276" w:lineRule="auto"/>
              <w:jc w:val="center"/>
              <w:rPr>
                <w:b/>
                <w:bCs/>
                <w:sz w:val="18"/>
                <w:szCs w:val="18"/>
              </w:rPr>
            </w:pPr>
            <w:r>
              <w:rPr>
                <w:rFonts w:hint="eastAsia"/>
                <w:b/>
                <w:bCs/>
                <w:sz w:val="18"/>
                <w:szCs w:val="18"/>
              </w:rPr>
              <w:t>（中方案）</w:t>
            </w:r>
          </w:p>
        </w:tc>
        <w:tc>
          <w:tcPr>
            <w:tcW w:w="1232" w:type="dxa"/>
            <w:tcBorders>
              <w:top w:val="single" w:color="5B9BD5" w:sz="8" w:space="0"/>
              <w:left w:val="single" w:color="5B9BD5" w:sz="8" w:space="0"/>
              <w:bottom w:val="single" w:color="5B9BD5" w:sz="8" w:space="0"/>
              <w:right w:val="single" w:color="5B9BD5" w:sz="8" w:space="0"/>
            </w:tcBorders>
            <w:shd w:val="clear" w:color="auto" w:fill="EAEFF7"/>
            <w:vAlign w:val="center"/>
          </w:tcPr>
          <w:p>
            <w:pPr>
              <w:spacing w:line="276" w:lineRule="auto"/>
              <w:ind w:firstLine="360" w:firstLineChars="200"/>
              <w:rPr>
                <w:sz w:val="18"/>
                <w:szCs w:val="18"/>
              </w:rPr>
            </w:pPr>
            <w:r>
              <w:rPr>
                <w:rFonts w:hint="eastAsia"/>
                <w:sz w:val="18"/>
                <w:szCs w:val="18"/>
              </w:rPr>
              <w:t>964246</w:t>
            </w:r>
          </w:p>
        </w:tc>
        <w:tc>
          <w:tcPr>
            <w:tcW w:w="1232" w:type="dxa"/>
            <w:tcBorders>
              <w:top w:val="single" w:color="5B9BD5" w:sz="8" w:space="0"/>
              <w:left w:val="single" w:color="5B9BD5" w:sz="8" w:space="0"/>
              <w:bottom w:val="single" w:color="5B9BD5" w:sz="8" w:space="0"/>
              <w:right w:val="single" w:color="5B9BD5" w:sz="8" w:space="0"/>
            </w:tcBorders>
            <w:shd w:val="clear" w:color="auto" w:fill="EAEFF7"/>
            <w:vAlign w:val="center"/>
          </w:tcPr>
          <w:p>
            <w:pPr>
              <w:spacing w:line="276" w:lineRule="auto"/>
              <w:ind w:firstLine="360" w:firstLineChars="200"/>
              <w:rPr>
                <w:sz w:val="18"/>
                <w:szCs w:val="18"/>
              </w:rPr>
            </w:pPr>
            <w:r>
              <w:rPr>
                <w:rFonts w:hint="eastAsia"/>
                <w:sz w:val="18"/>
                <w:szCs w:val="18"/>
              </w:rPr>
              <w:t>979246</w:t>
            </w:r>
          </w:p>
        </w:tc>
        <w:tc>
          <w:tcPr>
            <w:tcW w:w="123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rPr>
                <w:sz w:val="18"/>
                <w:szCs w:val="18"/>
              </w:rPr>
            </w:pPr>
            <w:r>
              <w:rPr>
                <w:rFonts w:hint="eastAsia"/>
                <w:sz w:val="18"/>
                <w:szCs w:val="18"/>
              </w:rPr>
              <w:t>994246</w:t>
            </w:r>
          </w:p>
        </w:tc>
        <w:tc>
          <w:tcPr>
            <w:tcW w:w="123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rPr>
                <w:sz w:val="18"/>
                <w:szCs w:val="18"/>
              </w:rPr>
            </w:pPr>
            <w:r>
              <w:rPr>
                <w:rFonts w:hint="eastAsia"/>
                <w:sz w:val="18"/>
                <w:szCs w:val="18"/>
              </w:rPr>
              <w:t>1009246</w:t>
            </w:r>
          </w:p>
        </w:tc>
        <w:tc>
          <w:tcPr>
            <w:tcW w:w="123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rPr>
                <w:sz w:val="18"/>
                <w:szCs w:val="18"/>
              </w:rPr>
            </w:pPr>
            <w:r>
              <w:rPr>
                <w:rFonts w:hint="eastAsia"/>
                <w:sz w:val="18"/>
                <w:szCs w:val="18"/>
              </w:rPr>
              <w:t>1024246</w:t>
            </w:r>
          </w:p>
        </w:tc>
        <w:tc>
          <w:tcPr>
            <w:tcW w:w="123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rPr>
                <w:sz w:val="18"/>
                <w:szCs w:val="18"/>
              </w:rPr>
            </w:pPr>
            <w:r>
              <w:rPr>
                <w:rFonts w:hint="eastAsia"/>
                <w:sz w:val="18"/>
                <w:szCs w:val="18"/>
              </w:rPr>
              <w:t>1039246</w:t>
            </w:r>
          </w:p>
        </w:tc>
      </w:tr>
      <w:tr>
        <w:tblPrEx>
          <w:tblLayout w:type="fixed"/>
          <w:tblCellMar>
            <w:top w:w="0" w:type="dxa"/>
            <w:left w:w="0" w:type="dxa"/>
            <w:bottom w:w="0" w:type="dxa"/>
            <w:right w:w="0" w:type="dxa"/>
          </w:tblCellMar>
        </w:tblPrEx>
        <w:trPr>
          <w:trHeight w:val="477" w:hRule="atLeast"/>
        </w:trPr>
        <w:tc>
          <w:tcPr>
            <w:tcW w:w="1546"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jc w:val="center"/>
              <w:rPr>
                <w:b/>
                <w:bCs/>
                <w:sz w:val="18"/>
                <w:szCs w:val="18"/>
              </w:rPr>
            </w:pPr>
            <w:r>
              <w:rPr>
                <w:rFonts w:hint="eastAsia"/>
                <w:b/>
                <w:bCs/>
                <w:sz w:val="18"/>
                <w:szCs w:val="18"/>
              </w:rPr>
              <w:t>户籍人口占比预设</w:t>
            </w:r>
          </w:p>
        </w:tc>
        <w:tc>
          <w:tcPr>
            <w:tcW w:w="1232" w:type="dxa"/>
            <w:tcBorders>
              <w:top w:val="single" w:color="5B9BD5" w:sz="8" w:space="0"/>
              <w:left w:val="single" w:color="5B9BD5" w:sz="8" w:space="0"/>
              <w:bottom w:val="single" w:color="5B9BD5" w:sz="8" w:space="0"/>
              <w:right w:val="single" w:color="5B9BD5" w:sz="8" w:space="0"/>
            </w:tcBorders>
            <w:shd w:val="clear" w:color="auto" w:fill="EAEFF7"/>
            <w:vAlign w:val="center"/>
          </w:tcPr>
          <w:p>
            <w:pPr>
              <w:spacing w:line="276" w:lineRule="auto"/>
              <w:ind w:firstLine="360" w:firstLineChars="200"/>
              <w:rPr>
                <w:sz w:val="18"/>
                <w:szCs w:val="18"/>
              </w:rPr>
            </w:pPr>
            <w:r>
              <w:rPr>
                <w:rFonts w:hint="eastAsia"/>
                <w:sz w:val="18"/>
                <w:szCs w:val="18"/>
              </w:rPr>
              <w:t>5</w:t>
            </w:r>
            <w:r>
              <w:rPr>
                <w:sz w:val="18"/>
                <w:szCs w:val="18"/>
              </w:rPr>
              <w:t>9.75</w:t>
            </w:r>
          </w:p>
        </w:tc>
        <w:tc>
          <w:tcPr>
            <w:tcW w:w="1232" w:type="dxa"/>
            <w:tcBorders>
              <w:top w:val="single" w:color="5B9BD5" w:sz="8" w:space="0"/>
              <w:left w:val="single" w:color="5B9BD5" w:sz="8" w:space="0"/>
              <w:bottom w:val="single" w:color="5B9BD5" w:sz="8" w:space="0"/>
              <w:right w:val="single" w:color="5B9BD5" w:sz="8" w:space="0"/>
            </w:tcBorders>
            <w:shd w:val="clear" w:color="auto" w:fill="EAEFF7"/>
            <w:vAlign w:val="center"/>
          </w:tcPr>
          <w:p>
            <w:pPr>
              <w:spacing w:line="276" w:lineRule="auto"/>
              <w:ind w:firstLine="360" w:firstLineChars="200"/>
              <w:rPr>
                <w:sz w:val="18"/>
                <w:szCs w:val="18"/>
              </w:rPr>
            </w:pPr>
            <w:r>
              <w:rPr>
                <w:rFonts w:hint="eastAsia"/>
                <w:sz w:val="18"/>
                <w:szCs w:val="18"/>
              </w:rPr>
              <w:t>6</w:t>
            </w:r>
            <w:r>
              <w:rPr>
                <w:sz w:val="18"/>
                <w:szCs w:val="18"/>
              </w:rPr>
              <w:t>0</w:t>
            </w:r>
          </w:p>
        </w:tc>
        <w:tc>
          <w:tcPr>
            <w:tcW w:w="123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rPr>
                <w:sz w:val="18"/>
                <w:szCs w:val="18"/>
              </w:rPr>
            </w:pPr>
            <w:r>
              <w:rPr>
                <w:rFonts w:hint="eastAsia"/>
                <w:sz w:val="18"/>
                <w:szCs w:val="18"/>
              </w:rPr>
              <w:t>6</w:t>
            </w:r>
            <w:r>
              <w:rPr>
                <w:sz w:val="18"/>
                <w:szCs w:val="18"/>
              </w:rPr>
              <w:t>5</w:t>
            </w:r>
          </w:p>
        </w:tc>
        <w:tc>
          <w:tcPr>
            <w:tcW w:w="123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rPr>
                <w:sz w:val="18"/>
                <w:szCs w:val="18"/>
              </w:rPr>
            </w:pPr>
            <w:r>
              <w:rPr>
                <w:rFonts w:hint="eastAsia"/>
                <w:sz w:val="18"/>
                <w:szCs w:val="18"/>
              </w:rPr>
              <w:t>7</w:t>
            </w:r>
            <w:r>
              <w:rPr>
                <w:sz w:val="18"/>
                <w:szCs w:val="18"/>
              </w:rPr>
              <w:t>0</w:t>
            </w:r>
          </w:p>
        </w:tc>
        <w:tc>
          <w:tcPr>
            <w:tcW w:w="123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rPr>
                <w:sz w:val="18"/>
                <w:szCs w:val="18"/>
              </w:rPr>
            </w:pPr>
            <w:r>
              <w:rPr>
                <w:rFonts w:hint="eastAsia"/>
                <w:sz w:val="18"/>
                <w:szCs w:val="18"/>
              </w:rPr>
              <w:t>7</w:t>
            </w:r>
            <w:r>
              <w:rPr>
                <w:sz w:val="18"/>
                <w:szCs w:val="18"/>
              </w:rPr>
              <w:t>5</w:t>
            </w:r>
          </w:p>
        </w:tc>
        <w:tc>
          <w:tcPr>
            <w:tcW w:w="123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rPr>
                <w:sz w:val="18"/>
                <w:szCs w:val="18"/>
              </w:rPr>
            </w:pPr>
            <w:r>
              <w:rPr>
                <w:rFonts w:hint="eastAsia"/>
                <w:sz w:val="18"/>
                <w:szCs w:val="18"/>
              </w:rPr>
              <w:t>8</w:t>
            </w:r>
            <w:r>
              <w:rPr>
                <w:sz w:val="18"/>
                <w:szCs w:val="18"/>
              </w:rPr>
              <w:t>0</w:t>
            </w:r>
          </w:p>
        </w:tc>
      </w:tr>
      <w:tr>
        <w:tblPrEx>
          <w:tblLayout w:type="fixed"/>
          <w:tblCellMar>
            <w:top w:w="0" w:type="dxa"/>
            <w:left w:w="0" w:type="dxa"/>
            <w:bottom w:w="0" w:type="dxa"/>
            <w:right w:w="0" w:type="dxa"/>
          </w:tblCellMar>
        </w:tblPrEx>
        <w:trPr>
          <w:trHeight w:val="477" w:hRule="atLeast"/>
        </w:trPr>
        <w:tc>
          <w:tcPr>
            <w:tcW w:w="1546"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jc w:val="center"/>
              <w:rPr>
                <w:b/>
                <w:bCs/>
                <w:sz w:val="18"/>
                <w:szCs w:val="18"/>
              </w:rPr>
            </w:pPr>
            <w:r>
              <w:rPr>
                <w:rFonts w:hint="eastAsia"/>
                <w:b/>
                <w:bCs/>
                <w:sz w:val="18"/>
                <w:szCs w:val="18"/>
              </w:rPr>
              <w:t>户籍人口</w:t>
            </w:r>
          </w:p>
        </w:tc>
        <w:tc>
          <w:tcPr>
            <w:tcW w:w="1232" w:type="dxa"/>
            <w:tcBorders>
              <w:top w:val="single" w:color="5B9BD5" w:sz="8" w:space="0"/>
              <w:left w:val="single" w:color="5B9BD5" w:sz="8" w:space="0"/>
              <w:bottom w:val="single" w:color="5B9BD5" w:sz="8" w:space="0"/>
              <w:right w:val="single" w:color="5B9BD5" w:sz="8" w:space="0"/>
            </w:tcBorders>
            <w:shd w:val="clear" w:color="auto" w:fill="EAEFF7"/>
            <w:vAlign w:val="center"/>
          </w:tcPr>
          <w:p>
            <w:pPr>
              <w:spacing w:line="276" w:lineRule="auto"/>
              <w:ind w:firstLine="360" w:firstLineChars="200"/>
              <w:rPr>
                <w:sz w:val="18"/>
                <w:szCs w:val="18"/>
              </w:rPr>
            </w:pPr>
            <w:r>
              <w:rPr>
                <w:rFonts w:hint="eastAsia"/>
                <w:sz w:val="18"/>
                <w:szCs w:val="18"/>
              </w:rPr>
              <w:t>5</w:t>
            </w:r>
            <w:r>
              <w:rPr>
                <w:sz w:val="18"/>
                <w:szCs w:val="18"/>
              </w:rPr>
              <w:t>76000</w:t>
            </w:r>
          </w:p>
        </w:tc>
        <w:tc>
          <w:tcPr>
            <w:tcW w:w="1232" w:type="dxa"/>
            <w:tcBorders>
              <w:top w:val="single" w:color="5B9BD5" w:sz="8" w:space="0"/>
              <w:left w:val="single" w:color="5B9BD5" w:sz="8" w:space="0"/>
              <w:bottom w:val="single" w:color="5B9BD5" w:sz="8" w:space="0"/>
              <w:right w:val="single" w:color="5B9BD5" w:sz="8" w:space="0"/>
            </w:tcBorders>
            <w:shd w:val="clear" w:color="auto" w:fill="EAEFF7"/>
            <w:vAlign w:val="center"/>
          </w:tcPr>
          <w:p>
            <w:pPr>
              <w:spacing w:line="276" w:lineRule="auto"/>
              <w:ind w:firstLine="360" w:firstLineChars="200"/>
              <w:rPr>
                <w:sz w:val="18"/>
                <w:szCs w:val="18"/>
              </w:rPr>
            </w:pPr>
            <w:r>
              <w:rPr>
                <w:rFonts w:hint="eastAsia"/>
                <w:sz w:val="18"/>
                <w:szCs w:val="18"/>
              </w:rPr>
              <w:t>5</w:t>
            </w:r>
            <w:r>
              <w:rPr>
                <w:sz w:val="18"/>
                <w:szCs w:val="18"/>
              </w:rPr>
              <w:t>87548</w:t>
            </w:r>
          </w:p>
        </w:tc>
        <w:tc>
          <w:tcPr>
            <w:tcW w:w="123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rPr>
                <w:sz w:val="18"/>
                <w:szCs w:val="18"/>
              </w:rPr>
            </w:pPr>
            <w:r>
              <w:rPr>
                <w:rFonts w:hint="eastAsia"/>
                <w:sz w:val="18"/>
                <w:szCs w:val="18"/>
              </w:rPr>
              <w:t>6</w:t>
            </w:r>
            <w:r>
              <w:rPr>
                <w:sz w:val="18"/>
                <w:szCs w:val="18"/>
              </w:rPr>
              <w:t>46260</w:t>
            </w:r>
          </w:p>
        </w:tc>
        <w:tc>
          <w:tcPr>
            <w:tcW w:w="123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rPr>
                <w:sz w:val="18"/>
                <w:szCs w:val="18"/>
              </w:rPr>
            </w:pPr>
            <w:r>
              <w:rPr>
                <w:rFonts w:hint="eastAsia"/>
                <w:sz w:val="18"/>
                <w:szCs w:val="18"/>
              </w:rPr>
              <w:t>7</w:t>
            </w:r>
            <w:r>
              <w:rPr>
                <w:sz w:val="18"/>
                <w:szCs w:val="18"/>
              </w:rPr>
              <w:t>06472</w:t>
            </w:r>
          </w:p>
        </w:tc>
        <w:tc>
          <w:tcPr>
            <w:tcW w:w="123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rPr>
                <w:sz w:val="18"/>
                <w:szCs w:val="18"/>
              </w:rPr>
            </w:pPr>
            <w:r>
              <w:rPr>
                <w:rFonts w:hint="eastAsia"/>
                <w:sz w:val="18"/>
                <w:szCs w:val="18"/>
              </w:rPr>
              <w:t>7</w:t>
            </w:r>
            <w:r>
              <w:rPr>
                <w:sz w:val="18"/>
                <w:szCs w:val="18"/>
              </w:rPr>
              <w:t>68185</w:t>
            </w:r>
          </w:p>
        </w:tc>
        <w:tc>
          <w:tcPr>
            <w:tcW w:w="1232" w:type="dxa"/>
            <w:tcBorders>
              <w:top w:val="single" w:color="5B9BD5" w:sz="8" w:space="0"/>
              <w:left w:val="single" w:color="5B9BD5" w:sz="8" w:space="0"/>
              <w:bottom w:val="single" w:color="5B9BD5" w:sz="8" w:space="0"/>
              <w:right w:val="single" w:color="5B9BD5" w:sz="8" w:space="0"/>
            </w:tcBorders>
            <w:shd w:val="clear" w:color="auto" w:fill="EAEFF7"/>
            <w:tcMar>
              <w:top w:w="15" w:type="dxa"/>
              <w:left w:w="15" w:type="dxa"/>
              <w:bottom w:w="0" w:type="dxa"/>
              <w:right w:w="15" w:type="dxa"/>
            </w:tcMar>
            <w:vAlign w:val="center"/>
          </w:tcPr>
          <w:p>
            <w:pPr>
              <w:spacing w:line="276" w:lineRule="auto"/>
              <w:ind w:firstLine="360" w:firstLineChars="200"/>
              <w:rPr>
                <w:sz w:val="18"/>
                <w:szCs w:val="18"/>
              </w:rPr>
            </w:pPr>
            <w:r>
              <w:rPr>
                <w:rFonts w:hint="eastAsia"/>
                <w:sz w:val="18"/>
                <w:szCs w:val="18"/>
              </w:rPr>
              <w:t>8</w:t>
            </w:r>
            <w:r>
              <w:rPr>
                <w:sz w:val="18"/>
                <w:szCs w:val="18"/>
              </w:rPr>
              <w:t>31398</w:t>
            </w:r>
          </w:p>
        </w:tc>
      </w:tr>
    </w:tbl>
    <w:p>
      <w:pPr>
        <w:spacing w:line="276" w:lineRule="auto"/>
        <w:ind w:firstLine="360" w:firstLineChars="200"/>
        <w:rPr>
          <w:sz w:val="18"/>
          <w:szCs w:val="18"/>
        </w:rPr>
      </w:pPr>
      <w:r>
        <w:rPr>
          <w:rFonts w:hint="eastAsia" w:hAnsi="等线" w:cs="Times New Roman"/>
          <w:color w:val="000000" w:themeColor="text1"/>
          <w:kern w:val="24"/>
          <w:sz w:val="18"/>
          <w:szCs w:val="18"/>
          <w14:textFill>
            <w14:solidFill>
              <w14:schemeClr w14:val="tx1"/>
            </w14:solidFill>
          </w14:textFill>
        </w:rPr>
        <w:t>预设依据：基于“全面放开城镇落户限制，实现城镇户口通迁”的政策导向，户籍人口占比必将不断提高。</w:t>
      </w:r>
    </w:p>
    <w:p>
      <w:pPr>
        <w:pStyle w:val="25"/>
        <w:spacing w:line="276" w:lineRule="auto"/>
        <w:ind w:left="420" w:firstLine="0" w:firstLineChars="0"/>
      </w:pPr>
    </w:p>
    <w:p>
      <w:pPr>
        <w:pStyle w:val="25"/>
        <w:spacing w:line="276" w:lineRule="auto"/>
        <w:ind w:left="420" w:firstLine="0" w:firstLineChars="0"/>
      </w:pPr>
    </w:p>
    <w:p>
      <w:pPr>
        <w:pStyle w:val="25"/>
        <w:spacing w:line="276" w:lineRule="auto"/>
        <w:ind w:left="420" w:firstLine="210" w:firstLineChars="100"/>
      </w:pPr>
      <w:r>
        <w:rPr>
          <w:rFonts w:hint="eastAsia"/>
        </w:rPr>
        <w:t>表1</w:t>
      </w:r>
      <w:r>
        <w:t>5</w:t>
      </w:r>
      <w:r>
        <w:tab/>
      </w:r>
      <w:r>
        <w:t xml:space="preserve">    2010</w:t>
      </w:r>
      <w:r>
        <w:rPr>
          <w:rFonts w:hint="eastAsia"/>
        </w:rPr>
        <w:t>年~</w:t>
      </w:r>
      <w:r>
        <w:t>2025</w:t>
      </w:r>
      <w:r>
        <w:rPr>
          <w:rFonts w:hint="eastAsia"/>
        </w:rPr>
        <w:t>年西山区常住人口年龄结构预判</w:t>
      </w:r>
      <w:r>
        <w:tab/>
      </w:r>
      <w:r>
        <w:tab/>
      </w:r>
      <w:r>
        <w:rPr>
          <w:rFonts w:hint="eastAsia"/>
        </w:rPr>
        <w:t>单位</w:t>
      </w:r>
      <w:r>
        <w:tab/>
      </w:r>
      <w:r>
        <w:rPr>
          <w:rFonts w:hint="eastAsia"/>
        </w:rPr>
        <w:t>人、%</w:t>
      </w:r>
    </w:p>
    <w:tbl>
      <w:tblPr>
        <w:tblStyle w:val="40"/>
        <w:tblW w:w="8299"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625"/>
        <w:gridCol w:w="1594"/>
        <w:gridCol w:w="1625"/>
        <w:gridCol w:w="1830"/>
        <w:gridCol w:w="1625"/>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371" w:hRule="atLeast"/>
        </w:trPr>
        <w:tc>
          <w:tcPr>
            <w:tcW w:w="1625" w:type="dxa"/>
            <w:shd w:val="clear" w:color="auto" w:fill="F1F1F1" w:themeFill="background1" w:themeFillShade="F2"/>
          </w:tcPr>
          <w:p>
            <w:pPr>
              <w:spacing w:line="276" w:lineRule="auto"/>
              <w:ind w:firstLine="360" w:firstLineChars="200"/>
              <w:rPr>
                <w:b/>
                <w:bCs/>
                <w:sz w:val="18"/>
                <w:szCs w:val="18"/>
              </w:rPr>
            </w:pPr>
          </w:p>
        </w:tc>
        <w:tc>
          <w:tcPr>
            <w:tcW w:w="1594" w:type="dxa"/>
            <w:shd w:val="clear" w:color="auto" w:fill="F1F1F1" w:themeFill="background1" w:themeFillShade="F2"/>
          </w:tcPr>
          <w:p>
            <w:pPr>
              <w:spacing w:line="276" w:lineRule="auto"/>
              <w:ind w:firstLine="360" w:firstLineChars="200"/>
              <w:rPr>
                <w:sz w:val="18"/>
                <w:szCs w:val="18"/>
              </w:rPr>
            </w:pPr>
            <w:r>
              <w:rPr>
                <w:rFonts w:hint="eastAsia"/>
                <w:b/>
                <w:bCs/>
                <w:sz w:val="18"/>
                <w:szCs w:val="18"/>
              </w:rPr>
              <w:t>2010</w:t>
            </w:r>
            <w:r>
              <w:rPr>
                <w:b/>
                <w:bCs/>
                <w:sz w:val="18"/>
                <w:szCs w:val="18"/>
              </w:rPr>
              <w:t>年六普</w:t>
            </w:r>
          </w:p>
        </w:tc>
        <w:tc>
          <w:tcPr>
            <w:tcW w:w="1625" w:type="dxa"/>
            <w:shd w:val="clear" w:color="auto" w:fill="F1F1F1" w:themeFill="background1" w:themeFillShade="F2"/>
          </w:tcPr>
          <w:p>
            <w:pPr>
              <w:spacing w:line="276" w:lineRule="auto"/>
              <w:ind w:firstLine="360" w:firstLineChars="200"/>
              <w:rPr>
                <w:sz w:val="18"/>
                <w:szCs w:val="18"/>
              </w:rPr>
            </w:pPr>
            <w:r>
              <w:rPr>
                <w:rFonts w:hint="eastAsia"/>
                <w:b/>
                <w:bCs/>
                <w:sz w:val="18"/>
                <w:szCs w:val="18"/>
              </w:rPr>
              <w:t>2015</w:t>
            </w:r>
            <w:r>
              <w:rPr>
                <w:b/>
                <w:bCs/>
                <w:sz w:val="18"/>
                <w:szCs w:val="18"/>
              </w:rPr>
              <w:t>年预测</w:t>
            </w:r>
          </w:p>
        </w:tc>
        <w:tc>
          <w:tcPr>
            <w:tcW w:w="1830" w:type="dxa"/>
            <w:shd w:val="clear" w:color="auto" w:fill="F1F1F1" w:themeFill="background1" w:themeFillShade="F2"/>
          </w:tcPr>
          <w:p>
            <w:pPr>
              <w:spacing w:line="276" w:lineRule="auto"/>
              <w:ind w:firstLine="360" w:firstLineChars="200"/>
              <w:rPr>
                <w:sz w:val="18"/>
                <w:szCs w:val="18"/>
              </w:rPr>
            </w:pPr>
            <w:r>
              <w:rPr>
                <w:rFonts w:hint="eastAsia"/>
                <w:b/>
                <w:bCs/>
                <w:sz w:val="18"/>
                <w:szCs w:val="18"/>
              </w:rPr>
              <w:t>2020</w:t>
            </w:r>
            <w:r>
              <w:rPr>
                <w:b/>
                <w:bCs/>
                <w:sz w:val="18"/>
                <w:szCs w:val="18"/>
              </w:rPr>
              <w:t>年预测</w:t>
            </w:r>
          </w:p>
        </w:tc>
        <w:tc>
          <w:tcPr>
            <w:tcW w:w="1625" w:type="dxa"/>
            <w:shd w:val="clear" w:color="auto" w:fill="F1F1F1" w:themeFill="background1" w:themeFillShade="F2"/>
          </w:tcPr>
          <w:p>
            <w:pPr>
              <w:spacing w:line="276" w:lineRule="auto"/>
              <w:ind w:firstLine="360" w:firstLineChars="200"/>
              <w:rPr>
                <w:sz w:val="18"/>
                <w:szCs w:val="18"/>
              </w:rPr>
            </w:pPr>
            <w:r>
              <w:rPr>
                <w:rFonts w:hint="eastAsia"/>
                <w:b/>
                <w:bCs/>
                <w:sz w:val="18"/>
                <w:szCs w:val="18"/>
              </w:rPr>
              <w:t>2025</w:t>
            </w:r>
            <w:r>
              <w:rPr>
                <w:b/>
                <w:bCs/>
                <w:sz w:val="18"/>
                <w:szCs w:val="18"/>
              </w:rPr>
              <w:t>年预测</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371" w:hRule="atLeast"/>
        </w:trPr>
        <w:tc>
          <w:tcPr>
            <w:tcW w:w="1625" w:type="dxa"/>
          </w:tcPr>
          <w:p>
            <w:pPr>
              <w:spacing w:line="276" w:lineRule="auto"/>
              <w:ind w:firstLine="360" w:firstLineChars="200"/>
              <w:jc w:val="center"/>
              <w:rPr>
                <w:b/>
                <w:bCs/>
                <w:sz w:val="18"/>
                <w:szCs w:val="18"/>
              </w:rPr>
            </w:pPr>
            <w:r>
              <w:rPr>
                <w:b/>
                <w:bCs/>
                <w:sz w:val="18"/>
                <w:szCs w:val="18"/>
              </w:rPr>
              <w:t>总人口</w:t>
            </w:r>
          </w:p>
        </w:tc>
        <w:tc>
          <w:tcPr>
            <w:tcW w:w="1594" w:type="dxa"/>
          </w:tcPr>
          <w:p>
            <w:pPr>
              <w:spacing w:line="276" w:lineRule="auto"/>
              <w:ind w:firstLine="360" w:firstLineChars="200"/>
              <w:rPr>
                <w:sz w:val="18"/>
                <w:szCs w:val="18"/>
              </w:rPr>
            </w:pPr>
            <w:r>
              <w:rPr>
                <w:rFonts w:hint="eastAsia"/>
                <w:sz w:val="18"/>
                <w:szCs w:val="18"/>
              </w:rPr>
              <w:t>753790</w:t>
            </w:r>
          </w:p>
        </w:tc>
        <w:tc>
          <w:tcPr>
            <w:tcW w:w="1625" w:type="dxa"/>
          </w:tcPr>
          <w:p>
            <w:pPr>
              <w:spacing w:line="276" w:lineRule="auto"/>
              <w:ind w:firstLine="360" w:firstLineChars="200"/>
              <w:rPr>
                <w:sz w:val="18"/>
                <w:szCs w:val="18"/>
              </w:rPr>
            </w:pPr>
            <w:r>
              <w:rPr>
                <w:rFonts w:hint="eastAsia"/>
                <w:sz w:val="18"/>
                <w:szCs w:val="18"/>
              </w:rPr>
              <w:t>854934</w:t>
            </w:r>
          </w:p>
        </w:tc>
        <w:tc>
          <w:tcPr>
            <w:tcW w:w="1830" w:type="dxa"/>
          </w:tcPr>
          <w:p>
            <w:pPr>
              <w:spacing w:line="276" w:lineRule="auto"/>
              <w:ind w:firstLine="360" w:firstLineChars="200"/>
              <w:rPr>
                <w:sz w:val="18"/>
                <w:szCs w:val="18"/>
              </w:rPr>
            </w:pPr>
            <w:r>
              <w:rPr>
                <w:rFonts w:hint="eastAsia"/>
                <w:sz w:val="18"/>
                <w:szCs w:val="18"/>
              </w:rPr>
              <w:t>966773</w:t>
            </w:r>
          </w:p>
        </w:tc>
        <w:tc>
          <w:tcPr>
            <w:tcW w:w="1625" w:type="dxa"/>
          </w:tcPr>
          <w:p>
            <w:pPr>
              <w:spacing w:line="276" w:lineRule="auto"/>
              <w:ind w:firstLine="360" w:firstLineChars="200"/>
              <w:rPr>
                <w:sz w:val="18"/>
                <w:szCs w:val="18"/>
              </w:rPr>
            </w:pPr>
            <w:r>
              <w:rPr>
                <w:rFonts w:hint="eastAsia"/>
                <w:sz w:val="18"/>
                <w:szCs w:val="18"/>
              </w:rPr>
              <w:t>1037979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384" w:hRule="atLeast"/>
        </w:trPr>
        <w:tc>
          <w:tcPr>
            <w:tcW w:w="1625" w:type="dxa"/>
            <w:shd w:val="clear" w:color="auto" w:fill="F1F1F1" w:themeFill="background1" w:themeFillShade="F2"/>
          </w:tcPr>
          <w:p>
            <w:pPr>
              <w:spacing w:line="276" w:lineRule="auto"/>
              <w:ind w:firstLine="180" w:firstLineChars="100"/>
              <w:rPr>
                <w:b/>
                <w:bCs/>
                <w:sz w:val="18"/>
                <w:szCs w:val="18"/>
              </w:rPr>
            </w:pPr>
            <w:r>
              <w:rPr>
                <w:rFonts w:hint="eastAsia"/>
                <w:b/>
                <w:bCs/>
                <w:sz w:val="18"/>
                <w:szCs w:val="18"/>
              </w:rPr>
              <w:t>≤14</w:t>
            </w:r>
            <w:r>
              <w:rPr>
                <w:b/>
                <w:bCs/>
                <w:sz w:val="18"/>
                <w:szCs w:val="18"/>
              </w:rPr>
              <w:t>岁人口</w:t>
            </w:r>
          </w:p>
        </w:tc>
        <w:tc>
          <w:tcPr>
            <w:tcW w:w="1594" w:type="dxa"/>
            <w:shd w:val="clear" w:color="auto" w:fill="F1F1F1" w:themeFill="background1" w:themeFillShade="F2"/>
          </w:tcPr>
          <w:p>
            <w:pPr>
              <w:spacing w:line="276" w:lineRule="auto"/>
              <w:ind w:firstLine="360" w:firstLineChars="200"/>
              <w:rPr>
                <w:sz w:val="18"/>
                <w:szCs w:val="18"/>
              </w:rPr>
            </w:pPr>
            <w:r>
              <w:rPr>
                <w:rFonts w:hint="eastAsia"/>
                <w:sz w:val="18"/>
                <w:szCs w:val="18"/>
              </w:rPr>
              <w:t>90253</w:t>
            </w:r>
          </w:p>
        </w:tc>
        <w:tc>
          <w:tcPr>
            <w:tcW w:w="1625" w:type="dxa"/>
            <w:shd w:val="clear" w:color="auto" w:fill="F1F1F1" w:themeFill="background1" w:themeFillShade="F2"/>
          </w:tcPr>
          <w:p>
            <w:pPr>
              <w:spacing w:line="276" w:lineRule="auto"/>
              <w:ind w:firstLine="360" w:firstLineChars="200"/>
              <w:rPr>
                <w:sz w:val="18"/>
                <w:szCs w:val="18"/>
              </w:rPr>
            </w:pPr>
            <w:r>
              <w:rPr>
                <w:rFonts w:hint="eastAsia"/>
                <w:sz w:val="18"/>
                <w:szCs w:val="18"/>
              </w:rPr>
              <w:t>109866</w:t>
            </w:r>
          </w:p>
        </w:tc>
        <w:tc>
          <w:tcPr>
            <w:tcW w:w="1830" w:type="dxa"/>
            <w:shd w:val="clear" w:color="auto" w:fill="F1F1F1" w:themeFill="background1" w:themeFillShade="F2"/>
          </w:tcPr>
          <w:p>
            <w:pPr>
              <w:spacing w:line="276" w:lineRule="auto"/>
              <w:ind w:firstLine="360" w:firstLineChars="200"/>
              <w:rPr>
                <w:sz w:val="18"/>
                <w:szCs w:val="18"/>
              </w:rPr>
            </w:pPr>
            <w:r>
              <w:rPr>
                <w:rFonts w:hint="eastAsia"/>
                <w:sz w:val="18"/>
                <w:szCs w:val="18"/>
              </w:rPr>
              <w:t>134385</w:t>
            </w:r>
          </w:p>
        </w:tc>
        <w:tc>
          <w:tcPr>
            <w:tcW w:w="1625" w:type="dxa"/>
            <w:shd w:val="clear" w:color="auto" w:fill="F1F1F1" w:themeFill="background1" w:themeFillShade="F2"/>
          </w:tcPr>
          <w:p>
            <w:pPr>
              <w:spacing w:line="276" w:lineRule="auto"/>
              <w:ind w:firstLine="360" w:firstLineChars="200"/>
              <w:rPr>
                <w:sz w:val="18"/>
                <w:szCs w:val="18"/>
              </w:rPr>
            </w:pPr>
            <w:r>
              <w:rPr>
                <w:rFonts w:hint="eastAsia"/>
                <w:sz w:val="18"/>
                <w:szCs w:val="18"/>
              </w:rPr>
              <w:t>148057</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371" w:hRule="atLeast"/>
        </w:trPr>
        <w:tc>
          <w:tcPr>
            <w:tcW w:w="1625" w:type="dxa"/>
          </w:tcPr>
          <w:p>
            <w:pPr>
              <w:spacing w:line="276" w:lineRule="auto"/>
              <w:ind w:firstLine="360" w:firstLineChars="200"/>
              <w:jc w:val="center"/>
              <w:rPr>
                <w:b/>
                <w:bCs/>
                <w:sz w:val="18"/>
                <w:szCs w:val="18"/>
              </w:rPr>
            </w:pPr>
            <w:r>
              <w:rPr>
                <w:b/>
                <w:bCs/>
                <w:sz w:val="18"/>
                <w:szCs w:val="18"/>
              </w:rPr>
              <w:t>占比</w:t>
            </w:r>
          </w:p>
        </w:tc>
        <w:tc>
          <w:tcPr>
            <w:tcW w:w="1594" w:type="dxa"/>
          </w:tcPr>
          <w:p>
            <w:pPr>
              <w:spacing w:line="276" w:lineRule="auto"/>
              <w:ind w:firstLine="360" w:firstLineChars="200"/>
              <w:rPr>
                <w:sz w:val="18"/>
                <w:szCs w:val="18"/>
              </w:rPr>
            </w:pPr>
            <w:r>
              <w:rPr>
                <w:rFonts w:hint="eastAsia"/>
                <w:sz w:val="18"/>
                <w:szCs w:val="18"/>
              </w:rPr>
              <w:t>11.97</w:t>
            </w:r>
          </w:p>
        </w:tc>
        <w:tc>
          <w:tcPr>
            <w:tcW w:w="1625" w:type="dxa"/>
          </w:tcPr>
          <w:p>
            <w:pPr>
              <w:spacing w:line="276" w:lineRule="auto"/>
              <w:ind w:firstLine="360" w:firstLineChars="200"/>
              <w:rPr>
                <w:sz w:val="18"/>
                <w:szCs w:val="18"/>
              </w:rPr>
            </w:pPr>
            <w:r>
              <w:rPr>
                <w:rFonts w:hint="eastAsia"/>
                <w:sz w:val="18"/>
                <w:szCs w:val="18"/>
              </w:rPr>
              <w:t>12.85</w:t>
            </w:r>
          </w:p>
        </w:tc>
        <w:tc>
          <w:tcPr>
            <w:tcW w:w="1830" w:type="dxa"/>
          </w:tcPr>
          <w:p>
            <w:pPr>
              <w:spacing w:line="276" w:lineRule="auto"/>
              <w:ind w:firstLine="360" w:firstLineChars="200"/>
              <w:rPr>
                <w:sz w:val="18"/>
                <w:szCs w:val="18"/>
              </w:rPr>
            </w:pPr>
            <w:r>
              <w:rPr>
                <w:rFonts w:hint="eastAsia"/>
                <w:sz w:val="18"/>
                <w:szCs w:val="18"/>
              </w:rPr>
              <w:t>13.90</w:t>
            </w:r>
          </w:p>
        </w:tc>
        <w:tc>
          <w:tcPr>
            <w:tcW w:w="1625" w:type="dxa"/>
          </w:tcPr>
          <w:p>
            <w:pPr>
              <w:spacing w:line="276" w:lineRule="auto"/>
              <w:ind w:firstLine="360" w:firstLineChars="200"/>
              <w:rPr>
                <w:sz w:val="18"/>
                <w:szCs w:val="18"/>
              </w:rPr>
            </w:pPr>
            <w:r>
              <w:rPr>
                <w:rFonts w:hint="eastAsia"/>
                <w:sz w:val="18"/>
                <w:szCs w:val="18"/>
              </w:rPr>
              <w:t>14.26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387" w:hRule="atLeast"/>
        </w:trPr>
        <w:tc>
          <w:tcPr>
            <w:tcW w:w="1625" w:type="dxa"/>
            <w:shd w:val="clear" w:color="auto" w:fill="F1F1F1" w:themeFill="background1" w:themeFillShade="F2"/>
          </w:tcPr>
          <w:p>
            <w:pPr>
              <w:spacing w:line="276" w:lineRule="auto"/>
              <w:ind w:firstLine="180" w:firstLineChars="100"/>
              <w:rPr>
                <w:b/>
                <w:bCs/>
                <w:sz w:val="18"/>
                <w:szCs w:val="18"/>
              </w:rPr>
            </w:pPr>
            <w:r>
              <w:rPr>
                <w:rFonts w:hint="eastAsia"/>
                <w:b/>
                <w:bCs/>
                <w:sz w:val="18"/>
                <w:szCs w:val="18"/>
              </w:rPr>
              <w:t>≥60</w:t>
            </w:r>
            <w:r>
              <w:rPr>
                <w:b/>
                <w:bCs/>
                <w:sz w:val="18"/>
                <w:szCs w:val="18"/>
              </w:rPr>
              <w:t>岁人口</w:t>
            </w:r>
          </w:p>
        </w:tc>
        <w:tc>
          <w:tcPr>
            <w:tcW w:w="1594" w:type="dxa"/>
            <w:shd w:val="clear" w:color="auto" w:fill="F1F1F1" w:themeFill="background1" w:themeFillShade="F2"/>
          </w:tcPr>
          <w:p>
            <w:pPr>
              <w:spacing w:line="276" w:lineRule="auto"/>
              <w:ind w:firstLine="360" w:firstLineChars="200"/>
              <w:rPr>
                <w:sz w:val="18"/>
                <w:szCs w:val="18"/>
              </w:rPr>
            </w:pPr>
            <w:r>
              <w:rPr>
                <w:rFonts w:hint="eastAsia"/>
                <w:sz w:val="18"/>
                <w:szCs w:val="18"/>
              </w:rPr>
              <w:t>97480</w:t>
            </w:r>
          </w:p>
        </w:tc>
        <w:tc>
          <w:tcPr>
            <w:tcW w:w="1625" w:type="dxa"/>
            <w:shd w:val="clear" w:color="auto" w:fill="F1F1F1" w:themeFill="background1" w:themeFillShade="F2"/>
          </w:tcPr>
          <w:p>
            <w:pPr>
              <w:spacing w:line="276" w:lineRule="auto"/>
              <w:ind w:firstLine="360" w:firstLineChars="200"/>
              <w:rPr>
                <w:sz w:val="18"/>
                <w:szCs w:val="18"/>
              </w:rPr>
            </w:pPr>
            <w:r>
              <w:rPr>
                <w:rFonts w:hint="eastAsia"/>
                <w:sz w:val="18"/>
                <w:szCs w:val="18"/>
              </w:rPr>
              <w:t>145786</w:t>
            </w:r>
          </w:p>
        </w:tc>
        <w:tc>
          <w:tcPr>
            <w:tcW w:w="1830" w:type="dxa"/>
            <w:shd w:val="clear" w:color="auto" w:fill="F1F1F1" w:themeFill="background1" w:themeFillShade="F2"/>
          </w:tcPr>
          <w:p>
            <w:pPr>
              <w:spacing w:line="276" w:lineRule="auto"/>
              <w:ind w:firstLine="360" w:firstLineChars="200"/>
              <w:rPr>
                <w:sz w:val="18"/>
                <w:szCs w:val="18"/>
              </w:rPr>
            </w:pPr>
            <w:r>
              <w:rPr>
                <w:rFonts w:hint="eastAsia"/>
                <w:sz w:val="18"/>
                <w:szCs w:val="18"/>
              </w:rPr>
              <w:t>183350</w:t>
            </w:r>
          </w:p>
        </w:tc>
        <w:tc>
          <w:tcPr>
            <w:tcW w:w="1625" w:type="dxa"/>
            <w:shd w:val="clear" w:color="auto" w:fill="F1F1F1" w:themeFill="background1" w:themeFillShade="F2"/>
          </w:tcPr>
          <w:p>
            <w:pPr>
              <w:spacing w:line="276" w:lineRule="auto"/>
              <w:ind w:firstLine="360" w:firstLineChars="200"/>
              <w:rPr>
                <w:sz w:val="18"/>
                <w:szCs w:val="18"/>
              </w:rPr>
            </w:pPr>
            <w:r>
              <w:rPr>
                <w:rFonts w:hint="eastAsia"/>
                <w:sz w:val="18"/>
                <w:szCs w:val="18"/>
              </w:rPr>
              <w:t>259371</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371" w:hRule="atLeast"/>
        </w:trPr>
        <w:tc>
          <w:tcPr>
            <w:tcW w:w="1625" w:type="dxa"/>
          </w:tcPr>
          <w:p>
            <w:pPr>
              <w:spacing w:line="276" w:lineRule="auto"/>
              <w:ind w:firstLine="360" w:firstLineChars="200"/>
              <w:jc w:val="center"/>
              <w:rPr>
                <w:b/>
                <w:bCs/>
                <w:sz w:val="18"/>
                <w:szCs w:val="18"/>
              </w:rPr>
            </w:pPr>
            <w:r>
              <w:rPr>
                <w:b/>
                <w:bCs/>
                <w:sz w:val="18"/>
                <w:szCs w:val="18"/>
              </w:rPr>
              <w:t>占比</w:t>
            </w:r>
          </w:p>
        </w:tc>
        <w:tc>
          <w:tcPr>
            <w:tcW w:w="1594" w:type="dxa"/>
          </w:tcPr>
          <w:p>
            <w:pPr>
              <w:spacing w:line="276" w:lineRule="auto"/>
              <w:ind w:firstLine="360" w:firstLineChars="200"/>
              <w:rPr>
                <w:sz w:val="18"/>
                <w:szCs w:val="18"/>
              </w:rPr>
            </w:pPr>
            <w:r>
              <w:rPr>
                <w:rFonts w:hint="eastAsia"/>
                <w:sz w:val="18"/>
                <w:szCs w:val="18"/>
              </w:rPr>
              <w:t>12.93</w:t>
            </w:r>
          </w:p>
        </w:tc>
        <w:tc>
          <w:tcPr>
            <w:tcW w:w="1625" w:type="dxa"/>
          </w:tcPr>
          <w:p>
            <w:pPr>
              <w:spacing w:line="276" w:lineRule="auto"/>
              <w:ind w:firstLine="360" w:firstLineChars="200"/>
              <w:rPr>
                <w:sz w:val="18"/>
                <w:szCs w:val="18"/>
              </w:rPr>
            </w:pPr>
            <w:r>
              <w:rPr>
                <w:rFonts w:hint="eastAsia"/>
                <w:sz w:val="18"/>
                <w:szCs w:val="18"/>
              </w:rPr>
              <w:t>17.05</w:t>
            </w:r>
          </w:p>
        </w:tc>
        <w:tc>
          <w:tcPr>
            <w:tcW w:w="1830" w:type="dxa"/>
          </w:tcPr>
          <w:p>
            <w:pPr>
              <w:spacing w:line="276" w:lineRule="auto"/>
              <w:ind w:firstLine="360" w:firstLineChars="200"/>
              <w:rPr>
                <w:sz w:val="18"/>
                <w:szCs w:val="18"/>
              </w:rPr>
            </w:pPr>
            <w:r>
              <w:rPr>
                <w:rFonts w:hint="eastAsia"/>
                <w:sz w:val="18"/>
                <w:szCs w:val="18"/>
              </w:rPr>
              <w:t>18.97</w:t>
            </w:r>
          </w:p>
        </w:tc>
        <w:tc>
          <w:tcPr>
            <w:tcW w:w="1625" w:type="dxa"/>
          </w:tcPr>
          <w:p>
            <w:pPr>
              <w:spacing w:line="276" w:lineRule="auto"/>
              <w:ind w:firstLine="360" w:firstLineChars="200"/>
              <w:rPr>
                <w:sz w:val="18"/>
                <w:szCs w:val="18"/>
              </w:rPr>
            </w:pPr>
            <w:r>
              <w:rPr>
                <w:rFonts w:hint="eastAsia"/>
                <w:sz w:val="18"/>
                <w:szCs w:val="18"/>
              </w:rPr>
              <w:t>24.99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401" w:hRule="atLeast"/>
        </w:trPr>
        <w:tc>
          <w:tcPr>
            <w:tcW w:w="1625" w:type="dxa"/>
            <w:shd w:val="clear" w:color="auto" w:fill="F1F1F1" w:themeFill="background1" w:themeFillShade="F2"/>
          </w:tcPr>
          <w:p>
            <w:pPr>
              <w:spacing w:line="276" w:lineRule="auto"/>
              <w:ind w:firstLine="180" w:firstLineChars="100"/>
              <w:rPr>
                <w:b/>
                <w:bCs/>
                <w:sz w:val="18"/>
                <w:szCs w:val="18"/>
              </w:rPr>
            </w:pPr>
            <w:r>
              <w:rPr>
                <w:rFonts w:hint="eastAsia"/>
                <w:b/>
                <w:bCs/>
                <w:sz w:val="18"/>
                <w:szCs w:val="18"/>
              </w:rPr>
              <w:t>15-59</w:t>
            </w:r>
            <w:r>
              <w:rPr>
                <w:b/>
                <w:bCs/>
                <w:sz w:val="18"/>
                <w:szCs w:val="18"/>
              </w:rPr>
              <w:t>岁人口</w:t>
            </w:r>
          </w:p>
        </w:tc>
        <w:tc>
          <w:tcPr>
            <w:tcW w:w="1594" w:type="dxa"/>
            <w:shd w:val="clear" w:color="auto" w:fill="F1F1F1" w:themeFill="background1" w:themeFillShade="F2"/>
          </w:tcPr>
          <w:p>
            <w:pPr>
              <w:spacing w:line="276" w:lineRule="auto"/>
              <w:ind w:firstLine="360" w:firstLineChars="200"/>
              <w:rPr>
                <w:sz w:val="18"/>
                <w:szCs w:val="18"/>
              </w:rPr>
            </w:pPr>
            <w:r>
              <w:rPr>
                <w:rFonts w:hint="eastAsia"/>
                <w:sz w:val="18"/>
                <w:szCs w:val="18"/>
              </w:rPr>
              <w:t>566057</w:t>
            </w:r>
          </w:p>
        </w:tc>
        <w:tc>
          <w:tcPr>
            <w:tcW w:w="1625" w:type="dxa"/>
            <w:shd w:val="clear" w:color="auto" w:fill="F1F1F1" w:themeFill="background1" w:themeFillShade="F2"/>
          </w:tcPr>
          <w:p>
            <w:pPr>
              <w:spacing w:line="276" w:lineRule="auto"/>
              <w:ind w:firstLine="360" w:firstLineChars="200"/>
              <w:rPr>
                <w:sz w:val="18"/>
                <w:szCs w:val="18"/>
              </w:rPr>
            </w:pPr>
            <w:r>
              <w:rPr>
                <w:rFonts w:hint="eastAsia"/>
                <w:sz w:val="18"/>
                <w:szCs w:val="18"/>
              </w:rPr>
              <w:t>599282</w:t>
            </w:r>
          </w:p>
        </w:tc>
        <w:tc>
          <w:tcPr>
            <w:tcW w:w="1830" w:type="dxa"/>
            <w:shd w:val="clear" w:color="auto" w:fill="F1F1F1" w:themeFill="background1" w:themeFillShade="F2"/>
          </w:tcPr>
          <w:p>
            <w:pPr>
              <w:spacing w:line="276" w:lineRule="auto"/>
              <w:ind w:firstLine="360" w:firstLineChars="200"/>
              <w:rPr>
                <w:sz w:val="18"/>
                <w:szCs w:val="18"/>
              </w:rPr>
            </w:pPr>
            <w:r>
              <w:rPr>
                <w:rFonts w:hint="eastAsia"/>
                <w:sz w:val="18"/>
                <w:szCs w:val="18"/>
              </w:rPr>
              <w:t>649037</w:t>
            </w:r>
          </w:p>
        </w:tc>
        <w:tc>
          <w:tcPr>
            <w:tcW w:w="1625" w:type="dxa"/>
            <w:shd w:val="clear" w:color="auto" w:fill="F1F1F1" w:themeFill="background1" w:themeFillShade="F2"/>
          </w:tcPr>
          <w:p>
            <w:pPr>
              <w:spacing w:line="276" w:lineRule="auto"/>
              <w:ind w:firstLine="360" w:firstLineChars="200"/>
              <w:rPr>
                <w:sz w:val="18"/>
                <w:szCs w:val="18"/>
              </w:rPr>
            </w:pPr>
            <w:r>
              <w:rPr>
                <w:rFonts w:hint="eastAsia"/>
                <w:sz w:val="18"/>
                <w:szCs w:val="18"/>
              </w:rPr>
              <w:t>630550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371" w:hRule="atLeast"/>
        </w:trPr>
        <w:tc>
          <w:tcPr>
            <w:tcW w:w="1625" w:type="dxa"/>
          </w:tcPr>
          <w:p>
            <w:pPr>
              <w:spacing w:line="276" w:lineRule="auto"/>
              <w:ind w:firstLine="720" w:firstLineChars="400"/>
              <w:rPr>
                <w:b/>
                <w:bCs/>
                <w:sz w:val="18"/>
                <w:szCs w:val="18"/>
              </w:rPr>
            </w:pPr>
            <w:r>
              <w:rPr>
                <w:b/>
                <w:bCs/>
                <w:sz w:val="18"/>
                <w:szCs w:val="18"/>
              </w:rPr>
              <w:t>占比</w:t>
            </w:r>
          </w:p>
        </w:tc>
        <w:tc>
          <w:tcPr>
            <w:tcW w:w="1594" w:type="dxa"/>
          </w:tcPr>
          <w:p>
            <w:pPr>
              <w:spacing w:line="276" w:lineRule="auto"/>
              <w:ind w:firstLine="360" w:firstLineChars="200"/>
              <w:rPr>
                <w:sz w:val="18"/>
                <w:szCs w:val="18"/>
              </w:rPr>
            </w:pPr>
            <w:r>
              <w:rPr>
                <w:rFonts w:hint="eastAsia"/>
                <w:sz w:val="18"/>
                <w:szCs w:val="18"/>
              </w:rPr>
              <w:t xml:space="preserve">75.09 </w:t>
            </w:r>
          </w:p>
        </w:tc>
        <w:tc>
          <w:tcPr>
            <w:tcW w:w="1625" w:type="dxa"/>
          </w:tcPr>
          <w:p>
            <w:pPr>
              <w:spacing w:line="276" w:lineRule="auto"/>
              <w:ind w:firstLine="360" w:firstLineChars="200"/>
              <w:rPr>
                <w:sz w:val="18"/>
                <w:szCs w:val="18"/>
              </w:rPr>
            </w:pPr>
            <w:r>
              <w:rPr>
                <w:rFonts w:hint="eastAsia"/>
                <w:sz w:val="18"/>
                <w:szCs w:val="18"/>
              </w:rPr>
              <w:t xml:space="preserve">70.10 </w:t>
            </w:r>
          </w:p>
        </w:tc>
        <w:tc>
          <w:tcPr>
            <w:tcW w:w="1830" w:type="dxa"/>
          </w:tcPr>
          <w:p>
            <w:pPr>
              <w:spacing w:line="276" w:lineRule="auto"/>
              <w:ind w:firstLine="360" w:firstLineChars="200"/>
              <w:rPr>
                <w:sz w:val="18"/>
                <w:szCs w:val="18"/>
              </w:rPr>
            </w:pPr>
            <w:r>
              <w:rPr>
                <w:rFonts w:hint="eastAsia"/>
                <w:sz w:val="18"/>
                <w:szCs w:val="18"/>
              </w:rPr>
              <w:t xml:space="preserve">67.13 </w:t>
            </w:r>
          </w:p>
        </w:tc>
        <w:tc>
          <w:tcPr>
            <w:tcW w:w="1625" w:type="dxa"/>
          </w:tcPr>
          <w:p>
            <w:pPr>
              <w:spacing w:line="276" w:lineRule="auto"/>
              <w:ind w:firstLine="360" w:firstLineChars="200"/>
              <w:rPr>
                <w:sz w:val="18"/>
                <w:szCs w:val="18"/>
              </w:rPr>
            </w:pPr>
            <w:r>
              <w:rPr>
                <w:rFonts w:hint="eastAsia"/>
                <w:sz w:val="18"/>
                <w:szCs w:val="18"/>
              </w:rPr>
              <w:t xml:space="preserve">60.75 </w:t>
            </w:r>
          </w:p>
        </w:tc>
      </w:tr>
    </w:tbl>
    <w:p>
      <w:pPr>
        <w:spacing w:line="276" w:lineRule="auto"/>
        <w:ind w:firstLine="360" w:firstLineChars="200"/>
        <w:rPr>
          <w:sz w:val="18"/>
          <w:szCs w:val="18"/>
        </w:rPr>
      </w:pPr>
      <w:r>
        <w:rPr>
          <w:rFonts w:hint="eastAsia"/>
          <w:sz w:val="18"/>
          <w:szCs w:val="18"/>
        </w:rPr>
        <w:t>数据来源：昆明市第六次人口普查办公室《昆明市2</w:t>
      </w:r>
      <w:r>
        <w:rPr>
          <w:sz w:val="18"/>
          <w:szCs w:val="18"/>
        </w:rPr>
        <w:t>010</w:t>
      </w:r>
      <w:r>
        <w:rPr>
          <w:rFonts w:hint="eastAsia"/>
          <w:sz w:val="18"/>
          <w:szCs w:val="18"/>
        </w:rPr>
        <w:t>年人口普查资料》表3</w:t>
      </w:r>
      <w:r>
        <w:rPr>
          <w:sz w:val="18"/>
          <w:szCs w:val="18"/>
        </w:rPr>
        <w:t>-2</w:t>
      </w:r>
      <w:r>
        <w:rPr>
          <w:rFonts w:hint="eastAsia"/>
          <w:sz w:val="18"/>
          <w:szCs w:val="18"/>
        </w:rPr>
        <w:t>。</w:t>
      </w:r>
    </w:p>
    <w:p>
      <w:pPr>
        <w:spacing w:line="276" w:lineRule="auto"/>
        <w:ind w:firstLine="360" w:firstLineChars="200"/>
        <w:rPr>
          <w:sz w:val="18"/>
          <w:szCs w:val="18"/>
        </w:rPr>
      </w:pPr>
      <w:r>
        <w:rPr>
          <w:rFonts w:hint="eastAsia"/>
          <w:sz w:val="18"/>
          <w:szCs w:val="18"/>
        </w:rPr>
        <w:t>预测方法：鉴于</w:t>
      </w:r>
      <w:bookmarkStart w:id="162" w:name="_Hlk87172643"/>
      <w:r>
        <w:rPr>
          <w:rFonts w:hint="eastAsia"/>
          <w:sz w:val="18"/>
          <w:szCs w:val="18"/>
        </w:rPr>
        <w:t>西山区</w:t>
      </w:r>
      <w:r>
        <w:rPr>
          <w:sz w:val="18"/>
          <w:szCs w:val="18"/>
        </w:rPr>
        <w:t>2020</w:t>
      </w:r>
      <w:r>
        <w:rPr>
          <w:rFonts w:hint="eastAsia"/>
          <w:sz w:val="18"/>
          <w:szCs w:val="18"/>
        </w:rPr>
        <w:t>年“七普”人口结构数据</w:t>
      </w:r>
      <w:bookmarkEnd w:id="162"/>
      <w:r>
        <w:rPr>
          <w:rFonts w:hint="eastAsia"/>
          <w:sz w:val="18"/>
          <w:szCs w:val="18"/>
        </w:rPr>
        <w:t>尚未公布，本文以</w:t>
      </w:r>
      <w:r>
        <w:rPr>
          <w:sz w:val="18"/>
          <w:szCs w:val="18"/>
        </w:rPr>
        <w:t>2010</w:t>
      </w:r>
      <w:r>
        <w:rPr>
          <w:rFonts w:hint="eastAsia"/>
          <w:sz w:val="18"/>
          <w:szCs w:val="18"/>
        </w:rPr>
        <w:t>年“六普”数据为基期，预判未来西山区常住人口年龄结构。预测指标既考虑昆明市七普”人口年龄结构数据，又兼顾西山区统计年鉴2</w:t>
      </w:r>
      <w:r>
        <w:rPr>
          <w:sz w:val="18"/>
          <w:szCs w:val="18"/>
        </w:rPr>
        <w:t>015</w:t>
      </w:r>
      <w:r>
        <w:rPr>
          <w:rFonts w:hint="eastAsia"/>
          <w:sz w:val="18"/>
          <w:szCs w:val="18"/>
        </w:rPr>
        <w:t>年的人口年龄结构数据。</w:t>
      </w:r>
    </w:p>
    <w:p>
      <w:pPr>
        <w:pStyle w:val="25"/>
        <w:spacing w:line="276" w:lineRule="auto"/>
        <w:ind w:left="420" w:firstLine="0" w:firstLineChars="0"/>
      </w:pPr>
    </w:p>
    <w:p>
      <w:pPr>
        <w:pStyle w:val="25"/>
        <w:spacing w:line="276" w:lineRule="auto"/>
        <w:ind w:left="420" w:firstLine="0" w:firstLineChars="0"/>
      </w:pPr>
    </w:p>
    <w:p>
      <w:pPr>
        <w:pStyle w:val="25"/>
        <w:spacing w:line="276" w:lineRule="auto"/>
        <w:ind w:left="420" w:firstLine="0" w:firstLineChars="0"/>
        <w:jc w:val="center"/>
      </w:pPr>
      <w:r>
        <w:rPr>
          <w:rFonts w:hint="eastAsia"/>
        </w:rPr>
        <w:t>表1</w:t>
      </w:r>
      <w:r>
        <w:t>6</w:t>
      </w:r>
      <w:r>
        <w:tab/>
      </w:r>
      <w:r>
        <w:t>2010</w:t>
      </w:r>
      <w:r>
        <w:rPr>
          <w:rFonts w:hint="eastAsia"/>
        </w:rPr>
        <w:t>年~</w:t>
      </w:r>
      <w:r>
        <w:t>2025</w:t>
      </w:r>
      <w:r>
        <w:rPr>
          <w:rFonts w:hint="eastAsia"/>
        </w:rPr>
        <w:t>年西山区常住人口抚养比预判</w:t>
      </w:r>
      <w:r>
        <w:tab/>
      </w:r>
      <w:r>
        <w:tab/>
      </w:r>
      <w:r>
        <w:tab/>
      </w:r>
      <w:r>
        <w:rPr>
          <w:rFonts w:hint="eastAsia"/>
        </w:rPr>
        <w:t xml:space="preserve">单位 </w:t>
      </w:r>
      <w:r>
        <w:t xml:space="preserve">  </w:t>
      </w:r>
      <w:r>
        <w:rPr>
          <w:rFonts w:hint="eastAsia"/>
        </w:rPr>
        <w:t>%</w:t>
      </w:r>
    </w:p>
    <w:tbl>
      <w:tblPr>
        <w:tblStyle w:val="13"/>
        <w:tblW w:w="8305" w:type="dxa"/>
        <w:tblInd w:w="0" w:type="dxa"/>
        <w:tblLayout w:type="fixed"/>
        <w:tblCellMar>
          <w:top w:w="0" w:type="dxa"/>
          <w:left w:w="0" w:type="dxa"/>
          <w:bottom w:w="0" w:type="dxa"/>
          <w:right w:w="0" w:type="dxa"/>
        </w:tblCellMar>
      </w:tblPr>
      <w:tblGrid>
        <w:gridCol w:w="1661"/>
        <w:gridCol w:w="1661"/>
        <w:gridCol w:w="1661"/>
        <w:gridCol w:w="1661"/>
        <w:gridCol w:w="1661"/>
      </w:tblGrid>
      <w:tr>
        <w:tblPrEx>
          <w:tblLayout w:type="fixed"/>
          <w:tblCellMar>
            <w:top w:w="0" w:type="dxa"/>
            <w:left w:w="0" w:type="dxa"/>
            <w:bottom w:w="0" w:type="dxa"/>
            <w:right w:w="0" w:type="dxa"/>
          </w:tblCellMar>
        </w:tblPrEx>
        <w:trPr>
          <w:trHeight w:val="380" w:hRule="atLeast"/>
        </w:trPr>
        <w:tc>
          <w:tcPr>
            <w:tcW w:w="1661" w:type="dxa"/>
            <w:tcBorders>
              <w:top w:val="single" w:color="FFC000" w:sz="8" w:space="0"/>
              <w:left w:val="nil"/>
              <w:bottom w:val="single" w:color="FFC000" w:sz="8" w:space="0"/>
              <w:right w:val="nil"/>
            </w:tcBorders>
            <w:shd w:val="clear" w:color="auto" w:fill="auto"/>
            <w:tcMar>
              <w:top w:w="15" w:type="dxa"/>
              <w:left w:w="108" w:type="dxa"/>
              <w:bottom w:w="0" w:type="dxa"/>
              <w:right w:w="108" w:type="dxa"/>
            </w:tcMar>
            <w:vAlign w:val="center"/>
          </w:tcPr>
          <w:p>
            <w:pPr>
              <w:widowControl/>
              <w:jc w:val="left"/>
              <w:rPr>
                <w:rFonts w:ascii="宋体" w:hAnsi="宋体" w:eastAsia="宋体" w:cs="宋体"/>
                <w:kern w:val="0"/>
                <w:sz w:val="18"/>
                <w:szCs w:val="18"/>
              </w:rPr>
            </w:pPr>
          </w:p>
        </w:tc>
        <w:tc>
          <w:tcPr>
            <w:tcW w:w="1661" w:type="dxa"/>
            <w:tcBorders>
              <w:top w:val="single" w:color="FFC000" w:sz="8" w:space="0"/>
              <w:left w:val="nil"/>
              <w:bottom w:val="single" w:color="FFC000" w:sz="8" w:space="0"/>
              <w:right w:val="nil"/>
            </w:tcBorders>
            <w:shd w:val="clear" w:color="auto" w:fill="auto"/>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hint="eastAsia" w:ascii="等线" w:hAnsi="等线" w:eastAsia="等线" w:cs="Arial"/>
                <w:b/>
                <w:bCs/>
                <w:color w:val="000000" w:themeColor="text1"/>
                <w:kern w:val="0"/>
                <w:sz w:val="18"/>
                <w:szCs w:val="18"/>
                <w14:textFill>
                  <w14:solidFill>
                    <w14:schemeClr w14:val="tx1"/>
                  </w14:solidFill>
                </w14:textFill>
              </w:rPr>
              <w:t>2010</w:t>
            </w:r>
            <w:r>
              <w:rPr>
                <w:rFonts w:ascii="等线" w:hAnsi="Arial" w:eastAsia="宋体" w:cs="Arial"/>
                <w:b/>
                <w:bCs/>
                <w:color w:val="000000" w:themeColor="text1"/>
                <w:kern w:val="0"/>
                <w:sz w:val="18"/>
                <w:szCs w:val="18"/>
                <w14:textFill>
                  <w14:solidFill>
                    <w14:schemeClr w14:val="tx1"/>
                  </w14:solidFill>
                </w14:textFill>
              </w:rPr>
              <w:t>年六普</w:t>
            </w:r>
          </w:p>
        </w:tc>
        <w:tc>
          <w:tcPr>
            <w:tcW w:w="1661" w:type="dxa"/>
            <w:tcBorders>
              <w:top w:val="single" w:color="FFC000" w:sz="8" w:space="0"/>
              <w:left w:val="nil"/>
              <w:bottom w:val="single" w:color="FFC000" w:sz="8" w:space="0"/>
              <w:right w:val="nil"/>
            </w:tcBorders>
            <w:shd w:val="clear" w:color="auto" w:fill="auto"/>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hint="eastAsia" w:ascii="等线" w:hAnsi="等线" w:eastAsia="等线" w:cs="Arial"/>
                <w:b/>
                <w:bCs/>
                <w:color w:val="000000" w:themeColor="text1"/>
                <w:kern w:val="0"/>
                <w:sz w:val="18"/>
                <w:szCs w:val="18"/>
                <w14:textFill>
                  <w14:solidFill>
                    <w14:schemeClr w14:val="tx1"/>
                  </w14:solidFill>
                </w14:textFill>
              </w:rPr>
              <w:t>2015</w:t>
            </w:r>
            <w:r>
              <w:rPr>
                <w:rFonts w:ascii="等线" w:hAnsi="Arial" w:eastAsia="宋体" w:cs="Arial"/>
                <w:b/>
                <w:bCs/>
                <w:color w:val="000000" w:themeColor="text1"/>
                <w:kern w:val="0"/>
                <w:sz w:val="18"/>
                <w:szCs w:val="18"/>
                <w14:textFill>
                  <w14:solidFill>
                    <w14:schemeClr w14:val="tx1"/>
                  </w14:solidFill>
                </w14:textFill>
              </w:rPr>
              <w:t>年预测</w:t>
            </w:r>
          </w:p>
        </w:tc>
        <w:tc>
          <w:tcPr>
            <w:tcW w:w="1661" w:type="dxa"/>
            <w:tcBorders>
              <w:top w:val="single" w:color="FFC000" w:sz="8" w:space="0"/>
              <w:left w:val="nil"/>
              <w:bottom w:val="single" w:color="FFC000" w:sz="8" w:space="0"/>
              <w:right w:val="nil"/>
            </w:tcBorders>
            <w:shd w:val="clear" w:color="auto" w:fill="auto"/>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hint="eastAsia" w:ascii="等线" w:hAnsi="等线" w:eastAsia="等线" w:cs="Arial"/>
                <w:b/>
                <w:bCs/>
                <w:color w:val="000000" w:themeColor="text1"/>
                <w:kern w:val="0"/>
                <w:sz w:val="18"/>
                <w:szCs w:val="18"/>
                <w14:textFill>
                  <w14:solidFill>
                    <w14:schemeClr w14:val="tx1"/>
                  </w14:solidFill>
                </w14:textFill>
              </w:rPr>
              <w:t>2020</w:t>
            </w:r>
            <w:r>
              <w:rPr>
                <w:rFonts w:ascii="等线" w:hAnsi="Arial" w:eastAsia="宋体" w:cs="Arial"/>
                <w:b/>
                <w:bCs/>
                <w:color w:val="000000" w:themeColor="text1"/>
                <w:kern w:val="0"/>
                <w:sz w:val="18"/>
                <w:szCs w:val="18"/>
                <w14:textFill>
                  <w14:solidFill>
                    <w14:schemeClr w14:val="tx1"/>
                  </w14:solidFill>
                </w14:textFill>
              </w:rPr>
              <w:t>年预测</w:t>
            </w:r>
          </w:p>
        </w:tc>
        <w:tc>
          <w:tcPr>
            <w:tcW w:w="1661" w:type="dxa"/>
            <w:tcBorders>
              <w:top w:val="single" w:color="FFC000" w:sz="8" w:space="0"/>
              <w:left w:val="nil"/>
              <w:bottom w:val="single" w:color="FFC000" w:sz="8" w:space="0"/>
              <w:right w:val="nil"/>
            </w:tcBorders>
            <w:shd w:val="clear" w:color="auto" w:fill="auto"/>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hint="eastAsia" w:ascii="等线" w:hAnsi="等线" w:eastAsia="等线" w:cs="Arial"/>
                <w:b/>
                <w:bCs/>
                <w:color w:val="000000" w:themeColor="text1"/>
                <w:kern w:val="0"/>
                <w:sz w:val="18"/>
                <w:szCs w:val="18"/>
                <w14:textFill>
                  <w14:solidFill>
                    <w14:schemeClr w14:val="tx1"/>
                  </w14:solidFill>
                </w14:textFill>
              </w:rPr>
              <w:t>2025</w:t>
            </w:r>
            <w:r>
              <w:rPr>
                <w:rFonts w:ascii="等线" w:hAnsi="Arial" w:eastAsia="宋体" w:cs="Arial"/>
                <w:b/>
                <w:bCs/>
                <w:color w:val="000000" w:themeColor="text1"/>
                <w:kern w:val="0"/>
                <w:sz w:val="18"/>
                <w:szCs w:val="18"/>
                <w14:textFill>
                  <w14:solidFill>
                    <w14:schemeClr w14:val="tx1"/>
                  </w14:solidFill>
                </w14:textFill>
              </w:rPr>
              <w:t>年预测</w:t>
            </w:r>
          </w:p>
        </w:tc>
      </w:tr>
      <w:tr>
        <w:tblPrEx>
          <w:tblLayout w:type="fixed"/>
          <w:tblCellMar>
            <w:top w:w="0" w:type="dxa"/>
            <w:left w:w="0" w:type="dxa"/>
            <w:bottom w:w="0" w:type="dxa"/>
            <w:right w:w="0" w:type="dxa"/>
          </w:tblCellMar>
        </w:tblPrEx>
        <w:trPr>
          <w:trHeight w:val="380" w:hRule="atLeast"/>
        </w:trPr>
        <w:tc>
          <w:tcPr>
            <w:tcW w:w="1661" w:type="dxa"/>
            <w:tcBorders>
              <w:top w:val="single" w:color="FFC000" w:sz="8" w:space="0"/>
              <w:left w:val="nil"/>
              <w:bottom w:val="nil"/>
              <w:right w:val="nil"/>
            </w:tcBorders>
            <w:shd w:val="clear" w:color="auto" w:fill="FFF4E7"/>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ascii="等线" w:hAnsi="Arial" w:eastAsia="宋体" w:cs="Arial"/>
                <w:b/>
                <w:bCs/>
                <w:color w:val="000000" w:themeColor="text1"/>
                <w:kern w:val="0"/>
                <w:sz w:val="18"/>
                <w:szCs w:val="18"/>
                <w14:textFill>
                  <w14:solidFill>
                    <w14:schemeClr w14:val="tx1"/>
                  </w14:solidFill>
                </w14:textFill>
              </w:rPr>
              <w:t>少儿抚养比</w:t>
            </w:r>
          </w:p>
        </w:tc>
        <w:tc>
          <w:tcPr>
            <w:tcW w:w="1661" w:type="dxa"/>
            <w:tcBorders>
              <w:top w:val="single" w:color="FFC000" w:sz="8" w:space="0"/>
              <w:left w:val="nil"/>
              <w:bottom w:val="nil"/>
              <w:right w:val="nil"/>
            </w:tcBorders>
            <w:shd w:val="clear" w:color="auto" w:fill="FFF4E7"/>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hint="eastAsia" w:ascii="等线" w:hAnsi="等线" w:eastAsia="等线" w:cs="Arial"/>
                <w:color w:val="000000" w:themeColor="text1"/>
                <w:kern w:val="0"/>
                <w:sz w:val="18"/>
                <w:szCs w:val="18"/>
                <w14:textFill>
                  <w14:solidFill>
                    <w14:schemeClr w14:val="tx1"/>
                  </w14:solidFill>
                </w14:textFill>
              </w:rPr>
              <w:t>15.94</w:t>
            </w:r>
          </w:p>
        </w:tc>
        <w:tc>
          <w:tcPr>
            <w:tcW w:w="1661" w:type="dxa"/>
            <w:tcBorders>
              <w:top w:val="single" w:color="FFC000" w:sz="8" w:space="0"/>
              <w:left w:val="nil"/>
              <w:bottom w:val="nil"/>
              <w:right w:val="nil"/>
            </w:tcBorders>
            <w:shd w:val="clear" w:color="auto" w:fill="FFF4E7"/>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hint="eastAsia" w:ascii="等线" w:hAnsi="等线" w:eastAsia="等线" w:cs="Arial"/>
                <w:color w:val="000000" w:themeColor="text1"/>
                <w:kern w:val="0"/>
                <w:sz w:val="18"/>
                <w:szCs w:val="18"/>
                <w14:textFill>
                  <w14:solidFill>
                    <w14:schemeClr w14:val="tx1"/>
                  </w14:solidFill>
                </w14:textFill>
              </w:rPr>
              <w:t>18.33</w:t>
            </w:r>
          </w:p>
        </w:tc>
        <w:tc>
          <w:tcPr>
            <w:tcW w:w="1661" w:type="dxa"/>
            <w:tcBorders>
              <w:top w:val="single" w:color="FFC000" w:sz="8" w:space="0"/>
              <w:left w:val="nil"/>
              <w:bottom w:val="nil"/>
              <w:right w:val="nil"/>
            </w:tcBorders>
            <w:shd w:val="clear" w:color="auto" w:fill="FFF4E7"/>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hint="eastAsia" w:ascii="等线" w:hAnsi="等线" w:eastAsia="等线" w:cs="Arial"/>
                <w:color w:val="000000" w:themeColor="text1"/>
                <w:sz w:val="18"/>
                <w:szCs w:val="18"/>
                <w14:textFill>
                  <w14:solidFill>
                    <w14:schemeClr w14:val="tx1"/>
                  </w14:solidFill>
                </w14:textFill>
              </w:rPr>
              <w:t>20.71</w:t>
            </w:r>
          </w:p>
        </w:tc>
        <w:tc>
          <w:tcPr>
            <w:tcW w:w="1661" w:type="dxa"/>
            <w:tcBorders>
              <w:top w:val="single" w:color="FFC000" w:sz="8" w:space="0"/>
              <w:left w:val="nil"/>
              <w:bottom w:val="nil"/>
              <w:right w:val="nil"/>
            </w:tcBorders>
            <w:shd w:val="clear" w:color="auto" w:fill="FFF4E7"/>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hint="eastAsia" w:ascii="等线" w:hAnsi="等线" w:eastAsia="等线" w:cs="Arial"/>
                <w:color w:val="000000" w:themeColor="text1"/>
                <w:sz w:val="18"/>
                <w:szCs w:val="18"/>
                <w14:textFill>
                  <w14:solidFill>
                    <w14:schemeClr w14:val="tx1"/>
                  </w14:solidFill>
                </w14:textFill>
              </w:rPr>
              <w:t>23.48</w:t>
            </w:r>
          </w:p>
        </w:tc>
      </w:tr>
      <w:tr>
        <w:tblPrEx>
          <w:tblLayout w:type="fixed"/>
          <w:tblCellMar>
            <w:top w:w="0" w:type="dxa"/>
            <w:left w:w="0" w:type="dxa"/>
            <w:bottom w:w="0" w:type="dxa"/>
            <w:right w:w="0" w:type="dxa"/>
          </w:tblCellMar>
        </w:tblPrEx>
        <w:trPr>
          <w:trHeight w:val="380" w:hRule="atLeast"/>
        </w:trPr>
        <w:tc>
          <w:tcPr>
            <w:tcW w:w="1661" w:type="dxa"/>
            <w:tcBorders>
              <w:top w:val="nil"/>
              <w:left w:val="nil"/>
              <w:bottom w:val="nil"/>
              <w:right w:val="nil"/>
            </w:tcBorders>
            <w:shd w:val="clear" w:color="auto" w:fill="auto"/>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ascii="等线" w:hAnsi="Arial" w:eastAsia="宋体" w:cs="Arial"/>
                <w:b/>
                <w:bCs/>
                <w:color w:val="000000" w:themeColor="text1"/>
                <w:kern w:val="0"/>
                <w:sz w:val="18"/>
                <w:szCs w:val="18"/>
                <w14:textFill>
                  <w14:solidFill>
                    <w14:schemeClr w14:val="tx1"/>
                  </w14:solidFill>
                </w14:textFill>
              </w:rPr>
              <w:t>老年抚养比</w:t>
            </w:r>
          </w:p>
        </w:tc>
        <w:tc>
          <w:tcPr>
            <w:tcW w:w="1661" w:type="dxa"/>
            <w:tcBorders>
              <w:top w:val="nil"/>
              <w:left w:val="nil"/>
              <w:bottom w:val="nil"/>
              <w:right w:val="nil"/>
            </w:tcBorders>
            <w:shd w:val="clear" w:color="auto" w:fill="auto"/>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hint="eastAsia" w:ascii="等线" w:hAnsi="等线" w:eastAsia="等线" w:cs="Arial"/>
                <w:color w:val="000000" w:themeColor="text1"/>
                <w:kern w:val="0"/>
                <w:sz w:val="18"/>
                <w:szCs w:val="18"/>
                <w14:textFill>
                  <w14:solidFill>
                    <w14:schemeClr w14:val="tx1"/>
                  </w14:solidFill>
                </w14:textFill>
              </w:rPr>
              <w:t>17.22</w:t>
            </w:r>
          </w:p>
        </w:tc>
        <w:tc>
          <w:tcPr>
            <w:tcW w:w="1661" w:type="dxa"/>
            <w:tcBorders>
              <w:top w:val="nil"/>
              <w:left w:val="nil"/>
              <w:bottom w:val="nil"/>
              <w:right w:val="nil"/>
            </w:tcBorders>
            <w:shd w:val="clear" w:color="auto" w:fill="auto"/>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hint="eastAsia" w:ascii="等线" w:hAnsi="等线" w:eastAsia="等线" w:cs="Arial"/>
                <w:color w:val="000000" w:themeColor="text1"/>
                <w:kern w:val="0"/>
                <w:sz w:val="18"/>
                <w:szCs w:val="18"/>
                <w14:textFill>
                  <w14:solidFill>
                    <w14:schemeClr w14:val="tx1"/>
                  </w14:solidFill>
                </w14:textFill>
              </w:rPr>
              <w:t>24.33</w:t>
            </w:r>
          </w:p>
        </w:tc>
        <w:tc>
          <w:tcPr>
            <w:tcW w:w="1661" w:type="dxa"/>
            <w:tcBorders>
              <w:top w:val="nil"/>
              <w:left w:val="nil"/>
              <w:bottom w:val="nil"/>
              <w:right w:val="nil"/>
            </w:tcBorders>
            <w:shd w:val="clear" w:color="auto" w:fill="auto"/>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hint="eastAsia" w:ascii="等线" w:hAnsi="等线" w:eastAsia="等线" w:cs="Arial"/>
                <w:color w:val="000000" w:themeColor="text1"/>
                <w:sz w:val="18"/>
                <w:szCs w:val="18"/>
                <w14:textFill>
                  <w14:solidFill>
                    <w14:schemeClr w14:val="tx1"/>
                  </w14:solidFill>
                </w14:textFill>
              </w:rPr>
              <w:t>28.25</w:t>
            </w:r>
          </w:p>
        </w:tc>
        <w:tc>
          <w:tcPr>
            <w:tcW w:w="1661" w:type="dxa"/>
            <w:tcBorders>
              <w:top w:val="nil"/>
              <w:left w:val="nil"/>
              <w:bottom w:val="nil"/>
              <w:right w:val="nil"/>
            </w:tcBorders>
            <w:shd w:val="clear" w:color="auto" w:fill="auto"/>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hint="eastAsia" w:ascii="等线" w:hAnsi="等线" w:eastAsia="等线" w:cs="Arial"/>
                <w:color w:val="000000" w:themeColor="text1"/>
                <w:sz w:val="18"/>
                <w:szCs w:val="18"/>
                <w14:textFill>
                  <w14:solidFill>
                    <w14:schemeClr w14:val="tx1"/>
                  </w14:solidFill>
                </w14:textFill>
              </w:rPr>
              <w:t>41.13</w:t>
            </w:r>
          </w:p>
        </w:tc>
      </w:tr>
      <w:tr>
        <w:tblPrEx>
          <w:tblLayout w:type="fixed"/>
          <w:tblCellMar>
            <w:top w:w="0" w:type="dxa"/>
            <w:left w:w="0" w:type="dxa"/>
            <w:bottom w:w="0" w:type="dxa"/>
            <w:right w:w="0" w:type="dxa"/>
          </w:tblCellMar>
        </w:tblPrEx>
        <w:trPr>
          <w:trHeight w:val="380" w:hRule="atLeast"/>
        </w:trPr>
        <w:tc>
          <w:tcPr>
            <w:tcW w:w="1661" w:type="dxa"/>
            <w:tcBorders>
              <w:top w:val="nil"/>
              <w:left w:val="nil"/>
              <w:bottom w:val="single" w:color="FFC000" w:sz="8" w:space="0"/>
              <w:right w:val="nil"/>
            </w:tcBorders>
            <w:shd w:val="clear" w:color="auto" w:fill="FFF4E7"/>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ascii="等线" w:hAnsi="Arial" w:eastAsia="宋体" w:cs="Arial"/>
                <w:b/>
                <w:bCs/>
                <w:color w:val="000000" w:themeColor="text1"/>
                <w:kern w:val="0"/>
                <w:sz w:val="18"/>
                <w:szCs w:val="18"/>
                <w14:textFill>
                  <w14:solidFill>
                    <w14:schemeClr w14:val="tx1"/>
                  </w14:solidFill>
                </w14:textFill>
              </w:rPr>
              <w:t>总抚养比</w:t>
            </w:r>
          </w:p>
        </w:tc>
        <w:tc>
          <w:tcPr>
            <w:tcW w:w="1661" w:type="dxa"/>
            <w:tcBorders>
              <w:top w:val="nil"/>
              <w:left w:val="nil"/>
              <w:bottom w:val="single" w:color="FFC000" w:sz="8" w:space="0"/>
              <w:right w:val="nil"/>
            </w:tcBorders>
            <w:shd w:val="clear" w:color="auto" w:fill="FFF4E7"/>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hint="eastAsia" w:ascii="等线" w:hAnsi="等线" w:eastAsia="等线" w:cs="Arial"/>
                <w:color w:val="000000" w:themeColor="text1"/>
                <w:kern w:val="0"/>
                <w:sz w:val="18"/>
                <w:szCs w:val="18"/>
                <w14:textFill>
                  <w14:solidFill>
                    <w14:schemeClr w14:val="tx1"/>
                  </w14:solidFill>
                </w14:textFill>
              </w:rPr>
              <w:t>33.17</w:t>
            </w:r>
          </w:p>
        </w:tc>
        <w:tc>
          <w:tcPr>
            <w:tcW w:w="1661" w:type="dxa"/>
            <w:tcBorders>
              <w:top w:val="nil"/>
              <w:left w:val="nil"/>
              <w:bottom w:val="single" w:color="FFC000" w:sz="8" w:space="0"/>
              <w:right w:val="nil"/>
            </w:tcBorders>
            <w:shd w:val="clear" w:color="auto" w:fill="FFF4E7"/>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hint="eastAsia" w:ascii="等线" w:hAnsi="等线" w:eastAsia="等线" w:cs="Arial"/>
                <w:color w:val="000000" w:themeColor="text1"/>
                <w:kern w:val="0"/>
                <w:sz w:val="18"/>
                <w:szCs w:val="18"/>
                <w14:textFill>
                  <w14:solidFill>
                    <w14:schemeClr w14:val="tx1"/>
                  </w14:solidFill>
                </w14:textFill>
              </w:rPr>
              <w:t>42.66</w:t>
            </w:r>
          </w:p>
        </w:tc>
        <w:tc>
          <w:tcPr>
            <w:tcW w:w="1661" w:type="dxa"/>
            <w:tcBorders>
              <w:top w:val="nil"/>
              <w:left w:val="nil"/>
              <w:bottom w:val="single" w:color="FFC000" w:sz="8" w:space="0"/>
              <w:right w:val="nil"/>
            </w:tcBorders>
            <w:shd w:val="clear" w:color="auto" w:fill="FFF4E7"/>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hint="eastAsia" w:ascii="等线" w:hAnsi="等线" w:eastAsia="等线" w:cs="Arial"/>
                <w:color w:val="000000" w:themeColor="text1"/>
                <w:sz w:val="18"/>
                <w:szCs w:val="18"/>
                <w14:textFill>
                  <w14:solidFill>
                    <w14:schemeClr w14:val="tx1"/>
                  </w14:solidFill>
                </w14:textFill>
              </w:rPr>
              <w:t>48.96</w:t>
            </w:r>
          </w:p>
        </w:tc>
        <w:tc>
          <w:tcPr>
            <w:tcW w:w="1661" w:type="dxa"/>
            <w:tcBorders>
              <w:top w:val="nil"/>
              <w:left w:val="nil"/>
              <w:bottom w:val="single" w:color="FFC000" w:sz="8" w:space="0"/>
              <w:right w:val="nil"/>
            </w:tcBorders>
            <w:shd w:val="clear" w:color="auto" w:fill="FFF4E7"/>
            <w:tcMar>
              <w:top w:w="15" w:type="dxa"/>
              <w:left w:w="108" w:type="dxa"/>
              <w:bottom w:w="0" w:type="dxa"/>
              <w:right w:w="108" w:type="dxa"/>
            </w:tcMar>
            <w:vAlign w:val="center"/>
          </w:tcPr>
          <w:p>
            <w:pPr>
              <w:widowControl/>
              <w:jc w:val="center"/>
              <w:rPr>
                <w:rFonts w:ascii="Arial" w:hAnsi="Arial" w:eastAsia="宋体" w:cs="Arial"/>
                <w:kern w:val="0"/>
                <w:sz w:val="18"/>
                <w:szCs w:val="18"/>
              </w:rPr>
            </w:pPr>
            <w:r>
              <w:rPr>
                <w:rFonts w:hint="eastAsia" w:ascii="等线" w:hAnsi="等线" w:eastAsia="等线" w:cs="Arial"/>
                <w:color w:val="000000" w:themeColor="text1"/>
                <w:sz w:val="18"/>
                <w:szCs w:val="18"/>
                <w14:textFill>
                  <w14:solidFill>
                    <w14:schemeClr w14:val="tx1"/>
                  </w14:solidFill>
                </w14:textFill>
              </w:rPr>
              <w:t>64.61</w:t>
            </w:r>
          </w:p>
        </w:tc>
      </w:tr>
    </w:tbl>
    <w:p>
      <w:pPr>
        <w:spacing w:line="276" w:lineRule="auto"/>
        <w:ind w:firstLine="360" w:firstLineChars="200"/>
        <w:rPr>
          <w:sz w:val="18"/>
          <w:szCs w:val="18"/>
        </w:rPr>
      </w:pPr>
      <w:bookmarkStart w:id="163" w:name="_Hlk87214248"/>
      <w:r>
        <w:rPr>
          <w:rFonts w:hint="eastAsia"/>
          <w:sz w:val="18"/>
          <w:szCs w:val="18"/>
        </w:rPr>
        <w:t>数据来源：</w:t>
      </w:r>
      <w:bookmarkEnd w:id="163"/>
      <w:r>
        <w:rPr>
          <w:rFonts w:hint="eastAsia"/>
          <w:sz w:val="18"/>
          <w:szCs w:val="18"/>
        </w:rPr>
        <w:t>同表</w:t>
      </w:r>
      <w:r>
        <w:rPr>
          <w:sz w:val="18"/>
          <w:szCs w:val="18"/>
        </w:rPr>
        <w:t>15</w:t>
      </w:r>
      <w:r>
        <w:rPr>
          <w:rFonts w:hint="eastAsia"/>
          <w:sz w:val="18"/>
          <w:szCs w:val="18"/>
        </w:rPr>
        <w:t>。</w:t>
      </w:r>
    </w:p>
    <w:p>
      <w:pPr>
        <w:spacing w:line="276" w:lineRule="auto"/>
        <w:ind w:firstLine="360" w:firstLineChars="200"/>
        <w:rPr>
          <w:sz w:val="18"/>
          <w:szCs w:val="18"/>
        </w:rPr>
      </w:pPr>
    </w:p>
    <w:p>
      <w:pPr>
        <w:spacing w:line="276" w:lineRule="auto"/>
        <w:ind w:firstLine="360" w:firstLineChars="200"/>
        <w:rPr>
          <w:sz w:val="18"/>
          <w:szCs w:val="18"/>
        </w:rPr>
      </w:pPr>
    </w:p>
    <w:p>
      <w:pPr>
        <w:spacing w:line="276" w:lineRule="auto"/>
      </w:pPr>
      <w:r>
        <w:drawing>
          <wp:inline distT="0" distB="0" distL="0" distR="0">
            <wp:extent cx="2604135" cy="2230755"/>
            <wp:effectExtent l="0" t="0" r="571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hint="eastAsia"/>
        </w:rPr>
        <w:t xml:space="preserve"> </w:t>
      </w:r>
      <w:r>
        <w:drawing>
          <wp:inline distT="0" distB="0" distL="0" distR="0">
            <wp:extent cx="2581910" cy="2230120"/>
            <wp:effectExtent l="0" t="0" r="8890" b="1778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276" w:lineRule="auto"/>
        <w:ind w:firstLine="420" w:firstLineChars="200"/>
        <w:jc w:val="center"/>
      </w:pPr>
      <w:r>
        <w:rPr>
          <w:rFonts w:hint="eastAsia"/>
        </w:rPr>
        <w:t>图4</w:t>
      </w:r>
      <w:r>
        <w:t xml:space="preserve">   2010</w:t>
      </w:r>
      <w:r>
        <w:rPr>
          <w:rFonts w:hint="eastAsia"/>
        </w:rPr>
        <w:t>年和2</w:t>
      </w:r>
      <w:r>
        <w:t>025</w:t>
      </w:r>
      <w:r>
        <w:rPr>
          <w:rFonts w:hint="eastAsia"/>
        </w:rPr>
        <w:t>年西山区常住人口年龄金字塔</w:t>
      </w:r>
    </w:p>
    <w:p>
      <w:pPr>
        <w:spacing w:line="276" w:lineRule="auto"/>
        <w:ind w:firstLine="360" w:firstLineChars="200"/>
      </w:pPr>
      <w:r>
        <w:rPr>
          <w:rFonts w:hint="eastAsia"/>
          <w:sz w:val="18"/>
          <w:szCs w:val="18"/>
        </w:rPr>
        <w:t>数据来源：2</w:t>
      </w:r>
      <w:r>
        <w:rPr>
          <w:sz w:val="18"/>
          <w:szCs w:val="18"/>
        </w:rPr>
        <w:t>010</w:t>
      </w:r>
      <w:r>
        <w:rPr>
          <w:rFonts w:hint="eastAsia"/>
          <w:sz w:val="18"/>
          <w:szCs w:val="18"/>
        </w:rPr>
        <w:t>年为“六普”数据；2</w:t>
      </w:r>
      <w:r>
        <w:rPr>
          <w:sz w:val="18"/>
          <w:szCs w:val="18"/>
        </w:rPr>
        <w:t>025</w:t>
      </w:r>
      <w:r>
        <w:rPr>
          <w:rFonts w:hint="eastAsia"/>
          <w:sz w:val="18"/>
          <w:szCs w:val="18"/>
        </w:rPr>
        <w:t>年为本文预测。</w:t>
      </w:r>
    </w:p>
    <w:p>
      <w:pPr>
        <w:spacing w:line="276" w:lineRule="auto"/>
        <w:ind w:firstLine="420" w:firstLineChars="200"/>
      </w:pPr>
    </w:p>
    <w:p>
      <w:pPr>
        <w:spacing w:line="276" w:lineRule="auto"/>
        <w:ind w:firstLine="260" w:firstLineChars="200"/>
        <w:jc w:val="center"/>
      </w:pPr>
      <w:r>
        <w:rPr>
          <w:sz w:val="13"/>
          <w:szCs w:val="13"/>
        </w:rPr>
        <w:drawing>
          <wp:inline distT="0" distB="0" distL="0" distR="0">
            <wp:extent cx="3889375" cy="2312670"/>
            <wp:effectExtent l="0" t="0" r="15875" b="1143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276" w:lineRule="auto"/>
        <w:ind w:firstLine="420" w:firstLineChars="200"/>
        <w:jc w:val="center"/>
      </w:pPr>
      <w:bookmarkStart w:id="164" w:name="_Hlk35459787"/>
      <w:r>
        <w:rPr>
          <w:rFonts w:hint="eastAsia"/>
        </w:rPr>
        <w:t>图5</w:t>
      </w:r>
      <w:r>
        <w:tab/>
      </w:r>
      <w:r>
        <w:tab/>
      </w:r>
      <w:r>
        <w:t>2018</w:t>
      </w:r>
      <w:r>
        <w:rPr>
          <w:rFonts w:hint="eastAsia"/>
        </w:rPr>
        <w:t>年昆明市各辖区常住人口与生产总值关联散点图</w:t>
      </w:r>
    </w:p>
    <w:bookmarkEnd w:id="164"/>
    <w:p>
      <w:pPr>
        <w:spacing w:line="276" w:lineRule="auto"/>
        <w:ind w:firstLine="420" w:firstLineChars="200"/>
        <w:jc w:val="center"/>
      </w:pPr>
    </w:p>
    <w:p>
      <w:pPr>
        <w:spacing w:line="276" w:lineRule="auto"/>
        <w:ind w:firstLine="420" w:firstLineChars="200"/>
      </w:pPr>
      <w:r>
        <w:rPr>
          <w:rFonts w:hint="eastAsia"/>
        </w:rPr>
        <w:t>如所周知，西山区不仅是昆明市1</w:t>
      </w:r>
      <w:r>
        <w:t>4</w:t>
      </w:r>
      <w:r>
        <w:rPr>
          <w:rFonts w:hint="eastAsia"/>
        </w:rPr>
        <w:t>个市（县、区）的一个行政辖区，而且是昆明主城区不可分割的西部板块，在昆明市各县区发展中具有举足轻重的地位。2</w:t>
      </w:r>
      <w:r>
        <w:t>018</w:t>
      </w:r>
      <w:r>
        <w:rPr>
          <w:rFonts w:hint="eastAsia"/>
        </w:rPr>
        <w:t>年以6</w:t>
      </w:r>
      <w:r>
        <w:t>00</w:t>
      </w:r>
      <w:r>
        <w:rPr>
          <w:rFonts w:hint="eastAsia"/>
        </w:rPr>
        <w:t>亿生产总值和近8</w:t>
      </w:r>
      <w:r>
        <w:t>0</w:t>
      </w:r>
      <w:r>
        <w:rPr>
          <w:rFonts w:hint="eastAsia"/>
        </w:rPr>
        <w:t>万常住人口位居</w:t>
      </w:r>
      <w:bookmarkStart w:id="165" w:name="_Hlk35373227"/>
      <w:r>
        <w:rPr>
          <w:rFonts w:hint="eastAsia"/>
        </w:rPr>
        <w:t>官渡、五华、盘龙</w:t>
      </w:r>
      <w:bookmarkEnd w:id="165"/>
      <w:r>
        <w:rPr>
          <w:rFonts w:hint="eastAsia"/>
        </w:rPr>
        <w:t>之后的第四位。同时观察区域人口密度与经济人口密度，西山区人均生产总值7</w:t>
      </w:r>
      <w:r>
        <w:t>.58</w:t>
      </w:r>
      <w:r>
        <w:rPr>
          <w:rFonts w:hint="eastAsia"/>
        </w:rPr>
        <w:t>万元，低于官渡、五华、安宁和盘龙，常住人口密度每平方公里近9</w:t>
      </w:r>
      <w:r>
        <w:t>00</w:t>
      </w:r>
      <w:r>
        <w:rPr>
          <w:rFonts w:hint="eastAsia"/>
        </w:rPr>
        <w:t>人，远低于五华、盘龙和官渡，同样列居第四位。</w:t>
      </w:r>
    </w:p>
    <w:p>
      <w:pPr>
        <w:spacing w:line="276" w:lineRule="auto"/>
        <w:ind w:firstLine="420" w:firstLineChars="200"/>
        <w:jc w:val="center"/>
      </w:pPr>
    </w:p>
    <w:p>
      <w:pPr>
        <w:spacing w:line="276" w:lineRule="auto"/>
        <w:ind w:firstLine="420" w:firstLineChars="200"/>
        <w:jc w:val="center"/>
      </w:pPr>
    </w:p>
    <w:p>
      <w:pPr>
        <w:spacing w:line="276" w:lineRule="auto"/>
        <w:ind w:firstLine="420" w:firstLineChars="200"/>
        <w:jc w:val="center"/>
      </w:pPr>
    </w:p>
    <w:p>
      <w:pPr>
        <w:spacing w:line="276" w:lineRule="auto"/>
        <w:ind w:firstLine="420" w:firstLineChars="200"/>
        <w:jc w:val="center"/>
      </w:pPr>
      <w:r>
        <w:drawing>
          <wp:inline distT="0" distB="0" distL="0" distR="0">
            <wp:extent cx="3825240" cy="2274570"/>
            <wp:effectExtent l="0" t="0" r="3810" b="1143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276" w:lineRule="auto"/>
        <w:ind w:firstLine="420" w:firstLineChars="200"/>
        <w:jc w:val="center"/>
      </w:pPr>
      <w:r>
        <w:rPr>
          <w:rFonts w:hint="eastAsia"/>
        </w:rPr>
        <w:t>图6</w:t>
      </w:r>
      <w:r>
        <w:tab/>
      </w:r>
      <w:r>
        <w:tab/>
      </w:r>
      <w:r>
        <w:t>2018</w:t>
      </w:r>
      <w:r>
        <w:rPr>
          <w:rFonts w:hint="eastAsia"/>
        </w:rPr>
        <w:t>年昆明市各辖区人口密度与人均生产总值关联散点图</w:t>
      </w:r>
    </w:p>
    <w:p>
      <w:pPr>
        <w:spacing w:line="276" w:lineRule="auto"/>
        <w:ind w:firstLine="420" w:firstLineChars="200"/>
      </w:pPr>
    </w:p>
    <w:p>
      <w:pPr>
        <w:spacing w:line="276" w:lineRule="auto"/>
        <w:ind w:firstLine="420" w:firstLineChars="200"/>
      </w:pPr>
      <w:r>
        <w:rPr>
          <w:rFonts w:hint="eastAsia"/>
        </w:rPr>
        <w:t>据上，西山区经济发展与人口规模在昆明市1</w:t>
      </w:r>
      <w:r>
        <w:t>4</w:t>
      </w:r>
      <w:r>
        <w:rPr>
          <w:rFonts w:hint="eastAsia"/>
        </w:rPr>
        <w:t>县区中属于第一层次中的后进者，其与五华、盘龙、官渡的发展差距显而易见，若要缩小这种差距，西山区必须加快经济发展步伐，增加人口规模，否则西山区很可能被呈贡、甚至安宁赶超。</w:t>
      </w:r>
    </w:p>
    <w:p>
      <w:pPr>
        <w:spacing w:line="276" w:lineRule="auto"/>
        <w:ind w:firstLine="420" w:firstLineChars="200"/>
      </w:pPr>
    </w:p>
    <w:p>
      <w:pPr>
        <w:spacing w:line="276" w:lineRule="auto"/>
        <w:ind w:firstLine="420" w:firstLineChars="200"/>
      </w:pPr>
    </w:p>
    <w:p>
      <w:pPr>
        <w:spacing w:line="276" w:lineRule="auto"/>
        <w:ind w:firstLine="420" w:firstLineChars="200"/>
      </w:pPr>
    </w:p>
    <w:p>
      <w:pPr>
        <w:spacing w:line="276" w:lineRule="auto"/>
        <w:jc w:val="center"/>
      </w:pPr>
      <w:r>
        <w:rPr>
          <w:rFonts w:hint="eastAsia"/>
        </w:rPr>
        <w:t>表</w:t>
      </w:r>
      <w:r>
        <w:t>17</w:t>
      </w:r>
      <w:r>
        <w:tab/>
      </w:r>
      <w:r>
        <w:rPr>
          <w:rFonts w:hint="eastAsia"/>
        </w:rPr>
        <w:t>2</w:t>
      </w:r>
      <w:r>
        <w:t>010</w:t>
      </w:r>
      <w:r>
        <w:rPr>
          <w:rFonts w:hint="eastAsia"/>
        </w:rPr>
        <w:t>~</w:t>
      </w:r>
      <w:r>
        <w:t>2025</w:t>
      </w:r>
      <w:r>
        <w:rPr>
          <w:rFonts w:hint="eastAsia"/>
        </w:rPr>
        <w:t>年西山区常住人口中育龄妇女人数、年龄别生育率和出生人数</w:t>
      </w:r>
    </w:p>
    <w:p>
      <w:pPr>
        <w:spacing w:line="276" w:lineRule="auto"/>
        <w:ind w:left="6720"/>
      </w:pPr>
      <w:r>
        <w:rPr>
          <w:rFonts w:hint="eastAsia"/>
        </w:rPr>
        <w:t>单位</w:t>
      </w:r>
      <w:r>
        <w:tab/>
      </w:r>
      <w:r>
        <w:rPr>
          <w:rFonts w:hint="eastAsia"/>
        </w:rPr>
        <w:t>人、‰</w:t>
      </w:r>
    </w:p>
    <w:tbl>
      <w:tblPr>
        <w:tblStyle w:val="26"/>
        <w:tblW w:w="9756" w:type="dxa"/>
        <w:jc w:val="center"/>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0"/>
        <w:gridCol w:w="750"/>
        <w:gridCol w:w="751"/>
        <w:gridCol w:w="750"/>
        <w:gridCol w:w="751"/>
        <w:gridCol w:w="750"/>
        <w:gridCol w:w="751"/>
        <w:gridCol w:w="750"/>
        <w:gridCol w:w="751"/>
        <w:gridCol w:w="750"/>
        <w:gridCol w:w="751"/>
        <w:gridCol w:w="750"/>
        <w:gridCol w:w="751"/>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750" w:type="dxa"/>
            <w:tcBorders>
              <w:bottom w:val="single" w:color="7E7E7E" w:themeColor="text1" w:themeTint="80" w:sz="4" w:space="0"/>
              <w:insideH w:val="single" w:sz="4" w:space="0"/>
            </w:tcBorders>
            <w:noWrap/>
            <w:vAlign w:val="center"/>
          </w:tcPr>
          <w:p>
            <w:pPr>
              <w:widowControl/>
              <w:jc w:val="center"/>
              <w:rPr>
                <w:rFonts w:ascii="宋体" w:hAnsi="宋体" w:eastAsia="宋体" w:cs="宋体"/>
                <w:b/>
                <w:bCs/>
                <w:kern w:val="0"/>
                <w:sz w:val="15"/>
                <w:szCs w:val="15"/>
              </w:rPr>
            </w:pPr>
          </w:p>
        </w:tc>
        <w:tc>
          <w:tcPr>
            <w:tcW w:w="750" w:type="dxa"/>
            <w:tcBorders>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b/>
                <w:bCs/>
                <w:color w:val="000000"/>
                <w:kern w:val="0"/>
                <w:sz w:val="15"/>
                <w:szCs w:val="15"/>
              </w:rPr>
            </w:pPr>
          </w:p>
        </w:tc>
        <w:tc>
          <w:tcPr>
            <w:tcW w:w="751" w:type="dxa"/>
            <w:tcBorders>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b/>
                <w:bCs/>
                <w:color w:val="000000"/>
                <w:kern w:val="0"/>
                <w:sz w:val="15"/>
                <w:szCs w:val="15"/>
              </w:rPr>
            </w:pPr>
            <w:r>
              <w:rPr>
                <w:rFonts w:ascii="等线" w:hAnsi="等线" w:eastAsia="等线" w:cs="宋体"/>
                <w:b/>
                <w:bCs/>
                <w:color w:val="000000"/>
                <w:kern w:val="0"/>
                <w:sz w:val="15"/>
                <w:szCs w:val="15"/>
              </w:rPr>
              <w:t>2010</w:t>
            </w:r>
            <w:r>
              <w:rPr>
                <w:rFonts w:hint="eastAsia" w:ascii="等线" w:hAnsi="等线" w:eastAsia="等线" w:cs="宋体"/>
                <w:b/>
                <w:bCs/>
                <w:color w:val="000000"/>
                <w:kern w:val="0"/>
                <w:sz w:val="15"/>
                <w:szCs w:val="15"/>
              </w:rPr>
              <w:t>年</w:t>
            </w:r>
          </w:p>
        </w:tc>
        <w:tc>
          <w:tcPr>
            <w:tcW w:w="750" w:type="dxa"/>
            <w:tcBorders>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b/>
                <w:bCs/>
                <w:color w:val="000000"/>
                <w:kern w:val="0"/>
                <w:sz w:val="15"/>
                <w:szCs w:val="15"/>
              </w:rPr>
            </w:pPr>
          </w:p>
        </w:tc>
        <w:tc>
          <w:tcPr>
            <w:tcW w:w="751" w:type="dxa"/>
            <w:tcBorders>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b/>
                <w:bCs/>
                <w:color w:val="000000"/>
                <w:kern w:val="0"/>
                <w:sz w:val="15"/>
                <w:szCs w:val="15"/>
              </w:rPr>
            </w:pPr>
          </w:p>
        </w:tc>
        <w:tc>
          <w:tcPr>
            <w:tcW w:w="750" w:type="dxa"/>
            <w:tcBorders>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b/>
                <w:bCs/>
                <w:color w:val="000000"/>
                <w:kern w:val="0"/>
                <w:sz w:val="15"/>
                <w:szCs w:val="15"/>
              </w:rPr>
            </w:pPr>
            <w:r>
              <w:rPr>
                <w:rFonts w:ascii="等线" w:hAnsi="等线" w:eastAsia="等线" w:cs="宋体"/>
                <w:b/>
                <w:bCs/>
                <w:color w:val="000000"/>
                <w:kern w:val="0"/>
                <w:sz w:val="15"/>
                <w:szCs w:val="15"/>
              </w:rPr>
              <w:t>2015</w:t>
            </w:r>
            <w:r>
              <w:rPr>
                <w:rFonts w:hint="eastAsia" w:ascii="等线" w:hAnsi="等线" w:eastAsia="等线" w:cs="宋体"/>
                <w:b/>
                <w:bCs/>
                <w:color w:val="000000"/>
                <w:kern w:val="0"/>
                <w:sz w:val="15"/>
                <w:szCs w:val="15"/>
              </w:rPr>
              <w:t>年</w:t>
            </w:r>
          </w:p>
        </w:tc>
        <w:tc>
          <w:tcPr>
            <w:tcW w:w="751" w:type="dxa"/>
            <w:tcBorders>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b/>
                <w:bCs/>
                <w:color w:val="000000"/>
                <w:kern w:val="0"/>
                <w:sz w:val="15"/>
                <w:szCs w:val="15"/>
              </w:rPr>
            </w:pPr>
          </w:p>
        </w:tc>
        <w:tc>
          <w:tcPr>
            <w:tcW w:w="750" w:type="dxa"/>
            <w:tcBorders>
              <w:bottom w:val="single" w:color="7E7E7E" w:themeColor="text1" w:themeTint="80" w:sz="4" w:space="0"/>
              <w:insideH w:val="single" w:sz="4" w:space="0"/>
            </w:tcBorders>
            <w:shd w:val="clear" w:color="auto" w:fill="FBE4D5" w:themeFill="accent2" w:themeFillTint="33"/>
            <w:noWrap/>
            <w:vAlign w:val="center"/>
          </w:tcPr>
          <w:p>
            <w:pPr>
              <w:widowControl/>
              <w:jc w:val="center"/>
              <w:rPr>
                <w:rFonts w:ascii="等线" w:hAnsi="等线" w:eastAsia="等线" w:cs="宋体"/>
                <w:b/>
                <w:bCs/>
                <w:color w:val="000000"/>
                <w:kern w:val="0"/>
                <w:sz w:val="15"/>
                <w:szCs w:val="15"/>
              </w:rPr>
            </w:pPr>
          </w:p>
        </w:tc>
        <w:tc>
          <w:tcPr>
            <w:tcW w:w="751" w:type="dxa"/>
            <w:tcBorders>
              <w:bottom w:val="single" w:color="7E7E7E" w:themeColor="text1" w:themeTint="80" w:sz="4" w:space="0"/>
              <w:insideH w:val="single" w:sz="4" w:space="0"/>
            </w:tcBorders>
            <w:shd w:val="clear" w:color="auto" w:fill="FBE4D5" w:themeFill="accent2" w:themeFillTint="33"/>
            <w:noWrap/>
            <w:vAlign w:val="center"/>
          </w:tcPr>
          <w:p>
            <w:pPr>
              <w:widowControl/>
              <w:jc w:val="center"/>
              <w:rPr>
                <w:rFonts w:ascii="等线" w:hAnsi="等线" w:eastAsia="等线" w:cs="宋体"/>
                <w:b/>
                <w:bCs/>
                <w:color w:val="000000"/>
                <w:kern w:val="0"/>
                <w:sz w:val="15"/>
                <w:szCs w:val="15"/>
              </w:rPr>
            </w:pPr>
            <w:r>
              <w:rPr>
                <w:rFonts w:ascii="等线" w:hAnsi="等线" w:eastAsia="等线" w:cs="宋体"/>
                <w:b/>
                <w:bCs/>
                <w:color w:val="000000"/>
                <w:kern w:val="0"/>
                <w:sz w:val="15"/>
                <w:szCs w:val="15"/>
              </w:rPr>
              <w:t>2020</w:t>
            </w:r>
            <w:r>
              <w:rPr>
                <w:rFonts w:hint="eastAsia" w:ascii="等线" w:hAnsi="等线" w:eastAsia="等线" w:cs="宋体"/>
                <w:b/>
                <w:bCs/>
                <w:color w:val="000000"/>
                <w:kern w:val="0"/>
                <w:sz w:val="15"/>
                <w:szCs w:val="15"/>
              </w:rPr>
              <w:t>年</w:t>
            </w:r>
          </w:p>
        </w:tc>
        <w:tc>
          <w:tcPr>
            <w:tcW w:w="750" w:type="dxa"/>
            <w:tcBorders>
              <w:bottom w:val="single" w:color="7E7E7E" w:themeColor="text1" w:themeTint="80" w:sz="4" w:space="0"/>
              <w:insideH w:val="single" w:sz="4" w:space="0"/>
            </w:tcBorders>
            <w:shd w:val="clear" w:color="auto" w:fill="FBE4D5" w:themeFill="accent2" w:themeFillTint="33"/>
            <w:noWrap/>
            <w:vAlign w:val="center"/>
          </w:tcPr>
          <w:p>
            <w:pPr>
              <w:widowControl/>
              <w:jc w:val="center"/>
              <w:rPr>
                <w:rFonts w:ascii="等线" w:hAnsi="等线" w:eastAsia="等线" w:cs="宋体"/>
                <w:b/>
                <w:bCs/>
                <w:color w:val="000000"/>
                <w:kern w:val="0"/>
                <w:sz w:val="15"/>
                <w:szCs w:val="15"/>
              </w:rPr>
            </w:pPr>
          </w:p>
        </w:tc>
        <w:tc>
          <w:tcPr>
            <w:tcW w:w="751" w:type="dxa"/>
            <w:tcBorders>
              <w:bottom w:val="single" w:color="7E7E7E" w:themeColor="text1" w:themeTint="80" w:sz="4" w:space="0"/>
              <w:insideH w:val="single" w:sz="4" w:space="0"/>
            </w:tcBorders>
            <w:shd w:val="clear" w:color="auto" w:fill="E7E6E6" w:themeFill="background2"/>
            <w:noWrap/>
            <w:vAlign w:val="center"/>
          </w:tcPr>
          <w:p>
            <w:pPr>
              <w:widowControl/>
              <w:jc w:val="center"/>
              <w:rPr>
                <w:rFonts w:ascii="等线" w:hAnsi="等线" w:eastAsia="等线" w:cs="宋体"/>
                <w:b/>
                <w:bCs/>
                <w:color w:val="000000"/>
                <w:kern w:val="0"/>
                <w:sz w:val="15"/>
                <w:szCs w:val="15"/>
              </w:rPr>
            </w:pPr>
          </w:p>
        </w:tc>
        <w:tc>
          <w:tcPr>
            <w:tcW w:w="750" w:type="dxa"/>
            <w:tcBorders>
              <w:bottom w:val="single" w:color="7E7E7E" w:themeColor="text1" w:themeTint="80" w:sz="4" w:space="0"/>
              <w:insideH w:val="single" w:sz="4" w:space="0"/>
            </w:tcBorders>
            <w:shd w:val="clear" w:color="auto" w:fill="E7E6E6" w:themeFill="background2"/>
            <w:noWrap/>
            <w:vAlign w:val="center"/>
          </w:tcPr>
          <w:p>
            <w:pPr>
              <w:widowControl/>
              <w:jc w:val="center"/>
              <w:rPr>
                <w:rFonts w:ascii="等线" w:hAnsi="等线" w:eastAsia="等线" w:cs="宋体"/>
                <w:b/>
                <w:bCs/>
                <w:color w:val="000000"/>
                <w:kern w:val="0"/>
                <w:sz w:val="15"/>
                <w:szCs w:val="15"/>
              </w:rPr>
            </w:pPr>
            <w:r>
              <w:rPr>
                <w:rFonts w:ascii="等线" w:hAnsi="等线" w:eastAsia="等线" w:cs="宋体"/>
                <w:b/>
                <w:bCs/>
                <w:color w:val="000000"/>
                <w:kern w:val="0"/>
                <w:sz w:val="15"/>
                <w:szCs w:val="15"/>
              </w:rPr>
              <w:t>2025</w:t>
            </w:r>
            <w:r>
              <w:rPr>
                <w:rFonts w:hint="eastAsia" w:ascii="等线" w:hAnsi="等线" w:eastAsia="等线" w:cs="宋体"/>
                <w:b/>
                <w:bCs/>
                <w:color w:val="000000"/>
                <w:kern w:val="0"/>
                <w:sz w:val="15"/>
                <w:szCs w:val="15"/>
              </w:rPr>
              <w:t>年</w:t>
            </w:r>
          </w:p>
        </w:tc>
        <w:tc>
          <w:tcPr>
            <w:tcW w:w="751" w:type="dxa"/>
            <w:tcBorders>
              <w:bottom w:val="single" w:color="7E7E7E" w:themeColor="text1" w:themeTint="80" w:sz="4" w:space="0"/>
              <w:insideH w:val="single" w:sz="4" w:space="0"/>
            </w:tcBorders>
            <w:shd w:val="clear" w:color="auto" w:fill="E7E6E6" w:themeFill="background2"/>
            <w:noWrap/>
            <w:vAlign w:val="center"/>
          </w:tcPr>
          <w:p>
            <w:pPr>
              <w:widowControl/>
              <w:jc w:val="center"/>
              <w:rPr>
                <w:rFonts w:ascii="等线" w:hAnsi="等线" w:eastAsia="等线" w:cs="宋体"/>
                <w:b/>
                <w:bCs/>
                <w:color w:val="000000"/>
                <w:kern w:val="0"/>
                <w:sz w:val="15"/>
                <w:szCs w:val="15"/>
              </w:rPr>
            </w:pP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75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宋体" w:hAnsi="宋体" w:eastAsia="宋体" w:cs="宋体"/>
                <w:b/>
                <w:bCs/>
                <w:kern w:val="0"/>
                <w:sz w:val="15"/>
                <w:szCs w:val="15"/>
              </w:rPr>
            </w:pPr>
          </w:p>
        </w:tc>
        <w:tc>
          <w:tcPr>
            <w:tcW w:w="750" w:type="dxa"/>
            <w:tcBorders>
              <w:top w:val="single" w:color="7E7E7E" w:themeColor="text1" w:themeTint="80" w:sz="4" w:space="0"/>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育龄</w:t>
            </w:r>
          </w:p>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妇女</w:t>
            </w:r>
          </w:p>
        </w:tc>
        <w:tc>
          <w:tcPr>
            <w:tcW w:w="751" w:type="dxa"/>
            <w:tcBorders>
              <w:top w:val="single" w:color="7E7E7E" w:themeColor="text1" w:themeTint="80" w:sz="4" w:space="0"/>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生育率</w:t>
            </w:r>
          </w:p>
        </w:tc>
        <w:tc>
          <w:tcPr>
            <w:tcW w:w="750" w:type="dxa"/>
            <w:tcBorders>
              <w:top w:val="single" w:color="7E7E7E" w:themeColor="text1" w:themeTint="80" w:sz="4" w:space="0"/>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出生</w:t>
            </w:r>
          </w:p>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人数</w:t>
            </w:r>
          </w:p>
        </w:tc>
        <w:tc>
          <w:tcPr>
            <w:tcW w:w="751" w:type="dxa"/>
            <w:tcBorders>
              <w:top w:val="single" w:color="7E7E7E" w:themeColor="text1" w:themeTint="80" w:sz="4" w:space="0"/>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育龄</w:t>
            </w:r>
          </w:p>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妇女</w:t>
            </w:r>
          </w:p>
        </w:tc>
        <w:tc>
          <w:tcPr>
            <w:tcW w:w="750" w:type="dxa"/>
            <w:tcBorders>
              <w:top w:val="single" w:color="7E7E7E" w:themeColor="text1" w:themeTint="80" w:sz="4" w:space="0"/>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生育率</w:t>
            </w:r>
          </w:p>
        </w:tc>
        <w:tc>
          <w:tcPr>
            <w:tcW w:w="751" w:type="dxa"/>
            <w:tcBorders>
              <w:top w:val="single" w:color="7E7E7E" w:themeColor="text1" w:themeTint="80" w:sz="4" w:space="0"/>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出生</w:t>
            </w:r>
          </w:p>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人数</w:t>
            </w:r>
          </w:p>
        </w:tc>
        <w:tc>
          <w:tcPr>
            <w:tcW w:w="750" w:type="dxa"/>
            <w:tcBorders>
              <w:top w:val="single" w:color="7E7E7E" w:themeColor="text1" w:themeTint="80" w:sz="4" w:space="0"/>
              <w:bottom w:val="single" w:color="7E7E7E" w:themeColor="text1" w:themeTint="80" w:sz="4" w:space="0"/>
              <w:insideH w:val="single" w:sz="4" w:space="0"/>
            </w:tcBorders>
            <w:shd w:val="clear" w:color="auto" w:fill="FBE4D5" w:themeFill="accent2"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育龄</w:t>
            </w:r>
          </w:p>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妇女</w:t>
            </w:r>
          </w:p>
        </w:tc>
        <w:tc>
          <w:tcPr>
            <w:tcW w:w="751" w:type="dxa"/>
            <w:tcBorders>
              <w:top w:val="single" w:color="7E7E7E" w:themeColor="text1" w:themeTint="80" w:sz="4" w:space="0"/>
              <w:bottom w:val="single" w:color="7E7E7E" w:themeColor="text1" w:themeTint="80" w:sz="4" w:space="0"/>
              <w:insideH w:val="single" w:sz="4" w:space="0"/>
            </w:tcBorders>
            <w:shd w:val="clear" w:color="auto" w:fill="FBE4D5" w:themeFill="accent2"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生育率</w:t>
            </w:r>
          </w:p>
        </w:tc>
        <w:tc>
          <w:tcPr>
            <w:tcW w:w="750" w:type="dxa"/>
            <w:tcBorders>
              <w:top w:val="single" w:color="7E7E7E" w:themeColor="text1" w:themeTint="80" w:sz="4" w:space="0"/>
              <w:bottom w:val="single" w:color="7E7E7E" w:themeColor="text1" w:themeTint="80" w:sz="4" w:space="0"/>
              <w:insideH w:val="single" w:sz="4" w:space="0"/>
            </w:tcBorders>
            <w:shd w:val="clear" w:color="auto" w:fill="FBE4D5" w:themeFill="accent2"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出生</w:t>
            </w:r>
          </w:p>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人数</w:t>
            </w:r>
          </w:p>
        </w:tc>
        <w:tc>
          <w:tcPr>
            <w:tcW w:w="751" w:type="dxa"/>
            <w:tcBorders>
              <w:top w:val="single" w:color="7E7E7E" w:themeColor="text1" w:themeTint="80" w:sz="4" w:space="0"/>
              <w:bottom w:val="single" w:color="7E7E7E" w:themeColor="text1" w:themeTint="80" w:sz="4" w:space="0"/>
              <w:insideH w:val="single" w:sz="4" w:space="0"/>
            </w:tcBorders>
            <w:shd w:val="clear" w:color="auto" w:fill="E7E6E6" w:themeFill="background2"/>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育龄</w:t>
            </w:r>
          </w:p>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妇女</w:t>
            </w:r>
          </w:p>
        </w:tc>
        <w:tc>
          <w:tcPr>
            <w:tcW w:w="750" w:type="dxa"/>
            <w:tcBorders>
              <w:top w:val="single" w:color="7E7E7E" w:themeColor="text1" w:themeTint="80" w:sz="4" w:space="0"/>
              <w:bottom w:val="single" w:color="7E7E7E" w:themeColor="text1" w:themeTint="80" w:sz="4" w:space="0"/>
              <w:insideH w:val="single" w:sz="4" w:space="0"/>
            </w:tcBorders>
            <w:shd w:val="clear" w:color="auto" w:fill="E7E6E6" w:themeFill="background2"/>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生育率</w:t>
            </w:r>
          </w:p>
        </w:tc>
        <w:tc>
          <w:tcPr>
            <w:tcW w:w="751" w:type="dxa"/>
            <w:tcBorders>
              <w:top w:val="single" w:color="7E7E7E" w:themeColor="text1" w:themeTint="80" w:sz="4" w:space="0"/>
              <w:bottom w:val="single" w:color="7E7E7E" w:themeColor="text1" w:themeTint="80" w:sz="4" w:space="0"/>
              <w:insideH w:val="single" w:sz="4" w:space="0"/>
            </w:tcBorders>
            <w:shd w:val="clear" w:color="auto" w:fill="E7E6E6" w:themeFill="background2"/>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出生</w:t>
            </w:r>
          </w:p>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人数</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750" w:type="dxa"/>
            <w:noWrap/>
            <w:vAlign w:val="center"/>
          </w:tcPr>
          <w:p>
            <w:pPr>
              <w:widowControl/>
              <w:jc w:val="center"/>
              <w:rPr>
                <w:rFonts w:ascii="等线" w:hAnsi="等线" w:eastAsia="等线" w:cs="宋体"/>
                <w:b/>
                <w:bCs/>
                <w:color w:val="000000"/>
                <w:kern w:val="0"/>
                <w:sz w:val="15"/>
                <w:szCs w:val="15"/>
              </w:rPr>
            </w:pPr>
            <w:r>
              <w:rPr>
                <w:rFonts w:hint="eastAsia" w:ascii="等线" w:hAnsi="等线" w:eastAsia="等线" w:cs="宋体"/>
                <w:b/>
                <w:bCs/>
                <w:color w:val="000000"/>
                <w:kern w:val="0"/>
                <w:sz w:val="15"/>
                <w:szCs w:val="15"/>
              </w:rPr>
              <w:t>15-19</w:t>
            </w:r>
          </w:p>
        </w:tc>
        <w:tc>
          <w:tcPr>
            <w:tcW w:w="750" w:type="dxa"/>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22882</w:t>
            </w:r>
          </w:p>
        </w:tc>
        <w:tc>
          <w:tcPr>
            <w:tcW w:w="751" w:type="dxa"/>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1.42</w:t>
            </w:r>
          </w:p>
        </w:tc>
        <w:tc>
          <w:tcPr>
            <w:tcW w:w="750" w:type="dxa"/>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32</w:t>
            </w:r>
          </w:p>
        </w:tc>
        <w:tc>
          <w:tcPr>
            <w:tcW w:w="751" w:type="dxa"/>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14945</w:t>
            </w:r>
          </w:p>
        </w:tc>
        <w:tc>
          <w:tcPr>
            <w:tcW w:w="750" w:type="dxa"/>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1</w:t>
            </w:r>
          </w:p>
        </w:tc>
        <w:tc>
          <w:tcPr>
            <w:tcW w:w="751" w:type="dxa"/>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15</w:t>
            </w:r>
          </w:p>
        </w:tc>
        <w:tc>
          <w:tcPr>
            <w:tcW w:w="750"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16913</w:t>
            </w:r>
          </w:p>
        </w:tc>
        <w:tc>
          <w:tcPr>
            <w:tcW w:w="751"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1.4</w:t>
            </w:r>
          </w:p>
        </w:tc>
        <w:tc>
          <w:tcPr>
            <w:tcW w:w="750"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24</w:t>
            </w:r>
          </w:p>
        </w:tc>
        <w:tc>
          <w:tcPr>
            <w:tcW w:w="751"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19319</w:t>
            </w:r>
          </w:p>
        </w:tc>
        <w:tc>
          <w:tcPr>
            <w:tcW w:w="750"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1.2</w:t>
            </w:r>
          </w:p>
        </w:tc>
        <w:tc>
          <w:tcPr>
            <w:tcW w:w="751"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23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75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5"/>
                <w:szCs w:val="15"/>
              </w:rPr>
            </w:pPr>
            <w:r>
              <w:rPr>
                <w:rFonts w:hint="eastAsia" w:ascii="等线" w:hAnsi="等线" w:eastAsia="等线" w:cs="宋体"/>
                <w:b/>
                <w:bCs/>
                <w:color w:val="000000"/>
                <w:kern w:val="0"/>
                <w:sz w:val="15"/>
                <w:szCs w:val="15"/>
              </w:rPr>
              <w:t>20-24</w:t>
            </w:r>
          </w:p>
        </w:tc>
        <w:tc>
          <w:tcPr>
            <w:tcW w:w="750" w:type="dxa"/>
            <w:tcBorders>
              <w:top w:val="single" w:color="7E7E7E" w:themeColor="text1" w:themeTint="80" w:sz="4" w:space="0"/>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40465</w:t>
            </w:r>
          </w:p>
        </w:tc>
        <w:tc>
          <w:tcPr>
            <w:tcW w:w="751" w:type="dxa"/>
            <w:tcBorders>
              <w:top w:val="single" w:color="7E7E7E" w:themeColor="text1" w:themeTint="80" w:sz="4" w:space="0"/>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38.03</w:t>
            </w:r>
          </w:p>
        </w:tc>
        <w:tc>
          <w:tcPr>
            <w:tcW w:w="750" w:type="dxa"/>
            <w:tcBorders>
              <w:top w:val="single" w:color="7E7E7E" w:themeColor="text1" w:themeTint="80" w:sz="4" w:space="0"/>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1539</w:t>
            </w:r>
          </w:p>
        </w:tc>
        <w:tc>
          <w:tcPr>
            <w:tcW w:w="751" w:type="dxa"/>
            <w:tcBorders>
              <w:top w:val="single" w:color="7E7E7E" w:themeColor="text1" w:themeTint="80" w:sz="4" w:space="0"/>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25166</w:t>
            </w:r>
          </w:p>
        </w:tc>
        <w:tc>
          <w:tcPr>
            <w:tcW w:w="750" w:type="dxa"/>
            <w:tcBorders>
              <w:top w:val="single" w:color="7E7E7E" w:themeColor="text1" w:themeTint="80" w:sz="4" w:space="0"/>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35</w:t>
            </w:r>
          </w:p>
        </w:tc>
        <w:tc>
          <w:tcPr>
            <w:tcW w:w="751" w:type="dxa"/>
            <w:tcBorders>
              <w:top w:val="single" w:color="7E7E7E" w:themeColor="text1" w:themeTint="80" w:sz="4" w:space="0"/>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881</w:t>
            </w:r>
          </w:p>
        </w:tc>
        <w:tc>
          <w:tcPr>
            <w:tcW w:w="750"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16741</w:t>
            </w:r>
          </w:p>
        </w:tc>
        <w:tc>
          <w:tcPr>
            <w:tcW w:w="751"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40</w:t>
            </w:r>
          </w:p>
        </w:tc>
        <w:tc>
          <w:tcPr>
            <w:tcW w:w="750"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670</w:t>
            </w:r>
          </w:p>
        </w:tc>
        <w:tc>
          <w:tcPr>
            <w:tcW w:w="751"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17330</w:t>
            </w:r>
          </w:p>
        </w:tc>
        <w:tc>
          <w:tcPr>
            <w:tcW w:w="750"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40</w:t>
            </w:r>
          </w:p>
        </w:tc>
        <w:tc>
          <w:tcPr>
            <w:tcW w:w="751"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693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750" w:type="dxa"/>
            <w:noWrap/>
            <w:vAlign w:val="center"/>
          </w:tcPr>
          <w:p>
            <w:pPr>
              <w:widowControl/>
              <w:jc w:val="center"/>
              <w:rPr>
                <w:rFonts w:ascii="等线" w:hAnsi="等线" w:eastAsia="等线" w:cs="宋体"/>
                <w:b/>
                <w:bCs/>
                <w:color w:val="000000"/>
                <w:kern w:val="0"/>
                <w:sz w:val="15"/>
                <w:szCs w:val="15"/>
              </w:rPr>
            </w:pPr>
            <w:r>
              <w:rPr>
                <w:rFonts w:hint="eastAsia" w:ascii="等线" w:hAnsi="等线" w:eastAsia="等线" w:cs="宋体"/>
                <w:b/>
                <w:bCs/>
                <w:color w:val="000000"/>
                <w:kern w:val="0"/>
                <w:sz w:val="15"/>
                <w:szCs w:val="15"/>
              </w:rPr>
              <w:t>25-29</w:t>
            </w:r>
          </w:p>
        </w:tc>
        <w:tc>
          <w:tcPr>
            <w:tcW w:w="750" w:type="dxa"/>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35068</w:t>
            </w:r>
          </w:p>
        </w:tc>
        <w:tc>
          <w:tcPr>
            <w:tcW w:w="751" w:type="dxa"/>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75.88</w:t>
            </w:r>
          </w:p>
        </w:tc>
        <w:tc>
          <w:tcPr>
            <w:tcW w:w="750" w:type="dxa"/>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2661</w:t>
            </w:r>
          </w:p>
        </w:tc>
        <w:tc>
          <w:tcPr>
            <w:tcW w:w="751" w:type="dxa"/>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44506</w:t>
            </w:r>
          </w:p>
        </w:tc>
        <w:tc>
          <w:tcPr>
            <w:tcW w:w="750" w:type="dxa"/>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70</w:t>
            </w:r>
          </w:p>
        </w:tc>
        <w:tc>
          <w:tcPr>
            <w:tcW w:w="751" w:type="dxa"/>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3115</w:t>
            </w:r>
          </w:p>
        </w:tc>
        <w:tc>
          <w:tcPr>
            <w:tcW w:w="750"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27679</w:t>
            </w:r>
          </w:p>
        </w:tc>
        <w:tc>
          <w:tcPr>
            <w:tcW w:w="751"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70</w:t>
            </w:r>
          </w:p>
        </w:tc>
        <w:tc>
          <w:tcPr>
            <w:tcW w:w="750"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1938</w:t>
            </w:r>
          </w:p>
        </w:tc>
        <w:tc>
          <w:tcPr>
            <w:tcW w:w="751"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17154</w:t>
            </w:r>
          </w:p>
        </w:tc>
        <w:tc>
          <w:tcPr>
            <w:tcW w:w="750"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70</w:t>
            </w:r>
          </w:p>
        </w:tc>
        <w:tc>
          <w:tcPr>
            <w:tcW w:w="751"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1201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75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5"/>
                <w:szCs w:val="15"/>
              </w:rPr>
            </w:pPr>
            <w:r>
              <w:rPr>
                <w:rFonts w:hint="eastAsia" w:ascii="等线" w:hAnsi="等线" w:eastAsia="等线" w:cs="宋体"/>
                <w:b/>
                <w:bCs/>
                <w:color w:val="000000"/>
                <w:kern w:val="0"/>
                <w:sz w:val="15"/>
                <w:szCs w:val="15"/>
              </w:rPr>
              <w:t>30-34</w:t>
            </w:r>
          </w:p>
        </w:tc>
        <w:tc>
          <w:tcPr>
            <w:tcW w:w="750" w:type="dxa"/>
            <w:tcBorders>
              <w:top w:val="single" w:color="7E7E7E" w:themeColor="text1" w:themeTint="80" w:sz="4" w:space="0"/>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36104</w:t>
            </w:r>
          </w:p>
        </w:tc>
        <w:tc>
          <w:tcPr>
            <w:tcW w:w="751" w:type="dxa"/>
            <w:tcBorders>
              <w:top w:val="single" w:color="7E7E7E" w:themeColor="text1" w:themeTint="80" w:sz="4" w:space="0"/>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42.87</w:t>
            </w:r>
          </w:p>
        </w:tc>
        <w:tc>
          <w:tcPr>
            <w:tcW w:w="750" w:type="dxa"/>
            <w:tcBorders>
              <w:top w:val="single" w:color="7E7E7E" w:themeColor="text1" w:themeTint="80" w:sz="4" w:space="0"/>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1548</w:t>
            </w:r>
          </w:p>
        </w:tc>
        <w:tc>
          <w:tcPr>
            <w:tcW w:w="751" w:type="dxa"/>
            <w:tcBorders>
              <w:top w:val="single" w:color="7E7E7E" w:themeColor="text1" w:themeTint="80" w:sz="4" w:space="0"/>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38558</w:t>
            </w:r>
          </w:p>
        </w:tc>
        <w:tc>
          <w:tcPr>
            <w:tcW w:w="750" w:type="dxa"/>
            <w:tcBorders>
              <w:top w:val="single" w:color="7E7E7E" w:themeColor="text1" w:themeTint="80" w:sz="4" w:space="0"/>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50</w:t>
            </w:r>
          </w:p>
        </w:tc>
        <w:tc>
          <w:tcPr>
            <w:tcW w:w="751" w:type="dxa"/>
            <w:tcBorders>
              <w:top w:val="single" w:color="7E7E7E" w:themeColor="text1" w:themeTint="80" w:sz="4" w:space="0"/>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1928</w:t>
            </w:r>
          </w:p>
        </w:tc>
        <w:tc>
          <w:tcPr>
            <w:tcW w:w="750"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48936</w:t>
            </w:r>
          </w:p>
        </w:tc>
        <w:tc>
          <w:tcPr>
            <w:tcW w:w="751"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70</w:t>
            </w:r>
          </w:p>
        </w:tc>
        <w:tc>
          <w:tcPr>
            <w:tcW w:w="750"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3425</w:t>
            </w:r>
          </w:p>
        </w:tc>
        <w:tc>
          <w:tcPr>
            <w:tcW w:w="751"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28353</w:t>
            </w:r>
          </w:p>
        </w:tc>
        <w:tc>
          <w:tcPr>
            <w:tcW w:w="750"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70</w:t>
            </w:r>
          </w:p>
        </w:tc>
        <w:tc>
          <w:tcPr>
            <w:tcW w:w="751"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1985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750" w:type="dxa"/>
            <w:noWrap/>
            <w:vAlign w:val="center"/>
          </w:tcPr>
          <w:p>
            <w:pPr>
              <w:widowControl/>
              <w:jc w:val="center"/>
              <w:rPr>
                <w:rFonts w:ascii="等线" w:hAnsi="等线" w:eastAsia="等线" w:cs="宋体"/>
                <w:b/>
                <w:bCs/>
                <w:color w:val="000000"/>
                <w:kern w:val="0"/>
                <w:sz w:val="15"/>
                <w:szCs w:val="15"/>
              </w:rPr>
            </w:pPr>
            <w:r>
              <w:rPr>
                <w:rFonts w:hint="eastAsia" w:ascii="等线" w:hAnsi="等线" w:eastAsia="等线" w:cs="宋体"/>
                <w:b/>
                <w:bCs/>
                <w:color w:val="000000"/>
                <w:kern w:val="0"/>
                <w:sz w:val="15"/>
                <w:szCs w:val="15"/>
              </w:rPr>
              <w:t>35-39</w:t>
            </w:r>
          </w:p>
        </w:tc>
        <w:tc>
          <w:tcPr>
            <w:tcW w:w="750" w:type="dxa"/>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38008</w:t>
            </w:r>
          </w:p>
        </w:tc>
        <w:tc>
          <w:tcPr>
            <w:tcW w:w="751" w:type="dxa"/>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15.44</w:t>
            </w:r>
          </w:p>
        </w:tc>
        <w:tc>
          <w:tcPr>
            <w:tcW w:w="750" w:type="dxa"/>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587</w:t>
            </w:r>
          </w:p>
        </w:tc>
        <w:tc>
          <w:tcPr>
            <w:tcW w:w="751" w:type="dxa"/>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39701</w:t>
            </w:r>
          </w:p>
        </w:tc>
        <w:tc>
          <w:tcPr>
            <w:tcW w:w="750" w:type="dxa"/>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25</w:t>
            </w:r>
          </w:p>
        </w:tc>
        <w:tc>
          <w:tcPr>
            <w:tcW w:w="751" w:type="dxa"/>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993</w:t>
            </w:r>
          </w:p>
        </w:tc>
        <w:tc>
          <w:tcPr>
            <w:tcW w:w="750"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42400</w:t>
            </w:r>
          </w:p>
        </w:tc>
        <w:tc>
          <w:tcPr>
            <w:tcW w:w="751"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50</w:t>
            </w:r>
          </w:p>
        </w:tc>
        <w:tc>
          <w:tcPr>
            <w:tcW w:w="750"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2120</w:t>
            </w:r>
          </w:p>
        </w:tc>
        <w:tc>
          <w:tcPr>
            <w:tcW w:w="751"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50132</w:t>
            </w:r>
          </w:p>
        </w:tc>
        <w:tc>
          <w:tcPr>
            <w:tcW w:w="750"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50</w:t>
            </w:r>
          </w:p>
        </w:tc>
        <w:tc>
          <w:tcPr>
            <w:tcW w:w="751"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2507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75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5"/>
                <w:szCs w:val="15"/>
              </w:rPr>
            </w:pPr>
            <w:r>
              <w:rPr>
                <w:rFonts w:hint="eastAsia" w:ascii="等线" w:hAnsi="等线" w:eastAsia="等线" w:cs="宋体"/>
                <w:b/>
                <w:bCs/>
                <w:color w:val="000000"/>
                <w:kern w:val="0"/>
                <w:sz w:val="15"/>
                <w:szCs w:val="15"/>
              </w:rPr>
              <w:t>40-44</w:t>
            </w:r>
          </w:p>
        </w:tc>
        <w:tc>
          <w:tcPr>
            <w:tcW w:w="750" w:type="dxa"/>
            <w:tcBorders>
              <w:top w:val="single" w:color="7E7E7E" w:themeColor="text1" w:themeTint="80" w:sz="4" w:space="0"/>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32179</w:t>
            </w:r>
          </w:p>
        </w:tc>
        <w:tc>
          <w:tcPr>
            <w:tcW w:w="751" w:type="dxa"/>
            <w:tcBorders>
              <w:top w:val="single" w:color="7E7E7E" w:themeColor="text1" w:themeTint="80" w:sz="4" w:space="0"/>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3.11</w:t>
            </w:r>
          </w:p>
        </w:tc>
        <w:tc>
          <w:tcPr>
            <w:tcW w:w="750" w:type="dxa"/>
            <w:tcBorders>
              <w:top w:val="single" w:color="7E7E7E" w:themeColor="text1" w:themeTint="80" w:sz="4" w:space="0"/>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100</w:t>
            </w:r>
          </w:p>
        </w:tc>
        <w:tc>
          <w:tcPr>
            <w:tcW w:w="751" w:type="dxa"/>
            <w:tcBorders>
              <w:top w:val="single" w:color="7E7E7E" w:themeColor="text1" w:themeTint="80" w:sz="4" w:space="0"/>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41784</w:t>
            </w:r>
          </w:p>
        </w:tc>
        <w:tc>
          <w:tcPr>
            <w:tcW w:w="750" w:type="dxa"/>
            <w:tcBorders>
              <w:top w:val="single" w:color="7E7E7E" w:themeColor="text1" w:themeTint="80" w:sz="4" w:space="0"/>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6</w:t>
            </w:r>
          </w:p>
        </w:tc>
        <w:tc>
          <w:tcPr>
            <w:tcW w:w="751" w:type="dxa"/>
            <w:tcBorders>
              <w:top w:val="single" w:color="7E7E7E" w:themeColor="text1" w:themeTint="80" w:sz="4" w:space="0"/>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251</w:t>
            </w:r>
          </w:p>
        </w:tc>
        <w:tc>
          <w:tcPr>
            <w:tcW w:w="750"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43645</w:t>
            </w:r>
          </w:p>
        </w:tc>
        <w:tc>
          <w:tcPr>
            <w:tcW w:w="751"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10</w:t>
            </w:r>
          </w:p>
        </w:tc>
        <w:tc>
          <w:tcPr>
            <w:tcW w:w="750"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436</w:t>
            </w:r>
          </w:p>
        </w:tc>
        <w:tc>
          <w:tcPr>
            <w:tcW w:w="751"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43425</w:t>
            </w:r>
          </w:p>
        </w:tc>
        <w:tc>
          <w:tcPr>
            <w:tcW w:w="750"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8</w:t>
            </w:r>
          </w:p>
        </w:tc>
        <w:tc>
          <w:tcPr>
            <w:tcW w:w="751"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347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750" w:type="dxa"/>
            <w:noWrap/>
            <w:vAlign w:val="center"/>
          </w:tcPr>
          <w:p>
            <w:pPr>
              <w:widowControl/>
              <w:jc w:val="center"/>
              <w:rPr>
                <w:rFonts w:ascii="等线" w:hAnsi="等线" w:eastAsia="等线" w:cs="宋体"/>
                <w:b/>
                <w:bCs/>
                <w:color w:val="000000"/>
                <w:kern w:val="0"/>
                <w:sz w:val="15"/>
                <w:szCs w:val="15"/>
              </w:rPr>
            </w:pPr>
            <w:r>
              <w:rPr>
                <w:rFonts w:hint="eastAsia" w:ascii="等线" w:hAnsi="等线" w:eastAsia="等线" w:cs="宋体"/>
                <w:b/>
                <w:bCs/>
                <w:color w:val="000000"/>
                <w:kern w:val="0"/>
                <w:sz w:val="15"/>
                <w:szCs w:val="15"/>
              </w:rPr>
              <w:t>45-49</w:t>
            </w:r>
          </w:p>
        </w:tc>
        <w:tc>
          <w:tcPr>
            <w:tcW w:w="750" w:type="dxa"/>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29034</w:t>
            </w:r>
          </w:p>
        </w:tc>
        <w:tc>
          <w:tcPr>
            <w:tcW w:w="751" w:type="dxa"/>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0.73</w:t>
            </w:r>
          </w:p>
        </w:tc>
        <w:tc>
          <w:tcPr>
            <w:tcW w:w="750" w:type="dxa"/>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21</w:t>
            </w:r>
          </w:p>
        </w:tc>
        <w:tc>
          <w:tcPr>
            <w:tcW w:w="751" w:type="dxa"/>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35346</w:t>
            </w:r>
          </w:p>
        </w:tc>
        <w:tc>
          <w:tcPr>
            <w:tcW w:w="750" w:type="dxa"/>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0.8</w:t>
            </w:r>
          </w:p>
        </w:tc>
        <w:tc>
          <w:tcPr>
            <w:tcW w:w="751" w:type="dxa"/>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28</w:t>
            </w:r>
          </w:p>
        </w:tc>
        <w:tc>
          <w:tcPr>
            <w:tcW w:w="750"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45896</w:t>
            </w:r>
          </w:p>
        </w:tc>
        <w:tc>
          <w:tcPr>
            <w:tcW w:w="751"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0.8</w:t>
            </w:r>
          </w:p>
        </w:tc>
        <w:tc>
          <w:tcPr>
            <w:tcW w:w="750"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37</w:t>
            </w:r>
          </w:p>
        </w:tc>
        <w:tc>
          <w:tcPr>
            <w:tcW w:w="751"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44663</w:t>
            </w:r>
          </w:p>
        </w:tc>
        <w:tc>
          <w:tcPr>
            <w:tcW w:w="750"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0.8</w:t>
            </w:r>
          </w:p>
        </w:tc>
        <w:tc>
          <w:tcPr>
            <w:tcW w:w="751"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36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75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5"/>
                <w:szCs w:val="15"/>
              </w:rPr>
            </w:pPr>
            <w:r>
              <w:rPr>
                <w:rFonts w:hint="eastAsia" w:ascii="等线" w:hAnsi="等线" w:eastAsia="等线" w:cs="宋体"/>
                <w:b/>
                <w:bCs/>
                <w:color w:val="000000"/>
                <w:kern w:val="0"/>
                <w:sz w:val="15"/>
                <w:szCs w:val="15"/>
              </w:rPr>
              <w:t>合计</w:t>
            </w:r>
          </w:p>
        </w:tc>
        <w:tc>
          <w:tcPr>
            <w:tcW w:w="750" w:type="dxa"/>
            <w:tcBorders>
              <w:top w:val="single" w:color="7E7E7E" w:themeColor="text1" w:themeTint="80" w:sz="4" w:space="0"/>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233740</w:t>
            </w:r>
          </w:p>
        </w:tc>
        <w:tc>
          <w:tcPr>
            <w:tcW w:w="751" w:type="dxa"/>
            <w:tcBorders>
              <w:top w:val="single" w:color="7E7E7E" w:themeColor="text1" w:themeTint="80" w:sz="4" w:space="0"/>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887.4</w:t>
            </w:r>
          </w:p>
        </w:tc>
        <w:tc>
          <w:tcPr>
            <w:tcW w:w="750" w:type="dxa"/>
            <w:tcBorders>
              <w:top w:val="single" w:color="7E7E7E" w:themeColor="text1" w:themeTint="80" w:sz="4" w:space="0"/>
              <w:bottom w:val="single" w:color="7E7E7E" w:themeColor="text1" w:themeTint="80" w:sz="4" w:space="0"/>
              <w:insideH w:val="single" w:sz="4" w:space="0"/>
            </w:tcBorders>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6488</w:t>
            </w:r>
          </w:p>
        </w:tc>
        <w:tc>
          <w:tcPr>
            <w:tcW w:w="751" w:type="dxa"/>
            <w:tcBorders>
              <w:top w:val="single" w:color="7E7E7E" w:themeColor="text1" w:themeTint="80" w:sz="4" w:space="0"/>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240006</w:t>
            </w:r>
          </w:p>
        </w:tc>
        <w:tc>
          <w:tcPr>
            <w:tcW w:w="750" w:type="dxa"/>
            <w:tcBorders>
              <w:top w:val="single" w:color="7E7E7E" w:themeColor="text1" w:themeTint="80" w:sz="4" w:space="0"/>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939</w:t>
            </w:r>
          </w:p>
        </w:tc>
        <w:tc>
          <w:tcPr>
            <w:tcW w:w="751" w:type="dxa"/>
            <w:tcBorders>
              <w:top w:val="single" w:color="7E7E7E" w:themeColor="text1" w:themeTint="80" w:sz="4" w:space="0"/>
              <w:bottom w:val="single" w:color="7E7E7E" w:themeColor="text1" w:themeTint="80" w:sz="4" w:space="0"/>
              <w:insideH w:val="single" w:sz="4" w:space="0"/>
            </w:tcBorders>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7211</w:t>
            </w:r>
          </w:p>
        </w:tc>
        <w:tc>
          <w:tcPr>
            <w:tcW w:w="750"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242210</w:t>
            </w:r>
          </w:p>
        </w:tc>
        <w:tc>
          <w:tcPr>
            <w:tcW w:w="751"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1211</w:t>
            </w:r>
          </w:p>
        </w:tc>
        <w:tc>
          <w:tcPr>
            <w:tcW w:w="750" w:type="dxa"/>
            <w:tcBorders>
              <w:top w:val="nil"/>
              <w:left w:val="nil"/>
              <w:bottom w:val="nil"/>
              <w:right w:val="nil"/>
            </w:tcBorders>
            <w:shd w:val="clear" w:color="auto" w:fill="FBE4D5" w:themeFill="accent2" w:themeFillTint="33"/>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8650</w:t>
            </w:r>
          </w:p>
        </w:tc>
        <w:tc>
          <w:tcPr>
            <w:tcW w:w="751"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220377</w:t>
            </w:r>
          </w:p>
        </w:tc>
        <w:tc>
          <w:tcPr>
            <w:tcW w:w="750"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1200</w:t>
            </w:r>
          </w:p>
        </w:tc>
        <w:tc>
          <w:tcPr>
            <w:tcW w:w="751" w:type="dxa"/>
            <w:tcBorders>
              <w:top w:val="nil"/>
              <w:left w:val="nil"/>
              <w:bottom w:val="nil"/>
              <w:right w:val="nil"/>
            </w:tcBorders>
            <w:shd w:val="clear" w:color="auto" w:fill="E7E6E6" w:themeFill="background2"/>
            <w:noWrap/>
            <w:vAlign w:val="bottom"/>
          </w:tcPr>
          <w:p>
            <w:pPr>
              <w:widowControl/>
              <w:jc w:val="center"/>
              <w:rPr>
                <w:rFonts w:ascii="等线" w:hAnsi="等线" w:eastAsia="等线" w:cs="宋体"/>
                <w:color w:val="000000"/>
                <w:kern w:val="0"/>
                <w:sz w:val="15"/>
                <w:szCs w:val="15"/>
              </w:rPr>
            </w:pPr>
            <w:r>
              <w:rPr>
                <w:rFonts w:hint="eastAsia" w:ascii="等线" w:hAnsi="等线" w:eastAsia="等线"/>
                <w:color w:val="000000"/>
                <w:sz w:val="15"/>
                <w:szCs w:val="15"/>
              </w:rPr>
              <w:t>6792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750" w:type="dxa"/>
            <w:noWrap/>
            <w:vAlign w:val="center"/>
          </w:tcPr>
          <w:p>
            <w:pPr>
              <w:widowControl/>
              <w:jc w:val="center"/>
              <w:rPr>
                <w:rFonts w:ascii="等线" w:hAnsi="等线" w:eastAsia="等线" w:cs="宋体"/>
                <w:b/>
                <w:bCs/>
                <w:color w:val="000000"/>
                <w:kern w:val="0"/>
                <w:sz w:val="15"/>
                <w:szCs w:val="15"/>
              </w:rPr>
            </w:pPr>
            <w:r>
              <w:rPr>
                <w:rFonts w:hint="eastAsia" w:ascii="等线" w:hAnsi="等线" w:eastAsia="等线" w:cs="宋体"/>
                <w:b/>
                <w:bCs/>
                <w:color w:val="000000"/>
                <w:kern w:val="0"/>
                <w:sz w:val="15"/>
                <w:szCs w:val="15"/>
              </w:rPr>
              <w:t>TFR</w:t>
            </w:r>
          </w:p>
        </w:tc>
        <w:tc>
          <w:tcPr>
            <w:tcW w:w="750" w:type="dxa"/>
            <w:shd w:val="clear" w:color="auto" w:fill="E2EFD9" w:themeFill="accent6" w:themeFillTint="33"/>
            <w:noWrap/>
            <w:vAlign w:val="center"/>
          </w:tcPr>
          <w:p>
            <w:pPr>
              <w:widowControl/>
              <w:jc w:val="center"/>
              <w:rPr>
                <w:rFonts w:ascii="等线" w:hAnsi="等线" w:eastAsia="等线" w:cs="宋体"/>
                <w:color w:val="000000"/>
                <w:kern w:val="0"/>
                <w:sz w:val="15"/>
                <w:szCs w:val="15"/>
              </w:rPr>
            </w:pPr>
          </w:p>
        </w:tc>
        <w:tc>
          <w:tcPr>
            <w:tcW w:w="751" w:type="dxa"/>
            <w:shd w:val="clear" w:color="auto" w:fill="E2EFD9" w:themeFill="accent6"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0.89</w:t>
            </w:r>
          </w:p>
        </w:tc>
        <w:tc>
          <w:tcPr>
            <w:tcW w:w="750" w:type="dxa"/>
            <w:shd w:val="clear" w:color="auto" w:fill="E2EFD9" w:themeFill="accent6" w:themeFillTint="33"/>
            <w:noWrap/>
            <w:vAlign w:val="center"/>
          </w:tcPr>
          <w:p>
            <w:pPr>
              <w:widowControl/>
              <w:jc w:val="center"/>
              <w:rPr>
                <w:rFonts w:ascii="等线" w:hAnsi="等线" w:eastAsia="等线" w:cs="宋体"/>
                <w:color w:val="000000"/>
                <w:kern w:val="0"/>
                <w:sz w:val="15"/>
                <w:szCs w:val="15"/>
              </w:rPr>
            </w:pPr>
          </w:p>
        </w:tc>
        <w:tc>
          <w:tcPr>
            <w:tcW w:w="751" w:type="dxa"/>
            <w:shd w:val="clear" w:color="auto" w:fill="D9E2F3" w:themeFill="accent1" w:themeFillTint="33"/>
            <w:noWrap/>
            <w:vAlign w:val="center"/>
          </w:tcPr>
          <w:p>
            <w:pPr>
              <w:widowControl/>
              <w:jc w:val="center"/>
              <w:rPr>
                <w:rFonts w:ascii="Times New Roman" w:hAnsi="Times New Roman" w:eastAsia="Times New Roman" w:cs="Times New Roman"/>
                <w:kern w:val="0"/>
                <w:sz w:val="15"/>
                <w:szCs w:val="15"/>
              </w:rPr>
            </w:pPr>
          </w:p>
        </w:tc>
        <w:tc>
          <w:tcPr>
            <w:tcW w:w="750" w:type="dxa"/>
            <w:shd w:val="clear" w:color="auto" w:fill="D9E2F3" w:themeFill="accent1"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0.94</w:t>
            </w:r>
          </w:p>
        </w:tc>
        <w:tc>
          <w:tcPr>
            <w:tcW w:w="751" w:type="dxa"/>
            <w:shd w:val="clear" w:color="auto" w:fill="D9E2F3" w:themeFill="accent1" w:themeFillTint="33"/>
            <w:noWrap/>
            <w:vAlign w:val="center"/>
          </w:tcPr>
          <w:p>
            <w:pPr>
              <w:widowControl/>
              <w:jc w:val="center"/>
              <w:rPr>
                <w:rFonts w:ascii="等线" w:hAnsi="等线" w:eastAsia="等线" w:cs="宋体"/>
                <w:color w:val="000000"/>
                <w:kern w:val="0"/>
                <w:sz w:val="15"/>
                <w:szCs w:val="15"/>
              </w:rPr>
            </w:pPr>
          </w:p>
        </w:tc>
        <w:tc>
          <w:tcPr>
            <w:tcW w:w="750" w:type="dxa"/>
            <w:shd w:val="clear" w:color="auto" w:fill="FBE4D5" w:themeFill="accent2" w:themeFillTint="33"/>
            <w:noWrap/>
            <w:vAlign w:val="center"/>
          </w:tcPr>
          <w:p>
            <w:pPr>
              <w:widowControl/>
              <w:jc w:val="center"/>
              <w:rPr>
                <w:rFonts w:ascii="Times New Roman" w:hAnsi="Times New Roman" w:eastAsia="Times New Roman" w:cs="Times New Roman"/>
                <w:kern w:val="0"/>
                <w:sz w:val="15"/>
                <w:szCs w:val="15"/>
              </w:rPr>
            </w:pPr>
          </w:p>
        </w:tc>
        <w:tc>
          <w:tcPr>
            <w:tcW w:w="751" w:type="dxa"/>
            <w:shd w:val="clear" w:color="auto" w:fill="FBE4D5" w:themeFill="accent2" w:themeFillTint="33"/>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1.211</w:t>
            </w:r>
          </w:p>
        </w:tc>
        <w:tc>
          <w:tcPr>
            <w:tcW w:w="750" w:type="dxa"/>
            <w:shd w:val="clear" w:color="auto" w:fill="FBE4D5" w:themeFill="accent2" w:themeFillTint="33"/>
            <w:noWrap/>
            <w:vAlign w:val="center"/>
          </w:tcPr>
          <w:p>
            <w:pPr>
              <w:widowControl/>
              <w:jc w:val="center"/>
              <w:rPr>
                <w:rFonts w:ascii="等线" w:hAnsi="等线" w:eastAsia="等线" w:cs="宋体"/>
                <w:color w:val="000000"/>
                <w:kern w:val="0"/>
                <w:sz w:val="15"/>
                <w:szCs w:val="15"/>
              </w:rPr>
            </w:pPr>
          </w:p>
        </w:tc>
        <w:tc>
          <w:tcPr>
            <w:tcW w:w="751" w:type="dxa"/>
            <w:shd w:val="clear" w:color="auto" w:fill="E7E6E6" w:themeFill="background2"/>
            <w:noWrap/>
            <w:vAlign w:val="center"/>
          </w:tcPr>
          <w:p>
            <w:pPr>
              <w:widowControl/>
              <w:jc w:val="center"/>
              <w:rPr>
                <w:rFonts w:ascii="Times New Roman" w:hAnsi="Times New Roman" w:eastAsia="Times New Roman" w:cs="Times New Roman"/>
                <w:kern w:val="0"/>
                <w:sz w:val="15"/>
                <w:szCs w:val="15"/>
              </w:rPr>
            </w:pPr>
          </w:p>
        </w:tc>
        <w:tc>
          <w:tcPr>
            <w:tcW w:w="750" w:type="dxa"/>
            <w:shd w:val="clear" w:color="auto" w:fill="E7E6E6" w:themeFill="background2"/>
            <w:noWrap/>
            <w:vAlign w:val="center"/>
          </w:tcPr>
          <w:p>
            <w:pPr>
              <w:widowControl/>
              <w:jc w:val="center"/>
              <w:rPr>
                <w:rFonts w:ascii="等线" w:hAnsi="等线" w:eastAsia="等线" w:cs="宋体"/>
                <w:color w:val="000000"/>
                <w:kern w:val="0"/>
                <w:sz w:val="15"/>
                <w:szCs w:val="15"/>
              </w:rPr>
            </w:pPr>
            <w:r>
              <w:rPr>
                <w:rFonts w:hint="eastAsia" w:ascii="等线" w:hAnsi="等线" w:eastAsia="等线" w:cs="宋体"/>
                <w:color w:val="000000"/>
                <w:kern w:val="0"/>
                <w:sz w:val="15"/>
                <w:szCs w:val="15"/>
              </w:rPr>
              <w:t>1.20</w:t>
            </w:r>
          </w:p>
        </w:tc>
        <w:tc>
          <w:tcPr>
            <w:tcW w:w="751" w:type="dxa"/>
            <w:shd w:val="clear" w:color="auto" w:fill="E7E6E6" w:themeFill="background2"/>
            <w:noWrap/>
            <w:vAlign w:val="center"/>
          </w:tcPr>
          <w:p>
            <w:pPr>
              <w:widowControl/>
              <w:jc w:val="center"/>
              <w:rPr>
                <w:rFonts w:ascii="等线" w:hAnsi="等线" w:eastAsia="等线" w:cs="宋体"/>
                <w:color w:val="000000"/>
                <w:kern w:val="0"/>
                <w:sz w:val="15"/>
                <w:szCs w:val="15"/>
              </w:rPr>
            </w:pPr>
          </w:p>
        </w:tc>
      </w:tr>
    </w:tbl>
    <w:p>
      <w:pPr>
        <w:spacing w:line="276" w:lineRule="auto"/>
      </w:pPr>
    </w:p>
    <w:p>
      <w:pPr>
        <w:spacing w:line="276" w:lineRule="auto"/>
      </w:pPr>
    </w:p>
    <w:p>
      <w:pPr>
        <w:spacing w:line="276" w:lineRule="auto"/>
        <w:ind w:firstLine="420" w:firstLineChars="200"/>
      </w:pPr>
      <w:r>
        <w:rPr>
          <w:rFonts w:hint="eastAsia"/>
        </w:rPr>
        <w:t>预测说明：在不考虑迁移因素的条件下，区域人口的增减变化取决于人口的自然变动，在死亡率趋于稳定的前提下，出生人数的多少取决于两个因素，一是育龄妇女人口规模增减变化，二是生育水平的高低程度。</w:t>
      </w:r>
    </w:p>
    <w:p>
      <w:pPr>
        <w:spacing w:line="276" w:lineRule="auto"/>
        <w:ind w:firstLine="420" w:firstLineChars="200"/>
      </w:pPr>
      <w:r>
        <w:rPr>
          <w:rFonts w:hint="eastAsia"/>
        </w:rPr>
        <w:t>根据 “六普”数据推算，2</w:t>
      </w:r>
      <w:r>
        <w:t>010</w:t>
      </w:r>
      <w:r>
        <w:rPr>
          <w:rFonts w:hint="eastAsia"/>
        </w:rPr>
        <w:t>年西山区常住人口中育龄妇女（1</w:t>
      </w:r>
      <w:r>
        <w:t>5</w:t>
      </w:r>
      <w:r>
        <w:rPr>
          <w:rFonts w:hint="eastAsia"/>
        </w:rPr>
        <w:t>~</w:t>
      </w:r>
      <w:r>
        <w:t>49</w:t>
      </w:r>
      <w:r>
        <w:rPr>
          <w:rFonts w:hint="eastAsia"/>
        </w:rPr>
        <w:t>岁）共计2</w:t>
      </w:r>
      <w:r>
        <w:t>3.37</w:t>
      </w:r>
      <w:r>
        <w:rPr>
          <w:rFonts w:hint="eastAsia"/>
        </w:rPr>
        <w:t>万，根据当年年龄别生育率，2</w:t>
      </w:r>
      <w:r>
        <w:t>010</w:t>
      </w:r>
      <w:r>
        <w:rPr>
          <w:rFonts w:hint="eastAsia"/>
        </w:rPr>
        <w:t>年西山区妇女总和生育率（T</w:t>
      </w:r>
      <w:r>
        <w:t>FR</w:t>
      </w:r>
      <w:r>
        <w:rPr>
          <w:rFonts w:hint="eastAsia"/>
        </w:rPr>
        <w:t>）为0</w:t>
      </w:r>
      <w:r>
        <w:t>.89</w:t>
      </w:r>
      <w:r>
        <w:rPr>
          <w:rFonts w:hint="eastAsia"/>
        </w:rPr>
        <w:t>，这一指标不仅显著低于2</w:t>
      </w:r>
      <w:r>
        <w:t>.1</w:t>
      </w:r>
      <w:r>
        <w:rPr>
          <w:rFonts w:hint="eastAsia"/>
        </w:rPr>
        <w:t>的生育“更替水平”，而且低于昆明全市平均值（1</w:t>
      </w:r>
      <w:r>
        <w:t>.06</w:t>
      </w:r>
      <w:r>
        <w:rPr>
          <w:rFonts w:hint="eastAsia"/>
        </w:rPr>
        <w:t>），在全市1</w:t>
      </w:r>
      <w:r>
        <w:t>4</w:t>
      </w:r>
      <w:r>
        <w:rPr>
          <w:rFonts w:hint="eastAsia"/>
        </w:rPr>
        <w:t>个县区中，仅比五华区（0</w:t>
      </w:r>
      <w:r>
        <w:t>.70</w:t>
      </w:r>
      <w:r>
        <w:rPr>
          <w:rFonts w:hint="eastAsia"/>
        </w:rPr>
        <w:t>）和官渡区（0</w:t>
      </w:r>
      <w:r>
        <w:t>.76</w:t>
      </w:r>
      <w:r>
        <w:rPr>
          <w:rFonts w:hint="eastAsia"/>
        </w:rPr>
        <w:t>）高。</w:t>
      </w:r>
    </w:p>
    <w:p>
      <w:pPr>
        <w:spacing w:line="276" w:lineRule="auto"/>
        <w:ind w:firstLine="420" w:firstLineChars="200"/>
      </w:pPr>
      <w:r>
        <w:rPr>
          <w:rFonts w:hint="eastAsia"/>
        </w:rPr>
        <w:t>到2</w:t>
      </w:r>
      <w:r>
        <w:t>015</w:t>
      </w:r>
      <w:r>
        <w:rPr>
          <w:rFonts w:hint="eastAsia"/>
        </w:rPr>
        <w:t>年，西山区常住人口中的育龄妇女人数上升到2</w:t>
      </w:r>
      <w:r>
        <w:t>4</w:t>
      </w:r>
      <w:r>
        <w:rPr>
          <w:rFonts w:hint="eastAsia"/>
        </w:rPr>
        <w:t>万，由于刚好处在计划生育政策从“严控”到“放宽”的转换期，一方面3</w:t>
      </w:r>
      <w:r>
        <w:t>0</w:t>
      </w:r>
      <w:r>
        <w:rPr>
          <w:rFonts w:hint="eastAsia"/>
        </w:rPr>
        <w:t>岁以下妇女生育率会进一步下降，另一方面3</w:t>
      </w:r>
      <w:r>
        <w:t>0</w:t>
      </w:r>
      <w:r>
        <w:rPr>
          <w:rFonts w:hint="eastAsia"/>
        </w:rPr>
        <w:t>岁以上妇女生育率会略有上升，2</w:t>
      </w:r>
      <w:r>
        <w:t>015</w:t>
      </w:r>
      <w:r>
        <w:rPr>
          <w:rFonts w:hint="eastAsia"/>
        </w:rPr>
        <w:t>年正好处在计划生育从“严控”转向“放宽”的节点，补偿性生育意愿得以实现，育龄妇女的生育率必将会有一定程度的提升，本文预测为0</w:t>
      </w:r>
      <w:r>
        <w:t>.94</w:t>
      </w:r>
      <w:r>
        <w:rPr>
          <w:rFonts w:hint="eastAsia"/>
        </w:rPr>
        <w:t>，由此可使当年出生人数达到7</w:t>
      </w:r>
      <w:r>
        <w:t>200</w:t>
      </w:r>
      <w:r>
        <w:rPr>
          <w:rFonts w:hint="eastAsia"/>
        </w:rPr>
        <w:t>余人，超过2</w:t>
      </w:r>
      <w:r>
        <w:t>010</w:t>
      </w:r>
      <w:r>
        <w:rPr>
          <w:rFonts w:hint="eastAsia"/>
        </w:rPr>
        <w:t>年。</w:t>
      </w:r>
    </w:p>
    <w:p>
      <w:pPr>
        <w:spacing w:line="276" w:lineRule="auto"/>
        <w:ind w:firstLine="420" w:firstLineChars="200"/>
      </w:pPr>
      <w:r>
        <w:rPr>
          <w:rFonts w:hint="eastAsia"/>
        </w:rPr>
        <w:t>“十三五”时期，正是“全面二孩”政策效应的集中释放期，将形成一个出生小高峰，峰值生育率在2</w:t>
      </w:r>
      <w:r>
        <w:t>018</w:t>
      </w:r>
      <w:r>
        <w:rPr>
          <w:rFonts w:hint="eastAsia"/>
        </w:rPr>
        <w:t>年前后有可能上冲至1</w:t>
      </w:r>
      <w:r>
        <w:t>.5</w:t>
      </w:r>
      <w:r>
        <w:rPr>
          <w:rFonts w:hint="eastAsia"/>
        </w:rPr>
        <w:t>。之后生育率将冲高回落，据此本文将2</w:t>
      </w:r>
      <w:r>
        <w:t>020</w:t>
      </w:r>
      <w:r>
        <w:rPr>
          <w:rFonts w:hint="eastAsia"/>
        </w:rPr>
        <w:t>年西山区妇女总和生育率预设在1</w:t>
      </w:r>
      <w:r>
        <w:t>.21</w:t>
      </w:r>
      <w:r>
        <w:rPr>
          <w:rFonts w:hint="eastAsia"/>
        </w:rPr>
        <w:t>的水平，在育龄妇女人数基本持平的情形下，西山区新出生人口将达到</w:t>
      </w:r>
      <w:r>
        <w:t>8433</w:t>
      </w:r>
      <w:r>
        <w:rPr>
          <w:rFonts w:hint="eastAsia"/>
        </w:rPr>
        <w:t>人，明显高于2</w:t>
      </w:r>
      <w:r>
        <w:t>015</w:t>
      </w:r>
      <w:r>
        <w:rPr>
          <w:rFonts w:hint="eastAsia"/>
        </w:rPr>
        <w:t>年出生人数；进入“十四五”，在低生育率态势有可能不断强化的情形下，若能够维持在1</w:t>
      </w:r>
      <w:r>
        <w:t>.20</w:t>
      </w:r>
      <w:r>
        <w:rPr>
          <w:rFonts w:hint="eastAsia"/>
        </w:rPr>
        <w:t>的水平并一直延续，那么，尽管育龄妇女人数持续下降，2</w:t>
      </w:r>
      <w:r>
        <w:t>025</w:t>
      </w:r>
      <w:r>
        <w:rPr>
          <w:rFonts w:hint="eastAsia"/>
        </w:rPr>
        <w:t>年西山区新出生人口将下降到</w:t>
      </w:r>
      <w:r>
        <w:t>6573</w:t>
      </w:r>
      <w:r>
        <w:rPr>
          <w:rFonts w:hint="eastAsia"/>
        </w:rPr>
        <w:t>人，但与2</w:t>
      </w:r>
      <w:r>
        <w:t>010</w:t>
      </w:r>
      <w:r>
        <w:rPr>
          <w:rFonts w:hint="eastAsia"/>
        </w:rPr>
        <w:t>年持平。</w:t>
      </w:r>
    </w:p>
    <w:p>
      <w:pPr>
        <w:spacing w:line="276" w:lineRule="auto"/>
        <w:ind w:firstLine="420" w:firstLineChars="200"/>
      </w:pPr>
    </w:p>
    <w:p>
      <w:pPr>
        <w:spacing w:line="276" w:lineRule="auto"/>
        <w:ind w:firstLine="420" w:firstLineChars="200"/>
      </w:pPr>
    </w:p>
    <w:p>
      <w:pPr>
        <w:spacing w:line="276" w:lineRule="auto"/>
        <w:ind w:firstLine="420" w:firstLineChars="200"/>
      </w:pPr>
    </w:p>
    <w:p>
      <w:pPr>
        <w:spacing w:line="276" w:lineRule="auto"/>
        <w:ind w:firstLine="420" w:firstLineChars="200"/>
      </w:pPr>
    </w:p>
    <w:p>
      <w:pPr>
        <w:spacing w:line="276" w:lineRule="auto"/>
        <w:ind w:firstLine="420" w:firstLineChars="200"/>
      </w:pPr>
    </w:p>
    <w:p>
      <w:pPr>
        <w:spacing w:line="276" w:lineRule="auto"/>
        <w:ind w:firstLine="420" w:firstLineChars="200"/>
      </w:pPr>
      <w:r>
        <w:drawing>
          <wp:inline distT="0" distB="0" distL="0" distR="0">
            <wp:extent cx="4564380" cy="2787015"/>
            <wp:effectExtent l="0" t="0" r="7620" b="1333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pacing w:line="276" w:lineRule="auto"/>
        <w:ind w:firstLine="420" w:firstLineChars="200"/>
        <w:jc w:val="center"/>
      </w:pPr>
      <w:r>
        <w:rPr>
          <w:rFonts w:hint="eastAsia"/>
        </w:rPr>
        <w:t>图7</w:t>
      </w:r>
      <w:r>
        <w:tab/>
      </w:r>
      <w:r>
        <w:tab/>
      </w:r>
      <w:r>
        <w:t>2010</w:t>
      </w:r>
      <w:r>
        <w:rPr>
          <w:rFonts w:hint="eastAsia"/>
        </w:rPr>
        <w:t>年西山区育龄妇女生育模式与昆明市和云南省比较</w:t>
      </w:r>
    </w:p>
    <w:p>
      <w:pPr>
        <w:spacing w:line="276" w:lineRule="auto"/>
        <w:ind w:firstLine="360" w:firstLineChars="200"/>
        <w:rPr>
          <w:sz w:val="18"/>
          <w:szCs w:val="18"/>
        </w:rPr>
      </w:pPr>
      <w:r>
        <w:rPr>
          <w:rFonts w:hint="eastAsia"/>
          <w:sz w:val="18"/>
          <w:szCs w:val="18"/>
        </w:rPr>
        <w:t>数据来源：</w:t>
      </w:r>
      <w:bookmarkStart w:id="166" w:name="_Hlk36299643"/>
      <w:r>
        <w:rPr>
          <w:rFonts w:hint="eastAsia"/>
          <w:sz w:val="18"/>
          <w:szCs w:val="18"/>
        </w:rPr>
        <w:t>《2</w:t>
      </w:r>
      <w:r>
        <w:rPr>
          <w:sz w:val="18"/>
          <w:szCs w:val="18"/>
        </w:rPr>
        <w:t>010</w:t>
      </w:r>
      <w:r>
        <w:rPr>
          <w:rFonts w:hint="eastAsia"/>
          <w:sz w:val="18"/>
          <w:szCs w:val="18"/>
        </w:rPr>
        <w:t>年昆明市人口普查资料》</w:t>
      </w:r>
      <w:bookmarkEnd w:id="166"/>
      <w:r>
        <w:rPr>
          <w:rFonts w:hint="eastAsia"/>
          <w:sz w:val="18"/>
          <w:szCs w:val="18"/>
        </w:rPr>
        <w:t>表6</w:t>
      </w:r>
      <w:r>
        <w:rPr>
          <w:sz w:val="18"/>
          <w:szCs w:val="18"/>
        </w:rPr>
        <w:t>-4</w:t>
      </w:r>
      <w:r>
        <w:rPr>
          <w:rFonts w:hint="eastAsia"/>
          <w:sz w:val="18"/>
          <w:szCs w:val="18"/>
        </w:rPr>
        <w:t>和《2</w:t>
      </w:r>
      <w:r>
        <w:rPr>
          <w:sz w:val="18"/>
          <w:szCs w:val="18"/>
        </w:rPr>
        <w:t>010</w:t>
      </w:r>
      <w:r>
        <w:rPr>
          <w:rFonts w:hint="eastAsia"/>
          <w:sz w:val="18"/>
          <w:szCs w:val="18"/>
        </w:rPr>
        <w:t>年云南省人口普查资料》表6</w:t>
      </w:r>
      <w:r>
        <w:rPr>
          <w:sz w:val="18"/>
          <w:szCs w:val="18"/>
        </w:rPr>
        <w:t>-4</w:t>
      </w:r>
    </w:p>
    <w:p>
      <w:pPr>
        <w:spacing w:line="276" w:lineRule="auto"/>
        <w:ind w:firstLine="420" w:firstLineChars="200"/>
      </w:pPr>
    </w:p>
    <w:p>
      <w:pPr>
        <w:spacing w:line="276" w:lineRule="auto"/>
        <w:ind w:firstLine="420" w:firstLineChars="200"/>
      </w:pPr>
    </w:p>
    <w:p>
      <w:pPr>
        <w:spacing w:line="276" w:lineRule="auto"/>
        <w:ind w:firstLine="420" w:firstLineChars="200"/>
      </w:pPr>
      <w:r>
        <w:drawing>
          <wp:inline distT="0" distB="0" distL="0" distR="0">
            <wp:extent cx="4578985" cy="2713355"/>
            <wp:effectExtent l="0" t="0" r="1206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spacing w:line="276" w:lineRule="auto"/>
        <w:ind w:firstLine="420" w:firstLineChars="200"/>
        <w:jc w:val="center"/>
      </w:pPr>
      <w:bookmarkStart w:id="167" w:name="_Hlk36299548"/>
      <w:r>
        <w:rPr>
          <w:rFonts w:hint="eastAsia"/>
        </w:rPr>
        <w:t>图8</w:t>
      </w:r>
      <w:r>
        <w:tab/>
      </w:r>
      <w:r>
        <w:tab/>
      </w:r>
      <w:r>
        <w:tab/>
      </w:r>
      <w:r>
        <w:t>2010</w:t>
      </w:r>
      <w:r>
        <w:rPr>
          <w:rFonts w:hint="eastAsia"/>
        </w:rPr>
        <w:t>~</w:t>
      </w:r>
      <w:r>
        <w:t>2025</w:t>
      </w:r>
      <w:r>
        <w:rPr>
          <w:rFonts w:hint="eastAsia"/>
        </w:rPr>
        <w:t>年西山区育龄妇女生育模式</w:t>
      </w:r>
    </w:p>
    <w:bookmarkEnd w:id="167"/>
    <w:p>
      <w:pPr>
        <w:spacing w:line="276" w:lineRule="auto"/>
        <w:ind w:firstLine="360" w:firstLineChars="200"/>
        <w:jc w:val="left"/>
        <w:rPr>
          <w:sz w:val="18"/>
          <w:szCs w:val="18"/>
        </w:rPr>
      </w:pPr>
      <w:bookmarkStart w:id="168" w:name="_Hlk39954007"/>
      <w:r>
        <w:rPr>
          <w:rFonts w:hint="eastAsia"/>
          <w:sz w:val="18"/>
          <w:szCs w:val="18"/>
        </w:rPr>
        <w:t>数据来源：</w:t>
      </w:r>
      <w:bookmarkEnd w:id="168"/>
      <w:r>
        <w:rPr>
          <w:rFonts w:hint="eastAsia"/>
          <w:sz w:val="18"/>
          <w:szCs w:val="18"/>
        </w:rPr>
        <w:t>据表2</w:t>
      </w:r>
      <w:r>
        <w:rPr>
          <w:sz w:val="18"/>
          <w:szCs w:val="18"/>
        </w:rPr>
        <w:t>0</w:t>
      </w:r>
      <w:r>
        <w:rPr>
          <w:rFonts w:hint="eastAsia"/>
          <w:sz w:val="18"/>
          <w:szCs w:val="18"/>
        </w:rPr>
        <w:t>数据绘制</w:t>
      </w:r>
    </w:p>
    <w:p>
      <w:pPr>
        <w:spacing w:line="276" w:lineRule="auto"/>
        <w:ind w:firstLine="360" w:firstLineChars="200"/>
        <w:jc w:val="left"/>
        <w:rPr>
          <w:sz w:val="18"/>
          <w:szCs w:val="18"/>
        </w:rPr>
      </w:pPr>
      <w:r>
        <w:rPr>
          <w:rFonts w:hint="eastAsia"/>
          <w:sz w:val="18"/>
          <w:szCs w:val="18"/>
        </w:rPr>
        <w:t>注：本文预设，2</w:t>
      </w:r>
      <w:r>
        <w:rPr>
          <w:sz w:val="18"/>
          <w:szCs w:val="18"/>
        </w:rPr>
        <w:t>020</w:t>
      </w:r>
      <w:r>
        <w:rPr>
          <w:rFonts w:hint="eastAsia"/>
          <w:sz w:val="18"/>
          <w:szCs w:val="18"/>
        </w:rPr>
        <w:t>年与2</w:t>
      </w:r>
      <w:r>
        <w:rPr>
          <w:sz w:val="18"/>
          <w:szCs w:val="18"/>
        </w:rPr>
        <w:t>025</w:t>
      </w:r>
      <w:r>
        <w:rPr>
          <w:rFonts w:hint="eastAsia"/>
          <w:sz w:val="18"/>
          <w:szCs w:val="18"/>
        </w:rPr>
        <w:t>年的生育模式基本一致，所以年龄别生育率变化曲线趋于重合。</w:t>
      </w:r>
    </w:p>
    <w:p>
      <w:pPr>
        <w:spacing w:line="276" w:lineRule="auto"/>
        <w:ind w:firstLine="420" w:firstLineChars="200"/>
        <w:jc w:val="left"/>
      </w:pPr>
    </w:p>
    <w:p>
      <w:pPr>
        <w:spacing w:line="276" w:lineRule="auto"/>
        <w:ind w:firstLine="420" w:firstLineChars="200"/>
        <w:jc w:val="left"/>
      </w:pPr>
    </w:p>
    <w:p>
      <w:pPr>
        <w:spacing w:line="276" w:lineRule="auto"/>
        <w:ind w:firstLine="420" w:firstLineChars="200"/>
        <w:jc w:val="left"/>
      </w:pPr>
    </w:p>
    <w:p>
      <w:pPr>
        <w:spacing w:line="276" w:lineRule="auto"/>
        <w:ind w:firstLine="420" w:firstLineChars="200"/>
        <w:jc w:val="left"/>
      </w:pPr>
    </w:p>
    <w:p>
      <w:pPr>
        <w:spacing w:line="276" w:lineRule="auto"/>
        <w:ind w:firstLine="420" w:firstLineChars="200"/>
        <w:jc w:val="left"/>
      </w:pPr>
    </w:p>
    <w:p>
      <w:pPr>
        <w:spacing w:line="276" w:lineRule="auto"/>
        <w:ind w:firstLine="420" w:firstLineChars="200"/>
        <w:jc w:val="center"/>
      </w:pPr>
      <w:r>
        <w:rPr>
          <w:rFonts w:hint="eastAsia"/>
        </w:rPr>
        <w:t>表</w:t>
      </w:r>
      <w:r>
        <w:t>18   2018</w:t>
      </w:r>
      <w:r>
        <w:rPr>
          <w:rFonts w:hint="eastAsia"/>
        </w:rPr>
        <w:t xml:space="preserve">年西山区农业转移人口落户城镇的来源地人口 </w:t>
      </w:r>
      <w:r>
        <w:t xml:space="preserve">    </w:t>
      </w:r>
      <w:r>
        <w:rPr>
          <w:rFonts w:hint="eastAsia"/>
        </w:rPr>
        <w:t>单位： 人</w:t>
      </w:r>
    </w:p>
    <w:tbl>
      <w:tblPr>
        <w:tblStyle w:val="26"/>
        <w:tblW w:w="7430" w:type="dxa"/>
        <w:jc w:val="center"/>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86"/>
        <w:gridCol w:w="1486"/>
        <w:gridCol w:w="1486"/>
        <w:gridCol w:w="1486"/>
        <w:gridCol w:w="1486"/>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486" w:type="dxa"/>
            <w:tcBorders>
              <w:bottom w:val="single" w:color="7E7E7E" w:themeColor="text1" w:themeTint="80" w:sz="4" w:space="0"/>
              <w:insideH w:val="single" w:sz="4" w:space="0"/>
            </w:tcBorders>
            <w:noWrap/>
            <w:vAlign w:val="center"/>
          </w:tcPr>
          <w:p>
            <w:pPr>
              <w:widowControl/>
              <w:jc w:val="center"/>
              <w:rPr>
                <w:rFonts w:ascii="宋体" w:hAnsi="宋体" w:eastAsia="宋体" w:cs="宋体"/>
                <w:b/>
                <w:bCs/>
                <w:kern w:val="0"/>
                <w:sz w:val="18"/>
                <w:szCs w:val="18"/>
              </w:rPr>
            </w:pPr>
          </w:p>
        </w:tc>
        <w:tc>
          <w:tcPr>
            <w:tcW w:w="1486"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本市（地）</w:t>
            </w:r>
          </w:p>
        </w:tc>
        <w:tc>
          <w:tcPr>
            <w:tcW w:w="1486"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本省外市（地）</w:t>
            </w:r>
          </w:p>
        </w:tc>
        <w:tc>
          <w:tcPr>
            <w:tcW w:w="1486"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外省</w:t>
            </w:r>
          </w:p>
        </w:tc>
        <w:tc>
          <w:tcPr>
            <w:tcW w:w="1486"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合计</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西苑</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142</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100</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486"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马街</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118</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58</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金碧</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146</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92</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486"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永昌</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45</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167</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178</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前卫</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385</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402</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486"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福海</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211</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188</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棕树营</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128</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486"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碧鸡</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6902</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6934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海口</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6252</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6277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486"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团结</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p>
        </w:tc>
        <w:tc>
          <w:tcPr>
            <w:tcW w:w="148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合计</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13341</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1335</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1121</w:t>
            </w:r>
          </w:p>
        </w:tc>
        <w:tc>
          <w:tcPr>
            <w:tcW w:w="148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15797</w:t>
            </w:r>
          </w:p>
        </w:tc>
      </w:tr>
    </w:tbl>
    <w:p>
      <w:pPr>
        <w:spacing w:line="276" w:lineRule="auto"/>
        <w:ind w:firstLine="360" w:firstLineChars="200"/>
        <w:jc w:val="left"/>
        <w:rPr>
          <w:sz w:val="18"/>
          <w:szCs w:val="18"/>
        </w:rPr>
      </w:pPr>
      <w:r>
        <w:rPr>
          <w:rFonts w:hint="eastAsia"/>
          <w:sz w:val="18"/>
          <w:szCs w:val="18"/>
        </w:rPr>
        <w:t>数据来源：2</w:t>
      </w:r>
      <w:r>
        <w:rPr>
          <w:sz w:val="18"/>
          <w:szCs w:val="18"/>
        </w:rPr>
        <w:t>018</w:t>
      </w:r>
      <w:r>
        <w:rPr>
          <w:rFonts w:hint="eastAsia"/>
          <w:sz w:val="18"/>
          <w:szCs w:val="18"/>
        </w:rPr>
        <w:t>年昆明市西山区统计局编印《西山区统计年鉴》，第3</w:t>
      </w:r>
      <w:r>
        <w:rPr>
          <w:sz w:val="18"/>
          <w:szCs w:val="18"/>
        </w:rPr>
        <w:t>8</w:t>
      </w:r>
      <w:r>
        <w:rPr>
          <w:rFonts w:hint="eastAsia"/>
          <w:sz w:val="18"/>
          <w:szCs w:val="18"/>
        </w:rPr>
        <w:t>页。</w:t>
      </w:r>
    </w:p>
    <w:p>
      <w:pPr>
        <w:spacing w:line="276" w:lineRule="auto"/>
        <w:ind w:firstLine="420" w:firstLineChars="200"/>
        <w:jc w:val="left"/>
      </w:pPr>
      <w:r>
        <w:rPr>
          <w:rFonts w:hint="eastAsia"/>
        </w:rPr>
        <w:t>说明：按“农业转移人口落户城镇”统计，来自本市（地）的人口为1</w:t>
      </w:r>
      <w:r>
        <w:t>3341</w:t>
      </w:r>
      <w:r>
        <w:rPr>
          <w:rFonts w:hint="eastAsia"/>
        </w:rPr>
        <w:t>人，占总转移人口的8</w:t>
      </w:r>
      <w:r>
        <w:t>4.45</w:t>
      </w:r>
      <w:r>
        <w:rPr>
          <w:rFonts w:hint="eastAsia"/>
        </w:rPr>
        <w:t>%，来自本省其他地州和外省的人口分别为1</w:t>
      </w:r>
      <w:r>
        <w:t>335</w:t>
      </w:r>
      <w:r>
        <w:rPr>
          <w:rFonts w:hint="eastAsia"/>
        </w:rPr>
        <w:t>人和1</w:t>
      </w:r>
      <w:r>
        <w:t>121</w:t>
      </w:r>
      <w:r>
        <w:rPr>
          <w:rFonts w:hint="eastAsia"/>
        </w:rPr>
        <w:t>人，仅占8</w:t>
      </w:r>
      <w:r>
        <w:t>.45</w:t>
      </w:r>
      <w:r>
        <w:rPr>
          <w:rFonts w:hint="eastAsia"/>
        </w:rPr>
        <w:t>%和7</w:t>
      </w:r>
      <w:r>
        <w:t>.1</w:t>
      </w:r>
      <w:r>
        <w:rPr>
          <w:rFonts w:hint="eastAsia"/>
        </w:rPr>
        <w:t>%。表明西山区的人口迁移在空间格局上凸显“内卷化”特征。这也意味着西山区乡城人口转移主要发生在区域内部。其中落户本市（地）的转移人口（1</w:t>
      </w:r>
      <w:r>
        <w:t>3154</w:t>
      </w:r>
      <w:r>
        <w:rPr>
          <w:rFonts w:hint="eastAsia"/>
        </w:rPr>
        <w:t>人）几乎全部集中在碧鸡和海口两个街道办事处，而此种人口转移源于城乡属地调整和城中村改造，实际上是就地城镇化。同时前卫、福海和永昌三个街道办事处则成为接纳本省其他地州和外省转移人口最多的区域，共计1</w:t>
      </w:r>
      <w:r>
        <w:t>531</w:t>
      </w:r>
      <w:r>
        <w:rPr>
          <w:rFonts w:hint="eastAsia"/>
        </w:rPr>
        <w:t>人，占同类转移人口合计（1</w:t>
      </w:r>
      <w:r>
        <w:t>335</w:t>
      </w:r>
      <w:r>
        <w:rPr>
          <w:rFonts w:hint="eastAsia"/>
        </w:rPr>
        <w:t>+</w:t>
      </w:r>
      <w:r>
        <w:t>1121</w:t>
      </w:r>
      <w:r>
        <w:rPr>
          <w:rFonts w:hint="eastAsia"/>
        </w:rPr>
        <w:t>=</w:t>
      </w:r>
      <w:r>
        <w:t>2456</w:t>
      </w:r>
      <w:r>
        <w:rPr>
          <w:rFonts w:hint="eastAsia"/>
        </w:rPr>
        <w:t>人）的6</w:t>
      </w:r>
      <w:r>
        <w:t>2.34</w:t>
      </w:r>
      <w:r>
        <w:rPr>
          <w:rFonts w:hint="eastAsia"/>
        </w:rPr>
        <w:t>%。</w:t>
      </w:r>
    </w:p>
    <w:p>
      <w:pPr>
        <w:spacing w:line="276" w:lineRule="auto"/>
        <w:ind w:firstLine="420" w:firstLineChars="200"/>
        <w:jc w:val="left"/>
      </w:pPr>
    </w:p>
    <w:p>
      <w:pPr>
        <w:spacing w:line="276" w:lineRule="auto"/>
        <w:ind w:firstLine="420" w:firstLineChars="200"/>
        <w:jc w:val="left"/>
      </w:pPr>
    </w:p>
    <w:p>
      <w:pPr>
        <w:spacing w:line="276" w:lineRule="auto"/>
        <w:ind w:firstLine="420" w:firstLineChars="200"/>
        <w:jc w:val="left"/>
      </w:pPr>
    </w:p>
    <w:p>
      <w:pPr>
        <w:spacing w:line="276" w:lineRule="auto"/>
        <w:ind w:firstLine="420" w:firstLineChars="200"/>
        <w:jc w:val="center"/>
      </w:pPr>
      <w:bookmarkStart w:id="169" w:name="_Hlk36405493"/>
      <w:bookmarkStart w:id="170" w:name="_Hlk36242129"/>
      <w:r>
        <w:rPr>
          <w:rFonts w:hint="eastAsia"/>
        </w:rPr>
        <w:t>表</w:t>
      </w:r>
      <w:bookmarkEnd w:id="169"/>
      <w:r>
        <w:t>19-1    2010</w:t>
      </w:r>
      <w:r>
        <w:rPr>
          <w:rFonts w:hint="eastAsia"/>
        </w:rPr>
        <w:t>年西山区男性人口生命表</w:t>
      </w:r>
      <w:r>
        <w:fldChar w:fldCharType="begin"/>
      </w:r>
      <w:r>
        <w:instrText xml:space="preserve"> LINK Excel.Sheet.12 "F:\\西山区\\Excel - 人口.xlsx" 预期寿命!R108C1:R209C11 \a \f 4 \h  \* MERGEFORMAT </w:instrText>
      </w:r>
      <w:r>
        <w:fldChar w:fldCharType="separate"/>
      </w:r>
    </w:p>
    <w:tbl>
      <w:tblPr>
        <w:tblStyle w:val="26"/>
        <w:tblW w:w="9233"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9"/>
        <w:gridCol w:w="630"/>
        <w:gridCol w:w="690"/>
        <w:gridCol w:w="990"/>
        <w:gridCol w:w="954"/>
        <w:gridCol w:w="920"/>
        <w:gridCol w:w="920"/>
        <w:gridCol w:w="920"/>
        <w:gridCol w:w="920"/>
        <w:gridCol w:w="920"/>
        <w:gridCol w:w="790"/>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年龄</w:t>
            </w:r>
          </w:p>
        </w:tc>
        <w:tc>
          <w:tcPr>
            <w:tcW w:w="630" w:type="dxa"/>
            <w:tcBorders>
              <w:bottom w:val="single" w:color="7E7E7E" w:themeColor="text1" w:themeTint="80" w:sz="4" w:space="0"/>
              <w:insideH w:val="single" w:sz="4" w:space="0"/>
            </w:tcBorders>
            <w:noWrap/>
          </w:tcPr>
          <w:p>
            <w:pPr>
              <w:widowControl/>
              <w:jc w:val="center"/>
              <w:rPr>
                <w:rFonts w:ascii="等线" w:hAnsi="等线" w:eastAsia="等线" w:cs="宋体"/>
                <w:b/>
                <w:bCs/>
                <w:color w:val="FF0000"/>
                <w:kern w:val="0"/>
                <w:sz w:val="18"/>
                <w:szCs w:val="18"/>
              </w:rPr>
            </w:pPr>
            <w:r>
              <w:rPr>
                <w:rFonts w:hint="eastAsia" w:ascii="等线" w:hAnsi="等线" w:eastAsia="等线" w:cs="宋体"/>
                <w:b/>
                <w:bCs/>
                <w:color w:val="FF0000"/>
                <w:kern w:val="0"/>
                <w:sz w:val="18"/>
                <w:szCs w:val="18"/>
              </w:rPr>
              <w:t>男性人口</w:t>
            </w:r>
          </w:p>
        </w:tc>
        <w:tc>
          <w:tcPr>
            <w:tcW w:w="690"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死亡人口</w:t>
            </w:r>
          </w:p>
        </w:tc>
        <w:tc>
          <w:tcPr>
            <w:tcW w:w="990"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死亡率</w:t>
            </w:r>
          </w:p>
        </w:tc>
        <w:tc>
          <w:tcPr>
            <w:tcW w:w="954"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死亡概率</w:t>
            </w:r>
          </w:p>
        </w:tc>
        <w:tc>
          <w:tcPr>
            <w:tcW w:w="920"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尚存概率</w:t>
            </w:r>
          </w:p>
        </w:tc>
        <w:tc>
          <w:tcPr>
            <w:tcW w:w="920"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尚存人数</w:t>
            </w:r>
          </w:p>
        </w:tc>
        <w:tc>
          <w:tcPr>
            <w:tcW w:w="920"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表上死亡人数</w:t>
            </w:r>
          </w:p>
        </w:tc>
        <w:tc>
          <w:tcPr>
            <w:tcW w:w="920"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平均生存人年数</w:t>
            </w:r>
          </w:p>
        </w:tc>
        <w:tc>
          <w:tcPr>
            <w:tcW w:w="920"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总生存人年数</w:t>
            </w:r>
          </w:p>
        </w:tc>
        <w:tc>
          <w:tcPr>
            <w:tcW w:w="790" w:type="dxa"/>
            <w:tcBorders>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预期寿命</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0</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3545</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0.00141</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0.001409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0.998591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100000</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140.9443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99929.53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7424616</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74.25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3575</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0.002238</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0.002235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0.997765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99859.06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223.2111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99747.45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7324687</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73.35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3661</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0.001093</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0.001092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0.998908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99635.84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108.8025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99581.44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7224939</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72.51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3156</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0.000951</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0.00095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0.99905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99527.04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94.56251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99479.76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7125358</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71.59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3212</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0.000623</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0.000622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0.999378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99432.48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61.89386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99401.53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7025878</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70.66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3225</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99370.59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99370.59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6926476</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69.70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2671</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0.000749</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0.000749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0.999251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99370.59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74.37918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99333.4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6827106</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68.70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2981</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0.000671</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0.000671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0.999329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99296.21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66.59705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99262.91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6727772</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67.75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3100</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99229.61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99229.61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6628510</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66.80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3296</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0.000607</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0.000607</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0.999393</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99229.61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60.19388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99199.51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6529280</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65.80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10</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3131</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0.000319</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0.000319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0.999681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99169.42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31.66834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99153.58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6430080</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64.84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11</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2905</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99137.75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99137.75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6330927</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63.86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12</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2920</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99137.75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99137.75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6231789</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62.86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13</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2767</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0.001084</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0.001084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0.998916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99137.75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107.4276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99084.03</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6132651</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61.86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14</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3125</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0.00032</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0.99968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99030.32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31.68463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99014.48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6033567</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60.93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15</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4283</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0.000233</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0.000233</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0.999767</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98998.64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23.11162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98987.08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5934553</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59.95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16</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5117</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0.000195</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0.000195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0.999805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98975.52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19.3406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98965.85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5835566</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58.96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17</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5072</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0.000197</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0.000197</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0.999803</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98956.18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19.50837</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98946.43</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5736600</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57.97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18</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5364</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98936.67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98936.67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5637653</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56.98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19</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6649</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0.000301</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0.000301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0.999699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98936.67</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29.75539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98921.8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5538717</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55.98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20</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8015</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0.000374</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0.000374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0.999626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98906.92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37.01375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98888.41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5439795</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55.00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21</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7639</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0.000262</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0.000262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0.999738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98869.91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25.88217</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98856.96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5340907</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54.02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22</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7640</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0.000131</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0.000131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0.999869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98844.02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12.93685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98837.55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5242050</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53.03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23</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7823</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0.000639</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0.000639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0.999361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98831.09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63.14682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98799.51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5143212</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52.04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24</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6935</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0.000144</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0.000144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0.999856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98767.94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14.24093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98760.82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5044413</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51.07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25</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6543</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0.000153</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0.000153</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0.999847</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98753.7</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15.09188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98746.15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4945652</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50.08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26</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6830</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0.000878</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0.000878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0.999122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98738.61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86.70154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98695.26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4846906</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49.09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27</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7492</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0.000667</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0.000667</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0.999333</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98651.91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65.8162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98619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4748210</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48.13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28</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7633</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0.000917</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0.000917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0.999083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98586.09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90.36897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98540.9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4649591</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47.16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29</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6338</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0.000316</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0.000316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0.999684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98495.72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31.07611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98480.18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4551050</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46.21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30</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7098</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0.000704</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0.000704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0.999296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98464.64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69.33642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98429.98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4452570</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45.22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31</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7820</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0.000512</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0.000511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0.999489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98395.31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50.31721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98370.15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4354140</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44.25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32</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8208</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0.001218</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0.001218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0.998782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98344.99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119.7431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98285.12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4255770</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43.27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33</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8297</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0.001205</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0.001205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0.998795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98225.25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118.3152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98166.09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4157485</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42.33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34</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8191</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0.000977</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0.000976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0.999024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98106.93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95.77248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98059.05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4059319</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41.38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35</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8248</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0.000849</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0.000848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0.999152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98011.16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83.14587</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97969.59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3961260</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40.42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36</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8928</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0.00168</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0.001679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0.998321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97928.01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164.3915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97845.82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3863290</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39.45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37</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8947</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0.001006</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0.001005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0.998995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97763.62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98.29331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97714.48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3765444</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38.52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38</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8825</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0.000793</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0.000793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0.999207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97665.33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77.43754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97626.61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3667730</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37.55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39</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8577</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0.002332</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0.002329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0.997671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97587.89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227.2922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97474.25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3570103</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36.58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40</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7640</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0.001832</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0.001831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0.998169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97360.6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178.2462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97271.48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3472629</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35.67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41</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8206</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0.002803</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0.002799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0.997201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97182.35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272.0042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97046.35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3375358</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34.73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42</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6385</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0.001723</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0.001721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0.998279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96910.35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166.8123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96826.94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3278311</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33.83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43</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5808</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0.001894</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0.001892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0.998108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96743.54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183.053</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96652.01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3181484</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32.89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44</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6478</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0.002779</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0.002775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0.997225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96560.48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267.9341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96426.52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3084832</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31.95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45</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5788</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0.004665</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0.004654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0.995346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96292.55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448.1425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96068.48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2988406</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31.03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46</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7639</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0.003796</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0.003789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0.996211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95844.41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363.1656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95662.82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2892337</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30.18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47</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7203</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0.00361</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0.003603</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0.996397</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95481.24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344.0289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95309.23</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2796675</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29.29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48</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4272</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0.002809</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0.002805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0.997195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95137.21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266.8646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95003.78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2701365</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28.39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49</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3571</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0.007561</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0.007532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0.992468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94870.35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714.6044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94513.05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2606362</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27.47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50</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3968</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0.005544</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0.005529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0.994471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94155.74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520.5897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93895.45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2511849</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26.68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51</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4090</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0.005134</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0.005121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0.994879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93635.15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479.5362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93395.39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2417953</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25.82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52</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4766</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0.004826</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0.004814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0.995186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93155.62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448.4729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92931.38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2324558</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24.95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53</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4463</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0.007618</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0.007589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0.992411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92707.14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703.581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92355.35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2231626</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24.07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54</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4670</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0.008565</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0.008529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0.991471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92003.56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784.6786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91611.22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2139271</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23.25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55</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4857</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0.005559</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0.005544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0.994456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91218.89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505.6791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90966.05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2047660</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22.45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56</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4659</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0.007512</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0.007484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0.992516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90713.21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678.9185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90373.75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1956694</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21.57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57</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4622</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0.00714</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0.007114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0.992886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90034.29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640.5371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89714.02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1866320</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20.73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58</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3758</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0.010378</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0.010324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0.989676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89393.75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922.9269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88932.29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1776606</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19.87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59</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3408</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0.00939</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0.009346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0.990654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88470.82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826.8301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88057.41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1687674</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19.08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60</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3938</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0.013713</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0.013619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0.986381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87643.99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1193.638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87047.17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1599616</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18.25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61</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3282</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0.015539</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0.01542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0.98458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86450.36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1333.021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85783.84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1512569</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17.50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62</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3007</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0.01563</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0.015509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0.984491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85117.33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1320.084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84457.29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1426785</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16.76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63</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3085</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0.017504</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0.017352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0.982648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83797.25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1454.065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83070.22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1342328</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16.02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64</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2544</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0.022406</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0.022157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0.977843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82343.18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1824.514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81430.93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1259258</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15.29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65</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2358</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48</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0.020356</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0.020151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0.979849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80518.67</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1622.542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79707.4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1177827</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14.63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66</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2361</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61</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0.025837</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0.025507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0.974493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78896.13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2012.404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77889.93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1098119</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13.92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67</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2465</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0.026369</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0.026026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0.973974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76883.72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2000.978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75883.24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1020229</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13.27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68</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2169</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0.024435</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0.02414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0.97586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74882.75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1807.691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73978.9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944346.2</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12.61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69</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2118</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0.034939</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0.034339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0.965661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73075.06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2509.306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71820.4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870367.3</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11.91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70</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1911</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81</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0.042386</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0.041507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0.958493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70565.75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2928.94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69101.28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798546.9</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11.32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71</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2047</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0.03615</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0.035509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0.964491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67636.81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2401.691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66435.96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729445.6</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10.78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72</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2011</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0.046246</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0.0452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0.9548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65235.12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2948.659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63760.79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663009.6</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10.16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73</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1947</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100</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0.051361</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0.050075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0.949925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62286.46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3119.002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60726.96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599248.8</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74</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1729</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83</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0.048005</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0.046879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0.953121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59167.46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2773.736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57780.59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538521.9</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75</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1470</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70</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0.047619</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0.046512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0.953488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56393.72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2622.964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55082.24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480741.3</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8.52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76</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1487</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87</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0.058507</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0.056844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0.943156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53770.76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3056.554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52242.48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425659.1</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7.92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77</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1303</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0.069839</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0.067482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0.932518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50714.2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3422.316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49003.05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373416.6</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7.36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78</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1158</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0.078584</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0.075613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0.924387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47291.89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3575.872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45503.95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324413.5</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6.86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79</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1161</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104</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0.089578</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0.085738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0.914262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43716.02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3748.117</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41841.96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278909.6</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80</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933</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107</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0.114684</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0.108464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0.891536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39967.9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4335.089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37800.36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237067.6</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5.93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81</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753</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85</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0.112882</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0.106851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0.893149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35632.81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3807.403</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33729.11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199267.3</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82</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643</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87</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0.135303</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0.12673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0.87327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31825.41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4033.227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29808.79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165538.2</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83</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501</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0.163673</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0.151292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0.848708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27792.18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4204.721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25689.82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135729.4</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4.88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84</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439</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0.136674</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0.127932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0.872068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23587.46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3017.586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22078.67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110039.5</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85</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328</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0.198171</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0.180305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0.819695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20569.87</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3708.854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18715.45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87960.87</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86</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312</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66</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0.211538</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0.191304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0.808696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16861.02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3225.587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15248.23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69245.42</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87</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257</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0.22179</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0.19965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0.80035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13635.43</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2722.311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12274.28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53997.19</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88</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222</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0.243243</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0.216867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0.783133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10913.12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2366.701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9729.773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41722.91</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89</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156</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45</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0.288462</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0.252101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0.747899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8546.422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2154.56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7469.142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31993.14</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90</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104</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0.211538</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0.191304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0.808696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6391.862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1222.791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5780.466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24524</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91</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86</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0.174419</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0.160428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0.839572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5169.071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829.2627</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4754.439</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18743.53</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92</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0.314815</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0.272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0.728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4339.808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1180.428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3749.594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13989.09</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93</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0.285714</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3159.38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789.8451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2764.458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10239.5</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94</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0.297297</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0.258824</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0.741176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2369.535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613.2915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2062.889</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7475.042</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95</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0.28</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0.245614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0.754386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1756.244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431.3581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1540.565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5412.152</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96</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0.217391</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0.196078</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0.803922</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1324.886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259.7815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1194.995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3871.588</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97</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0.333333</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0.285714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0.714286</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1065.104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304.3155</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912.9464</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2676.593</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98</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760.7887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760.7887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1763.646</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99</w:t>
            </w:r>
          </w:p>
        </w:tc>
        <w:tc>
          <w:tcPr>
            <w:tcW w:w="63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p>
        </w:tc>
        <w:tc>
          <w:tcPr>
            <w:tcW w:w="6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w:t>
            </w:r>
          </w:p>
        </w:tc>
        <w:tc>
          <w:tcPr>
            <w:tcW w:w="954"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0.181818</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0.818182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760.7887</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138.3252</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691.6261</w:t>
            </w:r>
          </w:p>
        </w:tc>
        <w:tc>
          <w:tcPr>
            <w:tcW w:w="92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1002.858</w:t>
            </w:r>
          </w:p>
        </w:tc>
        <w:tc>
          <w:tcPr>
            <w:tcW w:w="790" w:type="dxa"/>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2" w:hRule="atLeast"/>
        </w:trPr>
        <w:tc>
          <w:tcPr>
            <w:tcW w:w="579"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100+</w:t>
            </w:r>
          </w:p>
        </w:tc>
        <w:tc>
          <w:tcPr>
            <w:tcW w:w="63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6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54"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0.666667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0.333333</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622.4635</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414.9756</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311.2317</w:t>
            </w:r>
          </w:p>
        </w:tc>
        <w:tc>
          <w:tcPr>
            <w:tcW w:w="92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311.2317</w:t>
            </w:r>
          </w:p>
        </w:tc>
        <w:tc>
          <w:tcPr>
            <w:tcW w:w="790" w:type="dxa"/>
            <w:tcBorders>
              <w:top w:val="single" w:color="7E7E7E" w:themeColor="text1" w:themeTint="80" w:sz="4" w:space="0"/>
              <w:bottom w:val="single" w:color="7E7E7E" w:themeColor="text1" w:themeTint="80" w:sz="4" w:space="0"/>
              <w:insideH w:val="single" w:sz="4" w:space="0"/>
            </w:tcBorders>
            <w:noWrap/>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0.50</w:t>
            </w:r>
          </w:p>
        </w:tc>
      </w:tr>
    </w:tbl>
    <w:p>
      <w:pPr>
        <w:spacing w:line="276" w:lineRule="auto"/>
        <w:ind w:firstLine="420" w:firstLineChars="200"/>
        <w:jc w:val="left"/>
        <w:rPr>
          <w:sz w:val="18"/>
          <w:szCs w:val="18"/>
        </w:rPr>
      </w:pPr>
      <w:r>
        <w:fldChar w:fldCharType="end"/>
      </w:r>
      <w:bookmarkEnd w:id="170"/>
      <w:r>
        <w:rPr>
          <w:rFonts w:hint="eastAsia"/>
          <w:sz w:val="18"/>
          <w:szCs w:val="18"/>
        </w:rPr>
        <w:t>数据来源：2</w:t>
      </w:r>
      <w:r>
        <w:rPr>
          <w:sz w:val="18"/>
          <w:szCs w:val="18"/>
        </w:rPr>
        <w:t>010</w:t>
      </w:r>
      <w:r>
        <w:rPr>
          <w:rFonts w:hint="eastAsia"/>
          <w:sz w:val="18"/>
          <w:szCs w:val="18"/>
        </w:rPr>
        <w:t>年《西山区人口普查资料》表T</w:t>
      </w:r>
      <w:r>
        <w:rPr>
          <w:sz w:val="18"/>
          <w:szCs w:val="18"/>
        </w:rPr>
        <w:t>6-4</w:t>
      </w:r>
    </w:p>
    <w:p>
      <w:pPr>
        <w:spacing w:line="276" w:lineRule="auto"/>
        <w:ind w:firstLine="360" w:firstLineChars="200"/>
        <w:jc w:val="left"/>
        <w:rPr>
          <w:sz w:val="18"/>
          <w:szCs w:val="18"/>
        </w:rPr>
      </w:pPr>
      <w:r>
        <w:rPr>
          <w:rFonts w:hint="eastAsia"/>
          <w:sz w:val="18"/>
          <w:szCs w:val="18"/>
        </w:rPr>
        <w:t>注：</w:t>
      </w:r>
      <w:bookmarkStart w:id="171" w:name="_Hlk40370035"/>
      <w:r>
        <w:rPr>
          <w:rFonts w:hint="eastAsia"/>
          <w:sz w:val="18"/>
          <w:szCs w:val="18"/>
        </w:rPr>
        <w:t>生命表编制根据伐尔（F</w:t>
      </w:r>
      <w:r>
        <w:rPr>
          <w:sz w:val="18"/>
          <w:szCs w:val="18"/>
        </w:rPr>
        <w:t>arlle</w:t>
      </w:r>
      <w:r>
        <w:rPr>
          <w:rFonts w:hint="eastAsia"/>
          <w:sz w:val="18"/>
          <w:szCs w:val="18"/>
        </w:rPr>
        <w:t>）死亡概率法编制，</w:t>
      </w:r>
      <w:bookmarkEnd w:id="171"/>
      <w:r>
        <w:rPr>
          <w:rFonts w:hint="eastAsia"/>
          <w:sz w:val="18"/>
          <w:szCs w:val="18"/>
        </w:rPr>
        <w:t>后同。</w:t>
      </w:r>
    </w:p>
    <w:p>
      <w:pPr>
        <w:spacing w:line="276" w:lineRule="auto"/>
        <w:ind w:firstLine="420" w:firstLineChars="200"/>
        <w:jc w:val="left"/>
      </w:pPr>
    </w:p>
    <w:p>
      <w:pPr>
        <w:spacing w:line="276" w:lineRule="auto"/>
        <w:ind w:firstLine="420" w:firstLineChars="200"/>
        <w:jc w:val="center"/>
      </w:pPr>
      <w:bookmarkStart w:id="172" w:name="_Hlk36242924"/>
      <w:r>
        <w:rPr>
          <w:rFonts w:hint="eastAsia"/>
        </w:rPr>
        <w:t>表</w:t>
      </w:r>
      <w:r>
        <w:t>19-2</w:t>
      </w:r>
      <w:r>
        <w:tab/>
      </w:r>
      <w:r>
        <w:tab/>
      </w:r>
      <w:r>
        <w:t>2010</w:t>
      </w:r>
      <w:r>
        <w:rPr>
          <w:rFonts w:hint="eastAsia"/>
        </w:rPr>
        <w:t>年西山区女性人口生命表</w:t>
      </w:r>
    </w:p>
    <w:bookmarkEnd w:id="172"/>
    <w:tbl>
      <w:tblPr>
        <w:tblStyle w:val="26"/>
        <w:tblW w:w="9305"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699"/>
        <w:gridCol w:w="682"/>
        <w:gridCol w:w="921"/>
        <w:gridCol w:w="921"/>
        <w:gridCol w:w="921"/>
        <w:gridCol w:w="921"/>
        <w:gridCol w:w="921"/>
        <w:gridCol w:w="921"/>
        <w:gridCol w:w="921"/>
        <w:gridCol w:w="836"/>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年龄</w:t>
            </w:r>
          </w:p>
        </w:tc>
        <w:tc>
          <w:tcPr>
            <w:tcW w:w="699"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FF0000"/>
                <w:kern w:val="0"/>
                <w:sz w:val="18"/>
                <w:szCs w:val="18"/>
              </w:rPr>
            </w:pPr>
            <w:r>
              <w:rPr>
                <w:rFonts w:hint="eastAsia" w:ascii="等线" w:hAnsi="等线" w:eastAsia="等线" w:cs="宋体"/>
                <w:b/>
                <w:bCs/>
                <w:color w:val="FF0000"/>
                <w:kern w:val="0"/>
                <w:sz w:val="18"/>
                <w:szCs w:val="18"/>
              </w:rPr>
              <w:t>女性人口</w:t>
            </w:r>
          </w:p>
        </w:tc>
        <w:tc>
          <w:tcPr>
            <w:tcW w:w="682"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死亡人口</w:t>
            </w:r>
          </w:p>
        </w:tc>
        <w:tc>
          <w:tcPr>
            <w:tcW w:w="921"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死亡率</w:t>
            </w:r>
          </w:p>
        </w:tc>
        <w:tc>
          <w:tcPr>
            <w:tcW w:w="921" w:type="dxa"/>
            <w:tcBorders>
              <w:bottom w:val="single" w:color="7E7E7E" w:themeColor="text1" w:themeTint="80" w:sz="4" w:space="0"/>
              <w:insideH w:val="single" w:sz="4" w:space="0"/>
            </w:tcBorders>
            <w:noWrap/>
            <w:vAlign w:val="center"/>
          </w:tcPr>
          <w:p>
            <w:pPr>
              <w:widowControl/>
              <w:jc w:val="center"/>
              <w:rPr>
                <w:rFonts w:ascii="等线" w:hAnsi="等线" w:eastAsia="等线" w:cs="宋体"/>
                <w:b w:val="0"/>
                <w:bCs w:val="0"/>
                <w:color w:val="000000"/>
                <w:kern w:val="0"/>
                <w:sz w:val="18"/>
                <w:szCs w:val="18"/>
              </w:rPr>
            </w:pPr>
            <w:r>
              <w:rPr>
                <w:rFonts w:hint="eastAsia" w:ascii="等线" w:hAnsi="等线" w:eastAsia="等线" w:cs="宋体"/>
                <w:b/>
                <w:bCs/>
                <w:color w:val="000000"/>
                <w:kern w:val="0"/>
                <w:sz w:val="18"/>
                <w:szCs w:val="18"/>
              </w:rPr>
              <w:t>死亡</w:t>
            </w:r>
          </w:p>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概率</w:t>
            </w:r>
          </w:p>
        </w:tc>
        <w:tc>
          <w:tcPr>
            <w:tcW w:w="921" w:type="dxa"/>
            <w:tcBorders>
              <w:bottom w:val="single" w:color="7E7E7E" w:themeColor="text1" w:themeTint="80" w:sz="4" w:space="0"/>
              <w:insideH w:val="single" w:sz="4" w:space="0"/>
            </w:tcBorders>
            <w:noWrap/>
            <w:vAlign w:val="center"/>
          </w:tcPr>
          <w:p>
            <w:pPr>
              <w:widowControl/>
              <w:jc w:val="center"/>
              <w:rPr>
                <w:rFonts w:ascii="等线" w:hAnsi="等线" w:eastAsia="等线" w:cs="宋体"/>
                <w:b w:val="0"/>
                <w:bCs w:val="0"/>
                <w:color w:val="000000"/>
                <w:kern w:val="0"/>
                <w:sz w:val="18"/>
                <w:szCs w:val="18"/>
              </w:rPr>
            </w:pPr>
            <w:r>
              <w:rPr>
                <w:rFonts w:hint="eastAsia" w:ascii="等线" w:hAnsi="等线" w:eastAsia="等线" w:cs="宋体"/>
                <w:b/>
                <w:bCs/>
                <w:color w:val="000000"/>
                <w:kern w:val="0"/>
                <w:sz w:val="18"/>
                <w:szCs w:val="18"/>
              </w:rPr>
              <w:t>尚存</w:t>
            </w:r>
          </w:p>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概率</w:t>
            </w:r>
          </w:p>
        </w:tc>
        <w:tc>
          <w:tcPr>
            <w:tcW w:w="921" w:type="dxa"/>
            <w:tcBorders>
              <w:bottom w:val="single" w:color="7E7E7E" w:themeColor="text1" w:themeTint="80" w:sz="4" w:space="0"/>
              <w:insideH w:val="single" w:sz="4" w:space="0"/>
            </w:tcBorders>
            <w:noWrap/>
            <w:vAlign w:val="center"/>
          </w:tcPr>
          <w:p>
            <w:pPr>
              <w:widowControl/>
              <w:jc w:val="center"/>
              <w:rPr>
                <w:rFonts w:ascii="等线" w:hAnsi="等线" w:eastAsia="等线" w:cs="宋体"/>
                <w:b w:val="0"/>
                <w:bCs w:val="0"/>
                <w:color w:val="000000"/>
                <w:kern w:val="0"/>
                <w:sz w:val="18"/>
                <w:szCs w:val="18"/>
              </w:rPr>
            </w:pPr>
            <w:r>
              <w:rPr>
                <w:rFonts w:hint="eastAsia" w:ascii="等线" w:hAnsi="等线" w:eastAsia="等线" w:cs="宋体"/>
                <w:b/>
                <w:bCs/>
                <w:color w:val="000000"/>
                <w:kern w:val="0"/>
                <w:sz w:val="18"/>
                <w:szCs w:val="18"/>
              </w:rPr>
              <w:t>尚存</w:t>
            </w:r>
          </w:p>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人数</w:t>
            </w:r>
          </w:p>
        </w:tc>
        <w:tc>
          <w:tcPr>
            <w:tcW w:w="921"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表上死亡人数</w:t>
            </w:r>
          </w:p>
        </w:tc>
        <w:tc>
          <w:tcPr>
            <w:tcW w:w="921"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平均生存人年数</w:t>
            </w:r>
          </w:p>
        </w:tc>
        <w:tc>
          <w:tcPr>
            <w:tcW w:w="921"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总生存人年数</w:t>
            </w:r>
          </w:p>
        </w:tc>
        <w:tc>
          <w:tcPr>
            <w:tcW w:w="836" w:type="dxa"/>
            <w:tcBorders>
              <w:bottom w:val="single" w:color="7E7E7E" w:themeColor="text1" w:themeTint="80" w:sz="4" w:space="0"/>
              <w:insideH w:val="single" w:sz="4" w:space="0"/>
            </w:tcBorders>
            <w:noWrap/>
            <w:vAlign w:val="center"/>
          </w:tcPr>
          <w:p>
            <w:pPr>
              <w:widowControl/>
              <w:jc w:val="center"/>
              <w:rPr>
                <w:rFonts w:ascii="等线" w:hAnsi="等线" w:eastAsia="等线" w:cs="宋体"/>
                <w:b w:val="0"/>
                <w:bCs w:val="0"/>
                <w:color w:val="000000"/>
                <w:kern w:val="0"/>
                <w:sz w:val="18"/>
                <w:szCs w:val="18"/>
              </w:rPr>
            </w:pPr>
            <w:r>
              <w:rPr>
                <w:rFonts w:hint="eastAsia" w:ascii="等线" w:hAnsi="等线" w:eastAsia="等线" w:cs="宋体"/>
                <w:b/>
                <w:bCs/>
                <w:color w:val="000000"/>
                <w:kern w:val="0"/>
                <w:sz w:val="18"/>
                <w:szCs w:val="18"/>
              </w:rPr>
              <w:t>预期</w:t>
            </w:r>
          </w:p>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寿命</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0</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3251</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0.002768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0.002765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0.997235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100000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276.4552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99861.77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7803353</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78.03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3361</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0.00357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0.003564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0.996436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99723.54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355.4151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99545.84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7703491</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77.25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3515</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0.001138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0.001137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0.998863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99368.13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113.0146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99311.62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7603945</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76.52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2961</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0.000675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0.000675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0.999325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99255.12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67.01898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99221.61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7504633</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75.61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2842</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99188.1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99188.1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7405412</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74.66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3004</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99188.1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99188.1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7306224</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73.66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2413</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99188.1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99188.1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7207036</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72.66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2855</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0.99965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99188.1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34.73581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99170.73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7107848</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71.66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2788</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99153.36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99153.36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7008677</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70.69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2944</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0.000679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0.000679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0.999321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99153.36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67.33675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99119.69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6909523</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69.69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10</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2930</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0.000341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0.000341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0.999659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99086.02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33.81199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99069.12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6810404</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68.73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11</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2667</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99052.21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99052.21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6711335</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67.76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12</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2824</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99052.21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99052.21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6612282</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66.76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13</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2668</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99052.21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99052.21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6513230</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65.76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14</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2945</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0.001019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0.001018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0.998982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99052.21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100.8507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99001.79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6414178</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64.76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15</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3609</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98951.36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98951.36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6315176</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63.82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16</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4699</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0.000426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0.000426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0.999574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98951.36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42.10696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98930.31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6216225</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62.82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17</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4689</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98909.25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98909.25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6117295</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61.85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18</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5088</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98909.25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98909.25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6018385</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60.85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19</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6983</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0.000286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0.000286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0.999714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98909.25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28.32453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98895.09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5919476</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59.85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20</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8480</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98880.93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98880.93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5820581</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58.86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21</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8282</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0.000121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0.000121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0.999879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98880.93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11.93854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98874.96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5721700</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57.86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22</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8041</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0.000124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0.000124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0.999876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98868.99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12.29484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98862.84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5622825</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56.87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23</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8073</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0.000124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0.000124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0.999876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98856.7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12.24459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98850.57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5523962</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55.88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24</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7206</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0.000278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0.000278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0.999722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98844.45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27.43012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98830.74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5425112</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54.89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25</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5792</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0.000518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0.000518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0.999482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98817.02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51.1696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98791.44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5326281</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53.90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26</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6937</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0.000577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0.000576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0.999424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98765.85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56.93377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98737.38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5227490</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52.93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27</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7417</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0.99973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98708.92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26.61335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98695.61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5128752</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51.96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28</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7401</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0.99946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98682.3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53.32017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98655.64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5030057</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50.97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29</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6044</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0.000331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0.000331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0.999669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98628.98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32.63159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98612.67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4931401</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50.00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30</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6569</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0.000609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0.000609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0.999391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98596.35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60.01909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98566.34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4832788</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49.02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31</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7473</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0.000134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0.000134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0.999866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98536.33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13.18476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98529.74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4734222</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48.05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32</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7788</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0.000257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0.000257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0.999743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98523.15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25.29802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98510.5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4635692</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47.05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33</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7638</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0.000262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0.000262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0.999738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98497.85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25.78815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98484.96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4537182</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46.06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34</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7321</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0.00041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0.00041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0.99959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98472.06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40.34362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98451.89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4438697</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45.08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35</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7457</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0.000536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0.000536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0.999464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98431.72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52.78548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98405.33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4340245</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44.09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36</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7613</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0.000657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0.000657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0.999343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98378.93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64.59125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98346.64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4241839</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43.12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37</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7888</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0.000507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0.000507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0.999493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98314.34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49.84251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98289.42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4143493</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42.15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38</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7662</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0.000783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0.000783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0.999217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98264.5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76.91937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98226.04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4045203</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41.17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39</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7525</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0.000532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0.000531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0.999469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98187.58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52.17887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98161.49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3946977</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40.20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40</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6887</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0.001016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0.001016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0.998984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98135.4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99.69491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98085.55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3848816</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39.22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41</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7493</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0.001468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0.001467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0.998533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98035.71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143.8145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97963.8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3750730</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38.26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42</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5801</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0.001551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0.00155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0.99845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97891.89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151.7573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97816.01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3652766</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37.31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43</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5312</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0.001883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0.001881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0.998119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97740.13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183.8257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97648.22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3554950</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36.37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44</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6005</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0.001499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0.001498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0.998502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97556.31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146.1031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97483.26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3457302</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35.44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45</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6215</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0.001609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0.001608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0.998392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97410.21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156.608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97331.9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3359819</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34.49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46</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7325</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0.001911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0.001909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0.998091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97253.6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185.6997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97160.75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3262487</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33.55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47</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6869</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0.002184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0.002181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0.997819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97067.9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211.7383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96962.03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3165326</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32.61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48</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4062</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0.002216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0.002213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0.997787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96856.16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214.3626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96748.98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3068364</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31.68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49</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3481</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0.001724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0.001722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0.998278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96641.8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166.4325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96558.58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2971615</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30.75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50</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3610</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0.00277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0.002766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0.997234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96475.36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266.8751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96341.93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2875057</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29.80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51</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3836</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0.002868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0.002863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0.997137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96208.49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275.4896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96070.74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2778715</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28.88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52</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4649</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0.003227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0.003221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0.996779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95933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309.0293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95778.49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2682644</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27.96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53</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4409</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0.003629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0.003622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0.996378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95623.97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346.3852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95450.78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2586866</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27.05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54</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4726</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0.003597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0.003591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0.996409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95277.59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342.1098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95106.53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2491415</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26.15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55</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5010</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0.003593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0.003586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0.996414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94935.48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340.4739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94765.24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2396308</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25.24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56</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4776</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0.003769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0.003762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0.996238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94595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355.8433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94417.08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2301543</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24.33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57</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4634</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0.006258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0.006239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0.993761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94239.16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587.9177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93945.2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2207126</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23.42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58</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3731</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0.005897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0.005879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0.994121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93651.24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550.5952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93375.94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2113181</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22.56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59</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3366</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0.006536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0.006515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0.993485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93100.65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606.5189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92797.39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2019805</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21.69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60</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3687</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0.007865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0.007835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0.992165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92494.13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724.6602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92131.8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1927007</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20.83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61</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3149</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0.008574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0.008538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0.991462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91769.47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783.4864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91377.72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1834876</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19.99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62</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2998</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0.011341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0.011277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0.988723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90985.98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1026.044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90472.96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1743498</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19.16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63</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2948</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0.010176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0.010125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0.989875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89959.94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910.833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89504.52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1653025</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18.38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64</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2445</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0.015133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0.015019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0.984981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89049.1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1337.454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88380.38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1563520</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17.56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65</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2288</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0.01486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0.014751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0.985249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87711.65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1293.794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87064.75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1475140</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16.82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66</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2263</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0.015466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0.015348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0.984652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86417.86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1326.299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85754.71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1388075</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16.06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67</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2340</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0.017949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0.017789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0.982211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85091.56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1513.7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84334.71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1302321</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15.30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68</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2176</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0.016085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0.015956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0.984044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83577.86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1333.588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82911.06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1217986</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14.57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69</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2114</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0.021287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0.021062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0.978938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82244.27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1732.269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81378.13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1135075</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13.80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70</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1966</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0.026958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0.0266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0.9734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80512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2141.599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79441.2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1053697</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13.09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71</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1956</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0.030164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0.029715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0.970285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78370.4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2328.811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77206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974255.5</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12.43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72</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1754</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0.031927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0.031425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0.968575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76041.59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2389.635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74846.77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897049.5</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11.80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73</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1712</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0.031542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0.031052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0.968948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73651.96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2287.065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72508.42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822202.7</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11.16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74</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1711</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0.036236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0.035591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0.964409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71364.89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2539.967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70094.91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749694.3</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10.51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75</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1464</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0.04918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0.952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68824.92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3303.596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67173.13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679599.4</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76</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1358</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0.032401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0.031884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0.968116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65521.33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2089.086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64476.78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612426.3</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77</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1308</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0.045107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0.044112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0.955888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63432.24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2798.133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62033.17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547949.5</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8.64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78</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1135</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0.065198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0.06314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0.93686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60634.11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3828.433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58719.89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485916.3</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8.01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79</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1093</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0.059469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0.057752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0.942248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56805.68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3280.648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55165.35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427196.4</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7.52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80</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907</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0.076075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0.073287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0.926713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53525.03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3922.705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51563.67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372031.1</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81</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837</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0.111111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0.105263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0.894737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49602.32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5221.297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46991.67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320467.4</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6.46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82</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780</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0.091026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0.087063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0.912937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44381.03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3863.952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42449.05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273475.7</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6.16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83</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562</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0.097865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0.093299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0.906701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40517.07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3780.219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38626.96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231026.7</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84</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479</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0.152401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0.14161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0.85839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36736.85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5202.309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34135.7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192399.7</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85</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413</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0.121065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0.114155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0.885845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31534.55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3599.834</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29734.63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158264</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86</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348</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0.181034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0.166008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0.833992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27934.71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4637.383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25616.02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128529.4</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87</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303</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0.171617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0.158055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0.841945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23297.33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3682.253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21456.2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102913.4</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88</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266</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0.221805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0.199662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0.800338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19615.08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3916.377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17656.89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81457.18</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89</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210</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0.171429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0.157895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0.842105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15698.7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2478.742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14459.33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63800.29</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90</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136</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0.191176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0.174497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0.825503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13219.96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2306.838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12066.54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49340.96</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91</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0.27957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0.245283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0.754717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10913.12</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2676.803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9574.717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37274.42</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92</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0.192308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0.175439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0.824561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8236.316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1444.968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7513.832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27699.71</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93</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0.320755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0.276423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0.723577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6791.348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1877.283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5852.707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20185.88</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94</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0.222222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0.777778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4914.065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1092.014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4368.058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14333.17</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95</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0.3125</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0.27027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0.72973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3822.051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1032.987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3305.557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9965.111</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96</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0.346154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0.295082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0.704918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2789.064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823.0025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2377.563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6659.553</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97</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0.321429</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0.276923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0.723077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1966.061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544.4478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1693.838</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4281.991</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98</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0.357143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0.30303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0.69697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1421.614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430.792</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1206.218</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2588.153</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99</w:t>
            </w:r>
          </w:p>
        </w:tc>
        <w:tc>
          <w:tcPr>
            <w:tcW w:w="699"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w:t>
            </w:r>
          </w:p>
        </w:tc>
        <w:tc>
          <w:tcPr>
            <w:tcW w:w="682"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0.111111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0.105263</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0.894737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990.8216</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104.297</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938.6731</w:t>
            </w:r>
          </w:p>
        </w:tc>
        <w:tc>
          <w:tcPr>
            <w:tcW w:w="92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1381.935</w:t>
            </w:r>
          </w:p>
        </w:tc>
        <w:tc>
          <w:tcPr>
            <w:tcW w:w="836"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100+</w:t>
            </w:r>
          </w:p>
        </w:tc>
        <w:tc>
          <w:tcPr>
            <w:tcW w:w="699"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w:t>
            </w:r>
          </w:p>
        </w:tc>
        <w:tc>
          <w:tcPr>
            <w:tcW w:w="682"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0.636364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0.482759</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0.517241</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886.5246</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427.9774</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443.2623</w:t>
            </w:r>
          </w:p>
        </w:tc>
        <w:tc>
          <w:tcPr>
            <w:tcW w:w="92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443.2623</w:t>
            </w:r>
          </w:p>
        </w:tc>
        <w:tc>
          <w:tcPr>
            <w:tcW w:w="836"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0.50</w:t>
            </w:r>
          </w:p>
        </w:tc>
      </w:tr>
    </w:tbl>
    <w:p>
      <w:pPr>
        <w:spacing w:line="276" w:lineRule="auto"/>
        <w:ind w:firstLine="420" w:firstLineChars="200"/>
        <w:jc w:val="left"/>
      </w:pPr>
      <w:bookmarkStart w:id="173" w:name="_Hlk36243405"/>
      <w:r>
        <w:rPr>
          <w:rFonts w:hint="eastAsia"/>
        </w:rPr>
        <w:t>数据来源：同上</w:t>
      </w:r>
    </w:p>
    <w:bookmarkEnd w:id="173"/>
    <w:p>
      <w:pPr>
        <w:spacing w:line="276" w:lineRule="auto"/>
        <w:ind w:firstLine="420" w:firstLineChars="200"/>
        <w:jc w:val="left"/>
      </w:pPr>
    </w:p>
    <w:p>
      <w:pPr>
        <w:spacing w:line="276" w:lineRule="auto"/>
        <w:ind w:firstLine="420" w:firstLineChars="200"/>
        <w:jc w:val="left"/>
      </w:pPr>
    </w:p>
    <w:p>
      <w:pPr>
        <w:spacing w:line="276" w:lineRule="auto"/>
        <w:ind w:firstLine="420" w:firstLineChars="200"/>
        <w:jc w:val="center"/>
      </w:pPr>
      <w:r>
        <w:rPr>
          <w:rFonts w:hint="eastAsia"/>
        </w:rPr>
        <w:t>表</w:t>
      </w:r>
      <w:r>
        <w:t>19-3</w:t>
      </w:r>
      <w:r>
        <w:tab/>
      </w:r>
      <w:r>
        <w:tab/>
      </w:r>
      <w:r>
        <w:t>2010</w:t>
      </w:r>
      <w:r>
        <w:rPr>
          <w:rFonts w:hint="eastAsia"/>
        </w:rPr>
        <w:t>年西山区常住人口生命表</w:t>
      </w:r>
    </w:p>
    <w:tbl>
      <w:tblPr>
        <w:tblStyle w:val="26"/>
        <w:tblW w:w="9337"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691"/>
        <w:gridCol w:w="720"/>
        <w:gridCol w:w="920"/>
        <w:gridCol w:w="920"/>
        <w:gridCol w:w="920"/>
        <w:gridCol w:w="920"/>
        <w:gridCol w:w="920"/>
        <w:gridCol w:w="920"/>
        <w:gridCol w:w="920"/>
        <w:gridCol w:w="845"/>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年龄</w:t>
            </w:r>
          </w:p>
        </w:tc>
        <w:tc>
          <w:tcPr>
            <w:tcW w:w="691"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FF0000"/>
                <w:kern w:val="0"/>
                <w:sz w:val="18"/>
                <w:szCs w:val="18"/>
              </w:rPr>
            </w:pPr>
            <w:r>
              <w:rPr>
                <w:rFonts w:hint="eastAsia" w:ascii="等线" w:hAnsi="等线" w:eastAsia="等线" w:cs="宋体"/>
                <w:b/>
                <w:bCs/>
                <w:color w:val="FF0000"/>
                <w:kern w:val="0"/>
                <w:sz w:val="18"/>
                <w:szCs w:val="18"/>
              </w:rPr>
              <w:t>总人口</w:t>
            </w:r>
          </w:p>
        </w:tc>
        <w:tc>
          <w:tcPr>
            <w:tcW w:w="720"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死亡人口</w:t>
            </w:r>
          </w:p>
        </w:tc>
        <w:tc>
          <w:tcPr>
            <w:tcW w:w="920"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死亡率</w:t>
            </w:r>
          </w:p>
        </w:tc>
        <w:tc>
          <w:tcPr>
            <w:tcW w:w="920" w:type="dxa"/>
            <w:tcBorders>
              <w:bottom w:val="single" w:color="7E7E7E" w:themeColor="text1" w:themeTint="80" w:sz="4" w:space="0"/>
              <w:insideH w:val="single" w:sz="4" w:space="0"/>
            </w:tcBorders>
            <w:noWrap/>
            <w:vAlign w:val="center"/>
          </w:tcPr>
          <w:p>
            <w:pPr>
              <w:widowControl/>
              <w:jc w:val="center"/>
              <w:rPr>
                <w:rFonts w:ascii="等线" w:hAnsi="等线" w:eastAsia="等线" w:cs="宋体"/>
                <w:b w:val="0"/>
                <w:bCs w:val="0"/>
                <w:color w:val="000000"/>
                <w:kern w:val="0"/>
                <w:sz w:val="18"/>
                <w:szCs w:val="18"/>
              </w:rPr>
            </w:pPr>
            <w:r>
              <w:rPr>
                <w:rFonts w:hint="eastAsia" w:ascii="等线" w:hAnsi="等线" w:eastAsia="等线" w:cs="宋体"/>
                <w:b/>
                <w:bCs/>
                <w:color w:val="000000"/>
                <w:kern w:val="0"/>
                <w:sz w:val="18"/>
                <w:szCs w:val="18"/>
              </w:rPr>
              <w:t>死亡</w:t>
            </w:r>
          </w:p>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概率</w:t>
            </w:r>
          </w:p>
        </w:tc>
        <w:tc>
          <w:tcPr>
            <w:tcW w:w="920" w:type="dxa"/>
            <w:tcBorders>
              <w:bottom w:val="single" w:color="7E7E7E" w:themeColor="text1" w:themeTint="80" w:sz="4" w:space="0"/>
              <w:insideH w:val="single" w:sz="4" w:space="0"/>
            </w:tcBorders>
            <w:noWrap/>
            <w:vAlign w:val="center"/>
          </w:tcPr>
          <w:p>
            <w:pPr>
              <w:widowControl/>
              <w:jc w:val="center"/>
              <w:rPr>
                <w:rFonts w:ascii="等线" w:hAnsi="等线" w:eastAsia="等线" w:cs="宋体"/>
                <w:b w:val="0"/>
                <w:bCs w:val="0"/>
                <w:color w:val="000000"/>
                <w:kern w:val="0"/>
                <w:sz w:val="18"/>
                <w:szCs w:val="18"/>
              </w:rPr>
            </w:pPr>
            <w:r>
              <w:rPr>
                <w:rFonts w:hint="eastAsia" w:ascii="等线" w:hAnsi="等线" w:eastAsia="等线" w:cs="宋体"/>
                <w:b/>
                <w:bCs/>
                <w:color w:val="000000"/>
                <w:kern w:val="0"/>
                <w:sz w:val="18"/>
                <w:szCs w:val="18"/>
              </w:rPr>
              <w:t>尚存</w:t>
            </w:r>
          </w:p>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概率</w:t>
            </w:r>
          </w:p>
        </w:tc>
        <w:tc>
          <w:tcPr>
            <w:tcW w:w="920" w:type="dxa"/>
            <w:tcBorders>
              <w:bottom w:val="single" w:color="7E7E7E" w:themeColor="text1" w:themeTint="80" w:sz="4" w:space="0"/>
              <w:insideH w:val="single" w:sz="4" w:space="0"/>
            </w:tcBorders>
            <w:noWrap/>
            <w:vAlign w:val="center"/>
          </w:tcPr>
          <w:p>
            <w:pPr>
              <w:widowControl/>
              <w:jc w:val="center"/>
              <w:rPr>
                <w:rFonts w:ascii="等线" w:hAnsi="等线" w:eastAsia="等线" w:cs="宋体"/>
                <w:b w:val="0"/>
                <w:bCs w:val="0"/>
                <w:color w:val="000000"/>
                <w:kern w:val="0"/>
                <w:sz w:val="18"/>
                <w:szCs w:val="18"/>
              </w:rPr>
            </w:pPr>
            <w:r>
              <w:rPr>
                <w:rFonts w:hint="eastAsia" w:ascii="等线" w:hAnsi="等线" w:eastAsia="等线" w:cs="宋体"/>
                <w:b/>
                <w:bCs/>
                <w:color w:val="000000"/>
                <w:kern w:val="0"/>
                <w:sz w:val="18"/>
                <w:szCs w:val="18"/>
              </w:rPr>
              <w:t>尚存</w:t>
            </w:r>
          </w:p>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人数</w:t>
            </w:r>
          </w:p>
        </w:tc>
        <w:tc>
          <w:tcPr>
            <w:tcW w:w="920"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表上死亡人数</w:t>
            </w:r>
          </w:p>
        </w:tc>
        <w:tc>
          <w:tcPr>
            <w:tcW w:w="920"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平均生存人年数</w:t>
            </w:r>
          </w:p>
        </w:tc>
        <w:tc>
          <w:tcPr>
            <w:tcW w:w="920" w:type="dxa"/>
            <w:tcBorders>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总生存人年数</w:t>
            </w:r>
          </w:p>
        </w:tc>
        <w:tc>
          <w:tcPr>
            <w:tcW w:w="845" w:type="dxa"/>
            <w:tcBorders>
              <w:bottom w:val="single" w:color="7E7E7E" w:themeColor="text1" w:themeTint="80" w:sz="4" w:space="0"/>
              <w:insideH w:val="single" w:sz="4" w:space="0"/>
            </w:tcBorders>
            <w:noWrap/>
            <w:vAlign w:val="center"/>
          </w:tcPr>
          <w:p>
            <w:pPr>
              <w:widowControl/>
              <w:jc w:val="center"/>
              <w:rPr>
                <w:rFonts w:ascii="等线" w:hAnsi="等线" w:eastAsia="等线" w:cs="宋体"/>
                <w:b w:val="0"/>
                <w:bCs w:val="0"/>
                <w:color w:val="000000"/>
                <w:kern w:val="0"/>
                <w:sz w:val="18"/>
                <w:szCs w:val="18"/>
              </w:rPr>
            </w:pPr>
            <w:r>
              <w:rPr>
                <w:rFonts w:hint="eastAsia" w:ascii="等线" w:hAnsi="等线" w:eastAsia="等线" w:cs="宋体"/>
                <w:b/>
                <w:bCs/>
                <w:color w:val="000000"/>
                <w:kern w:val="0"/>
                <w:sz w:val="18"/>
                <w:szCs w:val="18"/>
              </w:rPr>
              <w:t>预期</w:t>
            </w:r>
          </w:p>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寿命</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0</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6796</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0.00206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0.002058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0.997942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100000</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205.7916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99897.1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7600321</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76.00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6936</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0.002884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0.002879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0.997121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99794.21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287.343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99650.54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7500424</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75.16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7176</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0.001115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0.001114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0.998886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99506.87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110.8712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99451.43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7400774</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74.37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6117</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0.000817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0.000817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0.999183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99395.99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81.21251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99355.39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7301322</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73.46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6054</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0.99967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99314.78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32.80422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99298.38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7201967</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72.52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6229</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99281.98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99281.98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7102668</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71.54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5084</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0.000393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0.000393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0.999607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99281.98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39.04896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99262.45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7003386</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70.54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5836</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0.000514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0.000514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0.999486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99242.93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51.00279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99217.43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6904124</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69.57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5888</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99191.93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99191.93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6804907</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68.60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6240</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0.000641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0.000641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0.999359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99191.93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63.56419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99160.14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6705715</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67.60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10</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6061</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0.99967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99128.36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32.70484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99112.01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6606555</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66.65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11</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5572</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99095.66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99095.66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6507443</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65.67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12</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5744</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99095.66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99095.66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6408347</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64.67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13</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5435</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0.000552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0.000552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0.999448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99095.66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54.68352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99068.32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6309251</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63.67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14</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6070</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0.000659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0.000659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0.999341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99040.97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65.24438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99008.35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6210183</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62.70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15</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7892</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0.000127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0.000127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0.999873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98975.73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12.54048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98969.46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6111175</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61.74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16</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9816</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0.000306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0.000306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0.999694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98963.19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30.24085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98948.07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6012205</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60.75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17</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9761</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0.000102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0.000102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0.999898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98932.95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10.13501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98927.88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5913257</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59.77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18</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10452</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98922.81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98922.81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5814329</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58.78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19</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13632</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0.000293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0.000293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0.999707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98922.81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29.02239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98908.3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5715406</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57.78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20</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16495</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0.000182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0.000182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0.999818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98893.79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17.9845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98884.8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5616498</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56.79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21</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15921</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0.000188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0.000188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0.999812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98875.81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18.62945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98866.49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5517613</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55.80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22</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15681</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0.000128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0.000128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0.999872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98857.18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12.60773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98850.87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5418747</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54.81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23</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15896</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0.000377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0.000377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0.999623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98844.57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37.30218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98825.92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5319896</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53.82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24</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14141</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0.000212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0.000212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0.999788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98807.27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20.95965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98796.79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5221070</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52.84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25</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12335</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0.000324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0.000324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0.999676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98786.31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32.02928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98770.29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5122273</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51.85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26</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13767</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0.000726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0.000726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0.999274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98754.28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71.70656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98718.42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5023503</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50.87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27</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14909</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0.00047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0.000469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0.999531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98682.57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46.32208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98659.41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4924784</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49.91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28</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15034</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0.000732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0.000731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0.999269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98636.25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72.14327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98600.18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4826125</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48.93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29</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12382</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0.000323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0.000323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0.999677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98564.11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31.83595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98548.19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4727525</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47.96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30</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13667</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0.000659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0.000658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0.999342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98532.27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64.86416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98499.84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4628977</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46.98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31</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15293</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0.000327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0.000327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0.999673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98467.41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32.18836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98451.31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4530477</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46.01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32</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15996</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0.99925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98435.22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73.81719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98398.31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4432026</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45.02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33</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15935</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0.000753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0.000753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0.999247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98361.4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74.04409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98324.38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4333627</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44.06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34</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15512</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0.000709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0.000709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0.999291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98287.36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69.67365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98252.52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4235303</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43.09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35</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15705</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98217.68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68.76894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98183.3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4137050</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42.12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36</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16541</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0.001209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0.001208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0.998792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98148.91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118.6018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98089.61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4038867</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41.15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37</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16835</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0.000772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0.000772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0.999228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98030.31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75.66987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97992.48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3940777</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40.20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38</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16487</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0.000789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0.000788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0.999212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97954.64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77.2068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97916.04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3842785</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39.23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39</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16102</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0.00149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0.001489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0.998511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97877.43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145.7775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97804.55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3744869</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38.26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40</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14527</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0.001446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0.001445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0.998555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97731.66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141.1773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97661.07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3647064</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37.32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41</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15699</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0.002166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0.002163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0.997837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97590.48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211.1273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97484.92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3549403</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36.37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42</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12186</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0.001641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0.00164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0.99836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97379.35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159.6906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97299.51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3451918</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35.45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43</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11120</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0.001888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0.001887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0.998113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97219.66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183.4251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97127.95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3354619</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34.51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44</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12483</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0.002163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0.002161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0.997839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97036.24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209.657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96931.41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3257491</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33.57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45</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12003</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0.003083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0.003078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0.996922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96826.58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298.0147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96677.57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3160559</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32.64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46</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14964</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0.002874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0.002869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0.997131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96528.57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276.983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96390.07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3063882</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31.74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47</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14072</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0.002914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0.002909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0.997091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96251.58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280.0294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96111.57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2967492</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30.83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48</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8334</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0.00252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0.002517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0.997483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95971.55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241.5247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95850.79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2871380</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29.92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49</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7052</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0.00468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0.004669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0.995331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95730.03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446.9252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95506.57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2775529</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28.99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50</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7578</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0.004223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0.004214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0.995786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95283.1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401.509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95082.35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2680023</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28.13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51</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7926</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0.004037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0.004029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0.995971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94881.59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382.298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94690.44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2584941</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27.24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52</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9415</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0.004036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0.004028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0.995972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94499.3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380.6416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94308.98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2490250</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26.35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53</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8872</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0.005636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0.00562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0.99438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94118.65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528.9348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93854.19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2395941</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25.46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54</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9396</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0.006066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0.006048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0.993952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93589.72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566.0368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93306.7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2302087</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24.60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55</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9867</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0.004561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0.00455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0.99545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93023.68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423.2839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92812.04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2208780</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23.74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56</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9435</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0.005617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0.005602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0.994398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92600.4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518.7149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92341.04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2115968</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22.85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57</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9256</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0.006698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0.006676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0.993324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92081.68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614.7372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91774.32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2023627</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21.98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58</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7489</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0.008145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0.008112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0.991888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91466.95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742.002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91095.95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1931853</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21.12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59</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6774</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0.007972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0.00794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0.99206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90724.94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720.3569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90364.77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1840757</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20.29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60</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7625</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0.010885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0.010826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0.989174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90004.59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974.4187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89517.38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1750392</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19.45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61</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6431</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0.012129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0.012056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0.987944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89030.17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1073.316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88493.51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1660875</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18.66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62</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6005</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0.013489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0.013398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0.986602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87956.85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1178.481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87367.61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1572381</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17.88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63</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6033</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0.013923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0.013827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0.986173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86778.37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1199.898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86178.42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1485014</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17.11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64</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4989</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0.018841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0.018666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0.981334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85578.47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1597.374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84779.79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1398835</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16.35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65</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4646</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0.01765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0.017495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0.982505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83981.1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1469.266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83246.47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1314055</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15.65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66</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4624</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0.020761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0.020548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0.979452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82511.83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1695.449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81664.11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1230809</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14.92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67</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4805</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0.022268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0.022023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0.977977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80816.39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1779.84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79926.47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1149145</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14.22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68</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4345</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0.020253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0.02005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0.97995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79036.55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1584.693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78244.2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1069218</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13.53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69</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4232</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0.028119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0.027729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0.972271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77451.85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2147.68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76378.01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990974.2</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12.79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70</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3877</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0.034563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0.033976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0.966024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75304.17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2558.509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74024.92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914596.2</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12.15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71</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4003</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0.033225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0.032682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0.967318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72745.66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2377.485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71556.92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840571.3</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11.55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72</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3765</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0.039575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0.038807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0.961193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70368.18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2730.788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69002.78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769014.4</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10.93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73</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3659</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0.042088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0.041221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0.958779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67637.39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2788.051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66243.37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700011.6</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10.35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74</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3440</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0.042151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0.041281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0.958719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64849.34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2677.055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63510.81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633768.2</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75</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2934</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0.048398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0.047255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0.952745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62172.29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2937.925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60703.32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570257.4</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76</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2845</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0.046046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0.045009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0.954991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59234.36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2666.106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57901.31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509554.1</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8.60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77</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2611</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150</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0.057449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0.055845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0.944155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56568.25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3159.061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54988.72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451652.8</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7.98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78</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2293</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0.071958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0.069459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0.930541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53409.19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3709.752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51554.32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396664</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79</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2254</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0.074978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0.072269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0.927731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49699.44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3591.706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47903.59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345109.7</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80</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1840</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0.095652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0.091286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0.908714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46107.73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4209.005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44003.23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297206.1</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6.45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81</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1590</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0.11195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0.106015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0.893985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41898.73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4441.914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39677.77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253202.9</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82</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1423</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0.111033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0.105193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0.894807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37456.82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3940.198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35486.72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213525.1</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83</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1063</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0.128881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0.121078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0.878922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33516.62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4058.132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31487.55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178038.4</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84</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918</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0.14488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0.135094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0.864906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29458.49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3979.663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27468.65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146550.9</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85</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741</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0.155196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0.14402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0.85598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25478.82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3669.461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23644.09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119082.2</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86</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660</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0.195455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0.178054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0.821946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21809.36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3883.24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19867.74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95438.11</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87</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560</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0.194643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0.17738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0.82262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17926.12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3179.735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16336.25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75570.37</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4.22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88</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488</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0.231557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0.20753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0.79247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14746.39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3060.315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13216.23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59234.12</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4.02</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89</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366</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0.221311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0.199262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0.800738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11686.07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2328.59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10521.78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46017.89</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3.94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90</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240</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0.181818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0.818182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9357.481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1701.36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8506.801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35496.12</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3.79</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91</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179</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0.22905</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0.205514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0.794486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7656.121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1573.438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6869.402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26989.31</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92</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132</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0.242424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0.216216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0.783784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6082.682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1315.175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5425.095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20119.91</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3.31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93</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0.305263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0.26484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0.73516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4767.508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1262.628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4136.194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14694.82</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94</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89</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0.269663</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0.237624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0.762376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3504.88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832.8428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3088.459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10558.62</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3.01</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95</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0.298246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0.259542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0.740458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2672.037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693.5059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2325.284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7470.165</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2.80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96</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0.285714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1978.532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494.6329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1731.215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5144.88</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2.60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97</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43</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0.325581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0.28</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0.72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1483.899</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415.4916</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1276.153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3413.665</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98</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0.217391</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0.196078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0.803922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1068.407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209.4916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963.6612</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2137.512</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2.00</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99</w:t>
            </w:r>
          </w:p>
        </w:tc>
        <w:tc>
          <w:tcPr>
            <w:tcW w:w="691"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14</w:t>
            </w:r>
          </w:p>
        </w:tc>
        <w:tc>
          <w:tcPr>
            <w:tcW w:w="7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0.142857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0.133333</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0.866667</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858.9154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114.5221</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801.6544</w:t>
            </w:r>
          </w:p>
        </w:tc>
        <w:tc>
          <w:tcPr>
            <w:tcW w:w="920"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1173.851</w:t>
            </w:r>
          </w:p>
        </w:tc>
        <w:tc>
          <w:tcPr>
            <w:tcW w:w="845" w:type="dxa"/>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 w:hRule="atLeast"/>
        </w:trPr>
        <w:tc>
          <w:tcPr>
            <w:tcW w:w="64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b/>
                <w:bCs/>
                <w:color w:val="000000"/>
                <w:kern w:val="0"/>
                <w:sz w:val="18"/>
                <w:szCs w:val="18"/>
              </w:rPr>
            </w:pPr>
            <w:r>
              <w:rPr>
                <w:rFonts w:hint="eastAsia" w:ascii="等线" w:hAnsi="等线" w:eastAsia="等线" w:cs="宋体"/>
                <w:b/>
                <w:bCs/>
                <w:color w:val="000000"/>
                <w:kern w:val="0"/>
                <w:sz w:val="18"/>
                <w:szCs w:val="18"/>
              </w:rPr>
              <w:t>100+</w:t>
            </w:r>
          </w:p>
        </w:tc>
        <w:tc>
          <w:tcPr>
            <w:tcW w:w="691"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13</w:t>
            </w:r>
          </w:p>
        </w:tc>
        <w:tc>
          <w:tcPr>
            <w:tcW w:w="7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0.692308</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0.514286</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0.485714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744.3934</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382.8309</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372.1967</w:t>
            </w:r>
          </w:p>
        </w:tc>
        <w:tc>
          <w:tcPr>
            <w:tcW w:w="920"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372.1967</w:t>
            </w:r>
          </w:p>
        </w:tc>
        <w:tc>
          <w:tcPr>
            <w:tcW w:w="845" w:type="dxa"/>
            <w:tcBorders>
              <w:top w:val="single" w:color="7E7E7E" w:themeColor="text1" w:themeTint="80" w:sz="4" w:space="0"/>
              <w:bottom w:val="single" w:color="7E7E7E" w:themeColor="text1" w:themeTint="80" w:sz="4" w:space="0"/>
              <w:insideH w:val="single" w:sz="4" w:space="0"/>
            </w:tcBorders>
            <w:noWrap/>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0.50</w:t>
            </w:r>
          </w:p>
        </w:tc>
      </w:tr>
    </w:tbl>
    <w:p>
      <w:pPr>
        <w:spacing w:line="276" w:lineRule="auto"/>
        <w:ind w:firstLine="360" w:firstLineChars="200"/>
        <w:jc w:val="left"/>
        <w:rPr>
          <w:sz w:val="18"/>
          <w:szCs w:val="18"/>
        </w:rPr>
      </w:pPr>
      <w:r>
        <w:rPr>
          <w:rFonts w:hint="eastAsia"/>
          <w:sz w:val="18"/>
          <w:szCs w:val="18"/>
        </w:rPr>
        <w:t>数据来源：同上</w:t>
      </w:r>
    </w:p>
    <w:p>
      <w:pPr>
        <w:spacing w:line="276" w:lineRule="auto"/>
        <w:ind w:firstLine="420" w:firstLineChars="200"/>
        <w:jc w:val="left"/>
      </w:pPr>
    </w:p>
    <w:p>
      <w:pPr>
        <w:spacing w:line="276" w:lineRule="auto"/>
        <w:ind w:firstLine="420" w:firstLineChars="200"/>
        <w:rPr>
          <w:b/>
        </w:rPr>
      </w:pPr>
    </w:p>
    <w:sectPr>
      <w:footerReference r:id="rId4" w:type="default"/>
      <w:pgSz w:w="11906" w:h="16838"/>
      <w:pgMar w:top="1440" w:right="1800" w:bottom="1440" w:left="1800" w:header="851" w:footer="992" w:gutter="0"/>
      <w:pgNumType w:fmt="decimal"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楷体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20465509"/>
                            <w:docPartObj>
                              <w:docPartGallery w:val="autotext"/>
                            </w:docPartObj>
                          </w:sdtPr>
                          <w:sdtContent>
                            <w:p>
                              <w:pPr>
                                <w:pStyle w:val="8"/>
                                <w:jc w:val="center"/>
                              </w:pPr>
                              <w:r>
                                <w:fldChar w:fldCharType="begin"/>
                              </w:r>
                              <w:r>
                                <w:instrText xml:space="preserve">PAGE   \* MERGEFORMAT</w:instrText>
                              </w:r>
                              <w:r>
                                <w:fldChar w:fldCharType="separate"/>
                              </w:r>
                              <w:r>
                                <w:rPr>
                                  <w:lang w:val="zh-CN"/>
                                </w:rPr>
                                <w:t>1</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sdt>
                    <w:sdtPr>
                      <w:id w:val="320465509"/>
                      <w:docPartObj>
                        <w:docPartGallery w:val="autotext"/>
                      </w:docPartObj>
                    </w:sdtPr>
                    <w:sdtContent>
                      <w:p>
                        <w:pPr>
                          <w:pStyle w:val="8"/>
                          <w:jc w:val="center"/>
                        </w:pPr>
                        <w:r>
                          <w:fldChar w:fldCharType="begin"/>
                        </w:r>
                        <w:r>
                          <w:instrText xml:space="preserve">PAGE   \* MERGEFORMAT</w:instrText>
                        </w:r>
                        <w:r>
                          <w:fldChar w:fldCharType="separate"/>
                        </w:r>
                        <w:r>
                          <w:rPr>
                            <w:lang w:val="zh-CN"/>
                          </w:rPr>
                          <w:t>1</w:t>
                        </w:r>
                        <w:r>
                          <w:fldChar w:fldCharType="end"/>
                        </w:r>
                      </w:p>
                    </w:sdtContent>
                  </w:sdt>
                  <w:p/>
                </w:txbxContent>
              </v:textbox>
            </v:shape>
          </w:pict>
        </mc:Fallback>
      </mc:AlternateContent>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3AD628"/>
    <w:multiLevelType w:val="singleLevel"/>
    <w:tmpl w:val="A43AD628"/>
    <w:lvl w:ilvl="0" w:tentative="0">
      <w:start w:val="1"/>
      <w:numFmt w:val="decimal"/>
      <w:suff w:val="nothing"/>
      <w:lvlText w:val="%1．"/>
      <w:lvlJc w:val="left"/>
      <w:pPr>
        <w:ind w:left="0" w:firstLine="400"/>
      </w:pPr>
      <w:rPr>
        <w:rFonts w:hint="default"/>
      </w:rPr>
    </w:lvl>
  </w:abstractNum>
  <w:abstractNum w:abstractNumId="1">
    <w:nsid w:val="2E621066"/>
    <w:multiLevelType w:val="multilevel"/>
    <w:tmpl w:val="2E621066"/>
    <w:lvl w:ilvl="0" w:tentative="0">
      <w:start w:val="1"/>
      <w:numFmt w:val="japaneseCounting"/>
      <w:lvlText w:val="第%1章"/>
      <w:lvlJc w:val="left"/>
      <w:pPr>
        <w:ind w:left="1260" w:hanging="84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6E0"/>
    <w:rsid w:val="00000DE3"/>
    <w:rsid w:val="00011214"/>
    <w:rsid w:val="00020A45"/>
    <w:rsid w:val="000248B5"/>
    <w:rsid w:val="00030B5F"/>
    <w:rsid w:val="00031C82"/>
    <w:rsid w:val="00033857"/>
    <w:rsid w:val="000408D8"/>
    <w:rsid w:val="0005074E"/>
    <w:rsid w:val="000538A9"/>
    <w:rsid w:val="00053F1C"/>
    <w:rsid w:val="000563BC"/>
    <w:rsid w:val="00066C54"/>
    <w:rsid w:val="00067CD0"/>
    <w:rsid w:val="00075EA1"/>
    <w:rsid w:val="00081735"/>
    <w:rsid w:val="00083117"/>
    <w:rsid w:val="00085FEB"/>
    <w:rsid w:val="00086590"/>
    <w:rsid w:val="00086FA8"/>
    <w:rsid w:val="000875FD"/>
    <w:rsid w:val="00094B76"/>
    <w:rsid w:val="00097BE5"/>
    <w:rsid w:val="000B3033"/>
    <w:rsid w:val="000B3340"/>
    <w:rsid w:val="000C0457"/>
    <w:rsid w:val="000C3643"/>
    <w:rsid w:val="000C579A"/>
    <w:rsid w:val="000D7AC0"/>
    <w:rsid w:val="000E26A5"/>
    <w:rsid w:val="000E26FD"/>
    <w:rsid w:val="000E31CC"/>
    <w:rsid w:val="000F2360"/>
    <w:rsid w:val="000F37E0"/>
    <w:rsid w:val="000F77DF"/>
    <w:rsid w:val="001063FC"/>
    <w:rsid w:val="00107B65"/>
    <w:rsid w:val="00107F71"/>
    <w:rsid w:val="00112031"/>
    <w:rsid w:val="001134F9"/>
    <w:rsid w:val="00123AF7"/>
    <w:rsid w:val="0012523F"/>
    <w:rsid w:val="00125E3D"/>
    <w:rsid w:val="00125F80"/>
    <w:rsid w:val="00126C98"/>
    <w:rsid w:val="0012761C"/>
    <w:rsid w:val="001438B4"/>
    <w:rsid w:val="00147561"/>
    <w:rsid w:val="0015003A"/>
    <w:rsid w:val="001507E9"/>
    <w:rsid w:val="001525AA"/>
    <w:rsid w:val="00156C9A"/>
    <w:rsid w:val="0015731D"/>
    <w:rsid w:val="00157F2D"/>
    <w:rsid w:val="00157F9C"/>
    <w:rsid w:val="001660A5"/>
    <w:rsid w:val="00171E8C"/>
    <w:rsid w:val="0017510E"/>
    <w:rsid w:val="00176A22"/>
    <w:rsid w:val="00181AA9"/>
    <w:rsid w:val="00183F3C"/>
    <w:rsid w:val="001846C5"/>
    <w:rsid w:val="00185CC1"/>
    <w:rsid w:val="00187FFA"/>
    <w:rsid w:val="00191C91"/>
    <w:rsid w:val="001964DD"/>
    <w:rsid w:val="001A0283"/>
    <w:rsid w:val="001A3685"/>
    <w:rsid w:val="001A43A9"/>
    <w:rsid w:val="001A6A44"/>
    <w:rsid w:val="001B3CD8"/>
    <w:rsid w:val="001B4C56"/>
    <w:rsid w:val="001C0136"/>
    <w:rsid w:val="001C4206"/>
    <w:rsid w:val="001D0AC6"/>
    <w:rsid w:val="001D7801"/>
    <w:rsid w:val="001E19BE"/>
    <w:rsid w:val="001E57CB"/>
    <w:rsid w:val="001F0141"/>
    <w:rsid w:val="0020094F"/>
    <w:rsid w:val="002011E5"/>
    <w:rsid w:val="00202E2A"/>
    <w:rsid w:val="00214A3F"/>
    <w:rsid w:val="00233EFF"/>
    <w:rsid w:val="00236340"/>
    <w:rsid w:val="00242B18"/>
    <w:rsid w:val="00243AAD"/>
    <w:rsid w:val="00243D87"/>
    <w:rsid w:val="00246216"/>
    <w:rsid w:val="00250926"/>
    <w:rsid w:val="00256588"/>
    <w:rsid w:val="00262AF9"/>
    <w:rsid w:val="00263F36"/>
    <w:rsid w:val="002650DB"/>
    <w:rsid w:val="002664FA"/>
    <w:rsid w:val="00271694"/>
    <w:rsid w:val="00280932"/>
    <w:rsid w:val="00287B0A"/>
    <w:rsid w:val="002925F8"/>
    <w:rsid w:val="00294837"/>
    <w:rsid w:val="00296C16"/>
    <w:rsid w:val="002A0172"/>
    <w:rsid w:val="002A13FB"/>
    <w:rsid w:val="002A666A"/>
    <w:rsid w:val="002B2EE0"/>
    <w:rsid w:val="002C1884"/>
    <w:rsid w:val="002C18B6"/>
    <w:rsid w:val="002C22C7"/>
    <w:rsid w:val="002C3EE7"/>
    <w:rsid w:val="002D09E8"/>
    <w:rsid w:val="002D6C23"/>
    <w:rsid w:val="002E6557"/>
    <w:rsid w:val="002E7AEA"/>
    <w:rsid w:val="002F0A9E"/>
    <w:rsid w:val="002F306B"/>
    <w:rsid w:val="002F32CF"/>
    <w:rsid w:val="002F7827"/>
    <w:rsid w:val="00311549"/>
    <w:rsid w:val="00313173"/>
    <w:rsid w:val="003249C9"/>
    <w:rsid w:val="0032642D"/>
    <w:rsid w:val="00332970"/>
    <w:rsid w:val="00342AD7"/>
    <w:rsid w:val="00344627"/>
    <w:rsid w:val="00344E0D"/>
    <w:rsid w:val="00346A26"/>
    <w:rsid w:val="003473BE"/>
    <w:rsid w:val="00347460"/>
    <w:rsid w:val="0035114A"/>
    <w:rsid w:val="003568D5"/>
    <w:rsid w:val="00356CF8"/>
    <w:rsid w:val="00371B15"/>
    <w:rsid w:val="00376E6B"/>
    <w:rsid w:val="0038539B"/>
    <w:rsid w:val="00391CFE"/>
    <w:rsid w:val="003A5B02"/>
    <w:rsid w:val="003B04E0"/>
    <w:rsid w:val="003C6984"/>
    <w:rsid w:val="003C7DF3"/>
    <w:rsid w:val="003D7587"/>
    <w:rsid w:val="003F2D36"/>
    <w:rsid w:val="00403EBB"/>
    <w:rsid w:val="00404599"/>
    <w:rsid w:val="00410E23"/>
    <w:rsid w:val="004120C6"/>
    <w:rsid w:val="004177D6"/>
    <w:rsid w:val="004257A5"/>
    <w:rsid w:val="00430189"/>
    <w:rsid w:val="0043030C"/>
    <w:rsid w:val="004338CD"/>
    <w:rsid w:val="00444CB9"/>
    <w:rsid w:val="00450E69"/>
    <w:rsid w:val="00454841"/>
    <w:rsid w:val="00464A0E"/>
    <w:rsid w:val="0047003B"/>
    <w:rsid w:val="004709EA"/>
    <w:rsid w:val="00485D4F"/>
    <w:rsid w:val="0048612F"/>
    <w:rsid w:val="0049588F"/>
    <w:rsid w:val="00495E05"/>
    <w:rsid w:val="004A2CF6"/>
    <w:rsid w:val="004B6398"/>
    <w:rsid w:val="004C0905"/>
    <w:rsid w:val="004C3904"/>
    <w:rsid w:val="004C3E00"/>
    <w:rsid w:val="004C4094"/>
    <w:rsid w:val="004C6BEF"/>
    <w:rsid w:val="004C726D"/>
    <w:rsid w:val="004D1C64"/>
    <w:rsid w:val="004D4D94"/>
    <w:rsid w:val="004E0EAA"/>
    <w:rsid w:val="004F2451"/>
    <w:rsid w:val="004F5077"/>
    <w:rsid w:val="004F5446"/>
    <w:rsid w:val="004F5A75"/>
    <w:rsid w:val="005027D2"/>
    <w:rsid w:val="0050358F"/>
    <w:rsid w:val="00503ACE"/>
    <w:rsid w:val="00503D0D"/>
    <w:rsid w:val="00507E9B"/>
    <w:rsid w:val="00510527"/>
    <w:rsid w:val="00512BA5"/>
    <w:rsid w:val="005149C1"/>
    <w:rsid w:val="00521592"/>
    <w:rsid w:val="00522DB4"/>
    <w:rsid w:val="00524D7C"/>
    <w:rsid w:val="00525BBD"/>
    <w:rsid w:val="00525C73"/>
    <w:rsid w:val="00531A86"/>
    <w:rsid w:val="00535F6A"/>
    <w:rsid w:val="005372C2"/>
    <w:rsid w:val="005517DC"/>
    <w:rsid w:val="00557FC6"/>
    <w:rsid w:val="00560BA5"/>
    <w:rsid w:val="005616DB"/>
    <w:rsid w:val="00561ED7"/>
    <w:rsid w:val="00561FF3"/>
    <w:rsid w:val="00567CFB"/>
    <w:rsid w:val="00577735"/>
    <w:rsid w:val="005866FA"/>
    <w:rsid w:val="005905E7"/>
    <w:rsid w:val="00590F7B"/>
    <w:rsid w:val="005918DD"/>
    <w:rsid w:val="00597AA2"/>
    <w:rsid w:val="005C46A2"/>
    <w:rsid w:val="005C4FAE"/>
    <w:rsid w:val="005D0F01"/>
    <w:rsid w:val="005D19C6"/>
    <w:rsid w:val="005D42AC"/>
    <w:rsid w:val="005D6EF6"/>
    <w:rsid w:val="005E0516"/>
    <w:rsid w:val="005F0990"/>
    <w:rsid w:val="005F4F73"/>
    <w:rsid w:val="00605A0D"/>
    <w:rsid w:val="00606D97"/>
    <w:rsid w:val="0062181C"/>
    <w:rsid w:val="00632CC3"/>
    <w:rsid w:val="00634A5C"/>
    <w:rsid w:val="00634D6C"/>
    <w:rsid w:val="00635704"/>
    <w:rsid w:val="006504C7"/>
    <w:rsid w:val="00651C88"/>
    <w:rsid w:val="006526F3"/>
    <w:rsid w:val="006570C8"/>
    <w:rsid w:val="006601CA"/>
    <w:rsid w:val="00660F28"/>
    <w:rsid w:val="00667ECC"/>
    <w:rsid w:val="0067073A"/>
    <w:rsid w:val="00671140"/>
    <w:rsid w:val="00671A22"/>
    <w:rsid w:val="00693D75"/>
    <w:rsid w:val="0069630D"/>
    <w:rsid w:val="006A7FA0"/>
    <w:rsid w:val="006B058D"/>
    <w:rsid w:val="006B1A2B"/>
    <w:rsid w:val="006B44D2"/>
    <w:rsid w:val="006E17BE"/>
    <w:rsid w:val="006F48CC"/>
    <w:rsid w:val="00700639"/>
    <w:rsid w:val="00703977"/>
    <w:rsid w:val="00704B3D"/>
    <w:rsid w:val="00705750"/>
    <w:rsid w:val="00714F07"/>
    <w:rsid w:val="00724BE1"/>
    <w:rsid w:val="00736CAA"/>
    <w:rsid w:val="0074085B"/>
    <w:rsid w:val="00741005"/>
    <w:rsid w:val="00743109"/>
    <w:rsid w:val="00746B85"/>
    <w:rsid w:val="007476D0"/>
    <w:rsid w:val="007476D4"/>
    <w:rsid w:val="0076109C"/>
    <w:rsid w:val="00765459"/>
    <w:rsid w:val="00771517"/>
    <w:rsid w:val="00773C29"/>
    <w:rsid w:val="00776AE6"/>
    <w:rsid w:val="007830AA"/>
    <w:rsid w:val="00793540"/>
    <w:rsid w:val="007938AF"/>
    <w:rsid w:val="00794557"/>
    <w:rsid w:val="007A1809"/>
    <w:rsid w:val="007A47A0"/>
    <w:rsid w:val="007A4B1F"/>
    <w:rsid w:val="007B2E17"/>
    <w:rsid w:val="007B3428"/>
    <w:rsid w:val="007B3887"/>
    <w:rsid w:val="007B4AC1"/>
    <w:rsid w:val="007B6813"/>
    <w:rsid w:val="007C0465"/>
    <w:rsid w:val="007C334F"/>
    <w:rsid w:val="007C4C54"/>
    <w:rsid w:val="007C4C78"/>
    <w:rsid w:val="007C5E4F"/>
    <w:rsid w:val="007D1D3B"/>
    <w:rsid w:val="007D3227"/>
    <w:rsid w:val="007E3FF2"/>
    <w:rsid w:val="007F0A7F"/>
    <w:rsid w:val="007F2B0D"/>
    <w:rsid w:val="007F3DB8"/>
    <w:rsid w:val="007F42AB"/>
    <w:rsid w:val="00805745"/>
    <w:rsid w:val="00806D21"/>
    <w:rsid w:val="008102B0"/>
    <w:rsid w:val="00812620"/>
    <w:rsid w:val="00812C1C"/>
    <w:rsid w:val="00816E02"/>
    <w:rsid w:val="008170D0"/>
    <w:rsid w:val="00817A96"/>
    <w:rsid w:val="00821A28"/>
    <w:rsid w:val="00824EB0"/>
    <w:rsid w:val="00825F0A"/>
    <w:rsid w:val="00827B5F"/>
    <w:rsid w:val="00831236"/>
    <w:rsid w:val="00832563"/>
    <w:rsid w:val="008424CE"/>
    <w:rsid w:val="00850EAD"/>
    <w:rsid w:val="0085502C"/>
    <w:rsid w:val="00856186"/>
    <w:rsid w:val="00856DFF"/>
    <w:rsid w:val="008570F7"/>
    <w:rsid w:val="00870237"/>
    <w:rsid w:val="008759C9"/>
    <w:rsid w:val="00882094"/>
    <w:rsid w:val="00883191"/>
    <w:rsid w:val="00883E06"/>
    <w:rsid w:val="00883E14"/>
    <w:rsid w:val="00884DC5"/>
    <w:rsid w:val="00886B26"/>
    <w:rsid w:val="00890B5E"/>
    <w:rsid w:val="008B0AD5"/>
    <w:rsid w:val="008B2809"/>
    <w:rsid w:val="008B2B56"/>
    <w:rsid w:val="008B2E5B"/>
    <w:rsid w:val="008B4206"/>
    <w:rsid w:val="008B4A2A"/>
    <w:rsid w:val="008C0480"/>
    <w:rsid w:val="008C43B4"/>
    <w:rsid w:val="008C49D0"/>
    <w:rsid w:val="008D31F0"/>
    <w:rsid w:val="008D3EBE"/>
    <w:rsid w:val="008E08CA"/>
    <w:rsid w:val="008E13B0"/>
    <w:rsid w:val="008E19CC"/>
    <w:rsid w:val="008E1E8D"/>
    <w:rsid w:val="008E5C08"/>
    <w:rsid w:val="008E7172"/>
    <w:rsid w:val="008F022D"/>
    <w:rsid w:val="008F029A"/>
    <w:rsid w:val="008F1025"/>
    <w:rsid w:val="009023B8"/>
    <w:rsid w:val="0092139C"/>
    <w:rsid w:val="009217D1"/>
    <w:rsid w:val="0092366B"/>
    <w:rsid w:val="00923A86"/>
    <w:rsid w:val="00923C00"/>
    <w:rsid w:val="00931B3B"/>
    <w:rsid w:val="00932521"/>
    <w:rsid w:val="00933522"/>
    <w:rsid w:val="00951F57"/>
    <w:rsid w:val="009542CF"/>
    <w:rsid w:val="0095455A"/>
    <w:rsid w:val="0095766B"/>
    <w:rsid w:val="009614D1"/>
    <w:rsid w:val="009656A0"/>
    <w:rsid w:val="00967517"/>
    <w:rsid w:val="00970B2F"/>
    <w:rsid w:val="00972B74"/>
    <w:rsid w:val="009730BB"/>
    <w:rsid w:val="00973DAB"/>
    <w:rsid w:val="00984E3E"/>
    <w:rsid w:val="00987B50"/>
    <w:rsid w:val="009919FE"/>
    <w:rsid w:val="009937E7"/>
    <w:rsid w:val="009944F4"/>
    <w:rsid w:val="009A16E0"/>
    <w:rsid w:val="009B023A"/>
    <w:rsid w:val="009B1EE4"/>
    <w:rsid w:val="009B5EF5"/>
    <w:rsid w:val="009C1443"/>
    <w:rsid w:val="009C5408"/>
    <w:rsid w:val="009C637F"/>
    <w:rsid w:val="009C7DFE"/>
    <w:rsid w:val="009D0846"/>
    <w:rsid w:val="009E339A"/>
    <w:rsid w:val="009E5F79"/>
    <w:rsid w:val="009F0545"/>
    <w:rsid w:val="00A00706"/>
    <w:rsid w:val="00A01CC4"/>
    <w:rsid w:val="00A04A09"/>
    <w:rsid w:val="00A05E4E"/>
    <w:rsid w:val="00A15AE4"/>
    <w:rsid w:val="00A37D48"/>
    <w:rsid w:val="00A5535E"/>
    <w:rsid w:val="00A60987"/>
    <w:rsid w:val="00A628BE"/>
    <w:rsid w:val="00A62B00"/>
    <w:rsid w:val="00A705CC"/>
    <w:rsid w:val="00A71EAE"/>
    <w:rsid w:val="00A72A40"/>
    <w:rsid w:val="00A7440E"/>
    <w:rsid w:val="00A8245B"/>
    <w:rsid w:val="00A83175"/>
    <w:rsid w:val="00A838E7"/>
    <w:rsid w:val="00A91535"/>
    <w:rsid w:val="00A93FA4"/>
    <w:rsid w:val="00A9568A"/>
    <w:rsid w:val="00AA4B44"/>
    <w:rsid w:val="00AA4E54"/>
    <w:rsid w:val="00AA7133"/>
    <w:rsid w:val="00AB58D5"/>
    <w:rsid w:val="00AC0837"/>
    <w:rsid w:val="00AD3D47"/>
    <w:rsid w:val="00AD684B"/>
    <w:rsid w:val="00AE0C4A"/>
    <w:rsid w:val="00AE1A01"/>
    <w:rsid w:val="00AE3F50"/>
    <w:rsid w:val="00AE41C0"/>
    <w:rsid w:val="00AE52E3"/>
    <w:rsid w:val="00AE6CD4"/>
    <w:rsid w:val="00AF18B3"/>
    <w:rsid w:val="00B03774"/>
    <w:rsid w:val="00B07671"/>
    <w:rsid w:val="00B20B88"/>
    <w:rsid w:val="00B2127C"/>
    <w:rsid w:val="00B239F4"/>
    <w:rsid w:val="00B27C98"/>
    <w:rsid w:val="00B351EC"/>
    <w:rsid w:val="00B47F2F"/>
    <w:rsid w:val="00B50BFC"/>
    <w:rsid w:val="00B56B0A"/>
    <w:rsid w:val="00B607E9"/>
    <w:rsid w:val="00B67BFE"/>
    <w:rsid w:val="00B74AB6"/>
    <w:rsid w:val="00B75714"/>
    <w:rsid w:val="00B8322B"/>
    <w:rsid w:val="00B84E79"/>
    <w:rsid w:val="00B857E9"/>
    <w:rsid w:val="00B9587E"/>
    <w:rsid w:val="00B96481"/>
    <w:rsid w:val="00B971AA"/>
    <w:rsid w:val="00BB21DE"/>
    <w:rsid w:val="00BB7293"/>
    <w:rsid w:val="00BC0DA2"/>
    <w:rsid w:val="00BC3EC0"/>
    <w:rsid w:val="00BD25E3"/>
    <w:rsid w:val="00BD32F8"/>
    <w:rsid w:val="00BD4F2E"/>
    <w:rsid w:val="00BE41C2"/>
    <w:rsid w:val="00BE766A"/>
    <w:rsid w:val="00BF2F6A"/>
    <w:rsid w:val="00BF4A2E"/>
    <w:rsid w:val="00C0433C"/>
    <w:rsid w:val="00C04E50"/>
    <w:rsid w:val="00C12F7A"/>
    <w:rsid w:val="00C2440B"/>
    <w:rsid w:val="00C32E73"/>
    <w:rsid w:val="00C4549B"/>
    <w:rsid w:val="00C474D3"/>
    <w:rsid w:val="00C57D8C"/>
    <w:rsid w:val="00C66007"/>
    <w:rsid w:val="00C704D3"/>
    <w:rsid w:val="00C74CCF"/>
    <w:rsid w:val="00C75851"/>
    <w:rsid w:val="00C76D44"/>
    <w:rsid w:val="00C8072E"/>
    <w:rsid w:val="00C85C2B"/>
    <w:rsid w:val="00C92723"/>
    <w:rsid w:val="00C93B3B"/>
    <w:rsid w:val="00CB2F8E"/>
    <w:rsid w:val="00CB37FE"/>
    <w:rsid w:val="00CB4853"/>
    <w:rsid w:val="00CB7F45"/>
    <w:rsid w:val="00CC4FD9"/>
    <w:rsid w:val="00CC77DA"/>
    <w:rsid w:val="00CC7A79"/>
    <w:rsid w:val="00CD126F"/>
    <w:rsid w:val="00CE42C8"/>
    <w:rsid w:val="00CE6B20"/>
    <w:rsid w:val="00CF3FAE"/>
    <w:rsid w:val="00CF5E27"/>
    <w:rsid w:val="00CF6119"/>
    <w:rsid w:val="00D0244B"/>
    <w:rsid w:val="00D201DD"/>
    <w:rsid w:val="00D24C6D"/>
    <w:rsid w:val="00D251C0"/>
    <w:rsid w:val="00D33869"/>
    <w:rsid w:val="00D351E2"/>
    <w:rsid w:val="00D4020D"/>
    <w:rsid w:val="00D47E30"/>
    <w:rsid w:val="00D53036"/>
    <w:rsid w:val="00D541E7"/>
    <w:rsid w:val="00D56246"/>
    <w:rsid w:val="00D60279"/>
    <w:rsid w:val="00D63D32"/>
    <w:rsid w:val="00D73C86"/>
    <w:rsid w:val="00D760D2"/>
    <w:rsid w:val="00D87AE7"/>
    <w:rsid w:val="00D91A6E"/>
    <w:rsid w:val="00D923E8"/>
    <w:rsid w:val="00D938C1"/>
    <w:rsid w:val="00D96BDC"/>
    <w:rsid w:val="00DA1DA1"/>
    <w:rsid w:val="00DA26E3"/>
    <w:rsid w:val="00DA2A23"/>
    <w:rsid w:val="00DA3BD8"/>
    <w:rsid w:val="00DB142A"/>
    <w:rsid w:val="00DB2868"/>
    <w:rsid w:val="00DC6A13"/>
    <w:rsid w:val="00DD4F09"/>
    <w:rsid w:val="00DD775D"/>
    <w:rsid w:val="00DD7C03"/>
    <w:rsid w:val="00DE0A34"/>
    <w:rsid w:val="00DE6E17"/>
    <w:rsid w:val="00DF1E03"/>
    <w:rsid w:val="00DF2853"/>
    <w:rsid w:val="00DF6816"/>
    <w:rsid w:val="00E02306"/>
    <w:rsid w:val="00E04B8B"/>
    <w:rsid w:val="00E0624F"/>
    <w:rsid w:val="00E16894"/>
    <w:rsid w:val="00E20634"/>
    <w:rsid w:val="00E24057"/>
    <w:rsid w:val="00E27364"/>
    <w:rsid w:val="00E30E12"/>
    <w:rsid w:val="00E31A2D"/>
    <w:rsid w:val="00E44329"/>
    <w:rsid w:val="00E46120"/>
    <w:rsid w:val="00E51C44"/>
    <w:rsid w:val="00E53B58"/>
    <w:rsid w:val="00E55D0A"/>
    <w:rsid w:val="00E56B74"/>
    <w:rsid w:val="00E6532E"/>
    <w:rsid w:val="00E6682D"/>
    <w:rsid w:val="00E713DA"/>
    <w:rsid w:val="00E72D74"/>
    <w:rsid w:val="00E75397"/>
    <w:rsid w:val="00E75E5A"/>
    <w:rsid w:val="00E91537"/>
    <w:rsid w:val="00E91967"/>
    <w:rsid w:val="00EA3E79"/>
    <w:rsid w:val="00EA4298"/>
    <w:rsid w:val="00EA538F"/>
    <w:rsid w:val="00EB197C"/>
    <w:rsid w:val="00EB2B6B"/>
    <w:rsid w:val="00EB4A95"/>
    <w:rsid w:val="00EC1596"/>
    <w:rsid w:val="00EC686B"/>
    <w:rsid w:val="00ED0455"/>
    <w:rsid w:val="00ED2FAB"/>
    <w:rsid w:val="00ED38DE"/>
    <w:rsid w:val="00ED69FE"/>
    <w:rsid w:val="00ED7DE2"/>
    <w:rsid w:val="00EE10D5"/>
    <w:rsid w:val="00EE42C5"/>
    <w:rsid w:val="00EF041B"/>
    <w:rsid w:val="00EF648C"/>
    <w:rsid w:val="00EF64BD"/>
    <w:rsid w:val="00F04E4A"/>
    <w:rsid w:val="00F10234"/>
    <w:rsid w:val="00F129C5"/>
    <w:rsid w:val="00F15638"/>
    <w:rsid w:val="00F20BAA"/>
    <w:rsid w:val="00F265C8"/>
    <w:rsid w:val="00F31B72"/>
    <w:rsid w:val="00F331A7"/>
    <w:rsid w:val="00F52A0C"/>
    <w:rsid w:val="00F54AEF"/>
    <w:rsid w:val="00F55F52"/>
    <w:rsid w:val="00F60A54"/>
    <w:rsid w:val="00F6482E"/>
    <w:rsid w:val="00F67C88"/>
    <w:rsid w:val="00F75AD6"/>
    <w:rsid w:val="00F833CD"/>
    <w:rsid w:val="00F9232F"/>
    <w:rsid w:val="00F93E16"/>
    <w:rsid w:val="00FA526B"/>
    <w:rsid w:val="00FB1A3E"/>
    <w:rsid w:val="00FB1AF1"/>
    <w:rsid w:val="00FB49E2"/>
    <w:rsid w:val="00FD5247"/>
    <w:rsid w:val="00FE3F65"/>
    <w:rsid w:val="00FF7C72"/>
    <w:rsid w:val="11882119"/>
    <w:rsid w:val="12FF348A"/>
    <w:rsid w:val="1C6B361D"/>
    <w:rsid w:val="1E221E04"/>
    <w:rsid w:val="335E629D"/>
    <w:rsid w:val="41C0724A"/>
    <w:rsid w:val="4AD40297"/>
    <w:rsid w:val="4C5B7587"/>
    <w:rsid w:val="5C9C51B3"/>
    <w:rsid w:val="6C156FE9"/>
    <w:rsid w:val="711A65F7"/>
    <w:rsid w:val="714025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line="560" w:lineRule="exact"/>
      <w:jc w:val="center"/>
      <w:outlineLvl w:val="0"/>
    </w:pPr>
    <w:rPr>
      <w:rFonts w:eastAsia="黑体" w:asciiTheme="minorAscii" w:hAnsiTheme="minorAscii"/>
      <w:bCs/>
      <w:kern w:val="44"/>
      <w:sz w:val="32"/>
      <w:szCs w:val="44"/>
    </w:rPr>
  </w:style>
  <w:style w:type="paragraph" w:styleId="3">
    <w:name w:val="heading 2"/>
    <w:basedOn w:val="1"/>
    <w:next w:val="1"/>
    <w:link w:val="23"/>
    <w:unhideWhenUsed/>
    <w:qFormat/>
    <w:uiPriority w:val="9"/>
    <w:pPr>
      <w:keepNext/>
      <w:keepLines/>
      <w:spacing w:line="560" w:lineRule="exact"/>
      <w:ind w:firstLine="420" w:firstLineChars="200"/>
      <w:jc w:val="left"/>
      <w:outlineLvl w:val="1"/>
    </w:pPr>
    <w:rPr>
      <w:rFonts w:eastAsia="楷体_GB2312" w:asciiTheme="majorAscii" w:hAnsiTheme="majorAscii" w:cstheme="majorBidi"/>
      <w:bCs/>
      <w:sz w:val="32"/>
      <w:szCs w:val="32"/>
    </w:rPr>
  </w:style>
  <w:style w:type="paragraph" w:styleId="4">
    <w:name w:val="heading 3"/>
    <w:basedOn w:val="1"/>
    <w:next w:val="1"/>
    <w:link w:val="24"/>
    <w:semiHidden/>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widowControl/>
      <w:tabs>
        <w:tab w:val="left" w:pos="1470"/>
        <w:tab w:val="right" w:leader="dot" w:pos="8296"/>
      </w:tabs>
      <w:spacing w:after="100" w:line="360" w:lineRule="auto"/>
      <w:ind w:left="440"/>
      <w:jc w:val="left"/>
    </w:pPr>
    <w:rPr>
      <w:rFonts w:cs="Times New Roman"/>
      <w:kern w:val="0"/>
      <w:sz w:val="22"/>
    </w:rPr>
  </w:style>
  <w:style w:type="paragraph" w:styleId="6">
    <w:name w:val="Date"/>
    <w:basedOn w:val="1"/>
    <w:next w:val="1"/>
    <w:link w:val="21"/>
    <w:semiHidden/>
    <w:unhideWhenUsed/>
    <w:qFormat/>
    <w:uiPriority w:val="99"/>
    <w:pPr>
      <w:ind w:left="100" w:leftChars="2500"/>
    </w:pPr>
  </w:style>
  <w:style w:type="paragraph" w:styleId="7">
    <w:name w:val="Balloon Text"/>
    <w:basedOn w:val="1"/>
    <w:link w:val="28"/>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59" w:lineRule="auto"/>
      <w:jc w:val="left"/>
    </w:pPr>
    <w:rPr>
      <w:rFonts w:cs="Times New Roman"/>
      <w:kern w:val="0"/>
      <w:sz w:val="22"/>
    </w:rPr>
  </w:style>
  <w:style w:type="paragraph" w:styleId="11">
    <w:name w:val="toc 2"/>
    <w:basedOn w:val="1"/>
    <w:next w:val="1"/>
    <w:unhideWhenUsed/>
    <w:qFormat/>
    <w:uiPriority w:val="39"/>
    <w:pPr>
      <w:widowControl/>
      <w:tabs>
        <w:tab w:val="left" w:pos="1370"/>
        <w:tab w:val="right" w:leader="dot" w:pos="8296"/>
      </w:tabs>
      <w:spacing w:after="100" w:line="259" w:lineRule="auto"/>
      <w:ind w:left="220"/>
      <w:jc w:val="left"/>
    </w:pPr>
    <w:rPr>
      <w:rFonts w:cs="Times New Roman"/>
      <w:kern w:val="0"/>
      <w:sz w:val="22"/>
    </w:rPr>
  </w:style>
  <w:style w:type="paragraph" w:styleId="12">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6">
    <w:name w:val="Strong"/>
    <w:basedOn w:val="15"/>
    <w:qFormat/>
    <w:uiPriority w:val="22"/>
    <w:rPr>
      <w:b/>
      <w:bCs/>
    </w:rPr>
  </w:style>
  <w:style w:type="character" w:styleId="17">
    <w:name w:val="FollowedHyperlink"/>
    <w:basedOn w:val="15"/>
    <w:semiHidden/>
    <w:unhideWhenUsed/>
    <w:qFormat/>
    <w:uiPriority w:val="99"/>
    <w:rPr>
      <w:color w:val="954F72"/>
      <w:u w:val="single"/>
    </w:rPr>
  </w:style>
  <w:style w:type="character" w:styleId="18">
    <w:name w:val="Hyperlink"/>
    <w:basedOn w:val="15"/>
    <w:unhideWhenUsed/>
    <w:qFormat/>
    <w:uiPriority w:val="99"/>
    <w:rPr>
      <w:color w:val="0000FF"/>
      <w:u w:val="single"/>
    </w:rPr>
  </w:style>
  <w:style w:type="character" w:customStyle="1" w:styleId="19">
    <w:name w:val="页眉 字符"/>
    <w:basedOn w:val="15"/>
    <w:link w:val="9"/>
    <w:qFormat/>
    <w:uiPriority w:val="99"/>
    <w:rPr>
      <w:sz w:val="18"/>
      <w:szCs w:val="18"/>
    </w:rPr>
  </w:style>
  <w:style w:type="character" w:customStyle="1" w:styleId="20">
    <w:name w:val="页脚 字符"/>
    <w:basedOn w:val="15"/>
    <w:link w:val="8"/>
    <w:qFormat/>
    <w:uiPriority w:val="99"/>
    <w:rPr>
      <w:sz w:val="18"/>
      <w:szCs w:val="18"/>
    </w:rPr>
  </w:style>
  <w:style w:type="character" w:customStyle="1" w:styleId="21">
    <w:name w:val="日期 字符"/>
    <w:basedOn w:val="15"/>
    <w:link w:val="6"/>
    <w:semiHidden/>
    <w:qFormat/>
    <w:uiPriority w:val="99"/>
  </w:style>
  <w:style w:type="character" w:customStyle="1" w:styleId="22">
    <w:name w:val="标题 1 字符"/>
    <w:basedOn w:val="15"/>
    <w:link w:val="2"/>
    <w:qFormat/>
    <w:uiPriority w:val="9"/>
    <w:rPr>
      <w:rFonts w:eastAsia="黑体" w:asciiTheme="minorAscii" w:hAnsiTheme="minorAscii"/>
      <w:bCs/>
      <w:kern w:val="44"/>
      <w:sz w:val="32"/>
      <w:szCs w:val="44"/>
    </w:rPr>
  </w:style>
  <w:style w:type="character" w:customStyle="1" w:styleId="23">
    <w:name w:val="标题 2 字符"/>
    <w:basedOn w:val="15"/>
    <w:link w:val="3"/>
    <w:semiHidden/>
    <w:qFormat/>
    <w:uiPriority w:val="9"/>
    <w:rPr>
      <w:rFonts w:eastAsia="楷体_GB2312" w:asciiTheme="majorAscii" w:hAnsiTheme="majorAscii" w:cstheme="majorBidi"/>
      <w:bCs/>
      <w:sz w:val="32"/>
      <w:szCs w:val="32"/>
    </w:rPr>
  </w:style>
  <w:style w:type="character" w:customStyle="1" w:styleId="24">
    <w:name w:val="标题 3 字符"/>
    <w:basedOn w:val="15"/>
    <w:link w:val="4"/>
    <w:semiHidden/>
    <w:qFormat/>
    <w:uiPriority w:val="9"/>
    <w:rPr>
      <w:b/>
      <w:bCs/>
      <w:sz w:val="32"/>
      <w:szCs w:val="32"/>
    </w:rPr>
  </w:style>
  <w:style w:type="paragraph" w:styleId="25">
    <w:name w:val="List Paragraph"/>
    <w:basedOn w:val="1"/>
    <w:qFormat/>
    <w:uiPriority w:val="34"/>
    <w:pPr>
      <w:ind w:firstLine="420" w:firstLineChars="200"/>
    </w:pPr>
  </w:style>
  <w:style w:type="table" w:customStyle="1" w:styleId="26">
    <w:name w:val="Plain Table 2"/>
    <w:basedOn w:val="13"/>
    <w:qFormat/>
    <w:uiPriority w:val="42"/>
    <w:tblPr>
      <w:tblBorders>
        <w:top w:val="single" w:color="7E7E7E" w:themeColor="text1" w:themeTint="80" w:sz="4" w:space="0"/>
        <w:bottom w:val="single" w:color="7E7E7E" w:themeColor="text1" w:themeTint="80" w:sz="4" w:space="0"/>
      </w:tblBorders>
      <w:tblLayout w:type="fixed"/>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27">
    <w:name w:val="Grid Table 1 Light Accent 1"/>
    <w:basedOn w:val="13"/>
    <w:qFormat/>
    <w:uiPriority w:val="46"/>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Layout w:type="fixed"/>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2" w:space="0"/>
        </w:tcBorders>
      </w:tcPr>
    </w:tblStylePr>
    <w:tblStylePr w:type="firstCol">
      <w:rPr>
        <w:b/>
        <w:bCs/>
      </w:rPr>
    </w:tblStylePr>
    <w:tblStylePr w:type="lastCol">
      <w:rPr>
        <w:b/>
        <w:bCs/>
      </w:rPr>
    </w:tblStylePr>
  </w:style>
  <w:style w:type="character" w:customStyle="1" w:styleId="28">
    <w:name w:val="批注框文本 字符"/>
    <w:basedOn w:val="15"/>
    <w:link w:val="7"/>
    <w:semiHidden/>
    <w:qFormat/>
    <w:uiPriority w:val="99"/>
    <w:rPr>
      <w:sz w:val="18"/>
      <w:szCs w:val="18"/>
    </w:rPr>
  </w:style>
  <w:style w:type="paragraph" w:customStyle="1" w:styleId="2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 w:type="paragraph" w:customStyle="1" w:styleId="30">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1">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32">
    <w:name w:val="xl66"/>
    <w:basedOn w:val="1"/>
    <w:qFormat/>
    <w:uiPriority w:val="0"/>
    <w:pPr>
      <w:widowControl/>
      <w:spacing w:before="100" w:beforeAutospacing="1" w:after="100" w:afterAutospacing="1"/>
      <w:jc w:val="left"/>
    </w:pPr>
    <w:rPr>
      <w:rFonts w:ascii="宋体" w:hAnsi="宋体" w:eastAsia="宋体" w:cs="宋体"/>
      <w:color w:val="FF0000"/>
      <w:kern w:val="0"/>
      <w:sz w:val="24"/>
      <w:szCs w:val="24"/>
    </w:rPr>
  </w:style>
  <w:style w:type="paragraph" w:customStyle="1" w:styleId="33">
    <w:name w:val="xl67"/>
    <w:basedOn w:val="1"/>
    <w:qFormat/>
    <w:uiPriority w:val="0"/>
    <w:pPr>
      <w:widowControl/>
      <w:shd w:val="clear" w:color="000000" w:fill="FFFF00"/>
      <w:spacing w:before="100" w:beforeAutospacing="1" w:after="100" w:afterAutospacing="1"/>
      <w:jc w:val="left"/>
    </w:pPr>
    <w:rPr>
      <w:rFonts w:ascii="宋体" w:hAnsi="宋体" w:eastAsia="宋体" w:cs="宋体"/>
      <w:kern w:val="0"/>
      <w:sz w:val="24"/>
      <w:szCs w:val="24"/>
    </w:rPr>
  </w:style>
  <w:style w:type="table" w:customStyle="1" w:styleId="34">
    <w:name w:val="Plain Table 4"/>
    <w:basedOn w:val="13"/>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35">
    <w:name w:val="Revision"/>
    <w:hidden/>
    <w:semiHidden/>
    <w:qFormat/>
    <w:uiPriority w:val="99"/>
    <w:rPr>
      <w:rFonts w:asciiTheme="minorHAnsi" w:hAnsiTheme="minorHAnsi" w:eastAsiaTheme="minorEastAsia" w:cstheme="minorBidi"/>
      <w:kern w:val="2"/>
      <w:sz w:val="21"/>
      <w:szCs w:val="22"/>
      <w:lang w:val="en-US" w:eastAsia="zh-CN" w:bidi="ar-SA"/>
    </w:rPr>
  </w:style>
  <w:style w:type="table" w:customStyle="1" w:styleId="36">
    <w:name w:val="Plain Table 3"/>
    <w:basedOn w:val="13"/>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7">
    <w:name w:val="Grid Table 1 Light Accent 5"/>
    <w:basedOn w:val="13"/>
    <w:qFormat/>
    <w:uiPriority w:val="46"/>
    <w:tblPr>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2" w:space="0"/>
        </w:tcBorders>
      </w:tcPr>
    </w:tblStylePr>
    <w:tblStylePr w:type="firstCol">
      <w:rPr>
        <w:b/>
        <w:bCs/>
      </w:rPr>
    </w:tblStylePr>
    <w:tblStylePr w:type="lastCol">
      <w:rPr>
        <w:b/>
        <w:bCs/>
      </w:rPr>
    </w:tblStylePr>
  </w:style>
  <w:style w:type="table" w:customStyle="1" w:styleId="38">
    <w:name w:val="Grid Table Light"/>
    <w:basedOn w:val="13"/>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
  </w:style>
  <w:style w:type="table" w:customStyle="1" w:styleId="39">
    <w:name w:val="Grid Table 1 Light Accent 3"/>
    <w:basedOn w:val="13"/>
    <w:qFormat/>
    <w:uiPriority w:val="46"/>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Layout w:type="fixed"/>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40">
    <w:name w:val="Plain Table 1"/>
    <w:basedOn w:val="13"/>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chart" Target="charts/chart9.xml"/><Relationship Id="rId13" Type="http://schemas.openxmlformats.org/officeDocument/2006/relationships/chart" Target="charts/chart8.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8.xlsx"/></Relationships>
</file>

<file path=word/charts/_rels/chart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9.xlsx"/></Relationships>
</file>

<file path=word/charts/_rels/chart3.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5.xml"/><Relationship Id="rId1" Type="http://schemas.openxmlformats.org/officeDocument/2006/relationships/package" Target="../embeddings/Workbook7.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8.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package" Target="../embeddings/Workbook5.xlsx"/></Relationships>
</file>

<file path=word/charts/_rels/chart9.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4.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340332458443"/>
          <c:y val="0.0509259259259259"/>
          <c:w val="0.817104111986002"/>
          <c:h val="0.808425196850394"/>
        </c:manualLayout>
      </c:layout>
      <c:barChart>
        <c:barDir val="col"/>
        <c:grouping val="clustered"/>
        <c:varyColors val="0"/>
        <c:ser>
          <c:idx val="0"/>
          <c:order val="0"/>
          <c:tx>
            <c:strRef>
              <c:f>Sheet1!$K$20</c:f>
              <c:strCache>
                <c:ptCount val="1"/>
                <c:pt idx="0">
                  <c:v>增幅</c:v>
                </c:pt>
              </c:strCache>
            </c:strRef>
          </c:tx>
          <c:spPr>
            <a:solidFill>
              <a:schemeClr val="accent1">
                <a:lumMod val="60000"/>
                <a:lumOff val="40000"/>
              </a:schemeClr>
            </a:solidFill>
            <a:ln>
              <a:noFill/>
            </a:ln>
            <a:effectLst/>
          </c:spPr>
          <c:invertIfNegative val="0"/>
          <c:dPt>
            <c:idx val="5"/>
            <c:invertIfNegative val="0"/>
            <c:bubble3D val="0"/>
            <c:spPr>
              <a:solidFill>
                <a:schemeClr val="accent1">
                  <a:lumMod val="60000"/>
                  <a:lumOff val="40000"/>
                </a:schemeClr>
              </a:solidFill>
              <a:ln>
                <a:noFill/>
              </a:ln>
              <a:effectLst/>
            </c:spPr>
          </c:dPt>
          <c:dPt>
            <c:idx val="6"/>
            <c:invertIfNegative val="0"/>
            <c:bubble3D val="0"/>
            <c:spPr>
              <a:solidFill>
                <a:schemeClr val="accent2">
                  <a:lumMod val="60000"/>
                  <a:lumOff val="40000"/>
                </a:schemeClr>
              </a:solidFill>
              <a:ln>
                <a:noFill/>
              </a:ln>
              <a:effectLst/>
            </c:spPr>
          </c:dPt>
          <c:dPt>
            <c:idx val="11"/>
            <c:invertIfNegative val="0"/>
            <c:bubble3D val="0"/>
            <c:spPr>
              <a:solidFill>
                <a:schemeClr val="accent1">
                  <a:lumMod val="75000"/>
                </a:schemeClr>
              </a:solidFill>
              <a:ln>
                <a:noFill/>
              </a:ln>
              <a:effectLst/>
            </c:spPr>
          </c:dPt>
          <c:dPt>
            <c:idx val="12"/>
            <c:invertIfNegative val="0"/>
            <c:bubble3D val="0"/>
            <c:spPr>
              <a:solidFill>
                <a:schemeClr val="accent1">
                  <a:lumMod val="75000"/>
                </a:schemeClr>
              </a:solidFill>
              <a:ln>
                <a:noFill/>
              </a:ln>
              <a:effectLst/>
            </c:spPr>
          </c:dPt>
          <c:dPt>
            <c:idx val="13"/>
            <c:invertIfNegative val="0"/>
            <c:bubble3D val="0"/>
            <c:spPr>
              <a:solidFill>
                <a:schemeClr val="accent1">
                  <a:lumMod val="75000"/>
                </a:schemeClr>
              </a:solidFill>
              <a:ln>
                <a:noFill/>
              </a:ln>
              <a:effectLst/>
            </c:spPr>
          </c:dPt>
          <c:dPt>
            <c:idx val="14"/>
            <c:invertIfNegative val="0"/>
            <c:bubble3D val="0"/>
            <c:spPr>
              <a:solidFill>
                <a:schemeClr val="accent5"/>
              </a:solidFill>
              <a:ln>
                <a:noFill/>
              </a:ln>
              <a:effectLst/>
            </c:spPr>
          </c:dPt>
          <c:dLbls>
            <c:dLbl>
              <c:idx val="0"/>
              <c:delete val="1"/>
            </c:dLbl>
            <c:dLbl>
              <c:idx val="1"/>
              <c:delete val="1"/>
            </c:dLbl>
            <c:dLbl>
              <c:idx val="2"/>
              <c:delete val="1"/>
            </c:dLbl>
            <c:dLbl>
              <c:idx val="3"/>
              <c:delete val="1"/>
            </c:dLbl>
            <c:dLbl>
              <c:idx val="4"/>
              <c:delete val="1"/>
            </c:dLbl>
            <c:dLbl>
              <c:idx val="5"/>
              <c:delete val="1"/>
            </c:dLbl>
            <c:dLbl>
              <c:idx val="6"/>
              <c:layout/>
              <c:dLblPos val="outEnd"/>
              <c:showLegendKey val="0"/>
              <c:showVal val="1"/>
              <c:showCatName val="0"/>
              <c:showSerName val="0"/>
              <c:showPercent val="0"/>
              <c:showBubbleSize val="0"/>
              <c:extLst>
                <c:ext xmlns:c15="http://schemas.microsoft.com/office/drawing/2012/chart" uri="{CE6537A1-D6FC-4f65-9D91-7224C49458BB}"/>
              </c:extLst>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Sheet1!$J$21:$J$35</c:f>
              <c:strCache>
                <c:ptCount val="15"/>
                <c:pt idx="0">
                  <c:v>呈贡</c:v>
                </c:pt>
                <c:pt idx="1">
                  <c:v>官渡</c:v>
                </c:pt>
                <c:pt idx="2">
                  <c:v>嵩明</c:v>
                </c:pt>
                <c:pt idx="3">
                  <c:v>安宁</c:v>
                </c:pt>
                <c:pt idx="4">
                  <c:v>五华</c:v>
                </c:pt>
                <c:pt idx="5">
                  <c:v>全市平均</c:v>
                </c:pt>
                <c:pt idx="6">
                  <c:v>西山</c:v>
                </c:pt>
                <c:pt idx="7">
                  <c:v>晋宁</c:v>
                </c:pt>
                <c:pt idx="8">
                  <c:v>盘龙</c:v>
                </c:pt>
                <c:pt idx="9">
                  <c:v>富民</c:v>
                </c:pt>
                <c:pt idx="10">
                  <c:v>寻甸</c:v>
                </c:pt>
                <c:pt idx="11">
                  <c:v>石林</c:v>
                </c:pt>
                <c:pt idx="12">
                  <c:v>东川</c:v>
                </c:pt>
                <c:pt idx="13">
                  <c:v>禄劝</c:v>
                </c:pt>
                <c:pt idx="14">
                  <c:v>宜良</c:v>
                </c:pt>
              </c:strCache>
            </c:strRef>
          </c:cat>
          <c:val>
            <c:numRef>
              <c:f>Sheet1!$K$21:$K$35</c:f>
              <c:numCache>
                <c:formatCode>0.00</c:formatCode>
                <c:ptCount val="15"/>
                <c:pt idx="0">
                  <c:v>108.948247185878</c:v>
                </c:pt>
                <c:pt idx="1">
                  <c:v>87.7587825224902</c:v>
                </c:pt>
                <c:pt idx="2">
                  <c:v>43.1334575663108</c:v>
                </c:pt>
                <c:pt idx="3">
                  <c:v>41.7213285248476</c:v>
                </c:pt>
                <c:pt idx="4">
                  <c:v>33.6127342286162</c:v>
                </c:pt>
                <c:pt idx="5">
                  <c:v>31.5269450977106</c:v>
                </c:pt>
                <c:pt idx="6">
                  <c:v>27.4515032242745</c:v>
                </c:pt>
                <c:pt idx="7">
                  <c:v>22.0181546528345</c:v>
                </c:pt>
                <c:pt idx="8">
                  <c:v>21.9876747324607</c:v>
                </c:pt>
                <c:pt idx="9">
                  <c:v>2.71514352061778</c:v>
                </c:pt>
                <c:pt idx="10">
                  <c:v>0.803162767903244</c:v>
                </c:pt>
                <c:pt idx="11">
                  <c:v>-2.18952310554062</c:v>
                </c:pt>
                <c:pt idx="12">
                  <c:v>-4.1089744296973</c:v>
                </c:pt>
                <c:pt idx="13">
                  <c:v>-4.42049020696058</c:v>
                </c:pt>
                <c:pt idx="14">
                  <c:v>-8.23177928416615</c:v>
                </c:pt>
              </c:numCache>
            </c:numRef>
          </c:val>
        </c:ser>
        <c:dLbls>
          <c:showLegendKey val="0"/>
          <c:showVal val="0"/>
          <c:showCatName val="0"/>
          <c:showSerName val="0"/>
          <c:showPercent val="0"/>
          <c:showBubbleSize val="0"/>
        </c:dLbls>
        <c:gapWidth val="88"/>
        <c:overlap val="9"/>
        <c:axId val="722596888"/>
        <c:axId val="722600168"/>
      </c:barChart>
      <c:catAx>
        <c:axId val="7225968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722600168"/>
        <c:crosses val="autoZero"/>
        <c:auto val="1"/>
        <c:lblAlgn val="ctr"/>
        <c:lblOffset val="100"/>
        <c:noMultiLvlLbl val="0"/>
      </c:catAx>
      <c:valAx>
        <c:axId val="722600168"/>
        <c:scaling>
          <c:orientation val="minMax"/>
          <c:max val="110"/>
          <c:min val="-10"/>
        </c:scaling>
        <c:delete val="0"/>
        <c:axPos val="l"/>
        <c:majorGridlines>
          <c:spPr>
            <a:ln w="9525"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r>
                  <a:rPr lang="zh-CN"/>
                  <a:t>人口增幅（</a:t>
                </a:r>
                <a:r>
                  <a:rPr lang="en-US"/>
                  <a:t>%</a:t>
                </a:r>
                <a:r>
                  <a:rPr lang="zh-CN"/>
                  <a:t>）</a:t>
                </a:r>
                <a:endParaRPr lang="zh-CN"/>
              </a:p>
            </c:rich>
          </c:tx>
          <c:layout>
            <c:manualLayout>
              <c:xMode val="edge"/>
              <c:yMode val="edge"/>
              <c:x val="0.0194444444444444"/>
              <c:y val="0.290786672499271"/>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722596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59166460269"/>
          <c:y val="0.0321050674528157"/>
          <c:w val="0.843447447591282"/>
          <c:h val="0.84417724679715"/>
        </c:manualLayout>
      </c:layout>
      <c:barChart>
        <c:barDir val="col"/>
        <c:grouping val="clustered"/>
        <c:varyColors val="0"/>
        <c:ser>
          <c:idx val="0"/>
          <c:order val="0"/>
          <c:tx>
            <c:strRef>
              <c:f>Sheet1!$AE$18</c:f>
              <c:strCache>
                <c:ptCount val="1"/>
                <c:pt idx="0">
                  <c:v>统计年鉴</c:v>
                </c:pt>
              </c:strCache>
            </c:strRef>
          </c:tx>
          <c:spPr>
            <a:solidFill>
              <a:schemeClr val="accent1"/>
            </a:solidFill>
            <a:ln>
              <a:noFill/>
            </a:ln>
            <a:effectLst/>
          </c:spPr>
          <c:invertIfNegative val="0"/>
          <c:dLbls>
            <c:delete val="1"/>
          </c:dLbls>
          <c:trendline>
            <c:spPr>
              <a:ln w="19050" cap="rnd">
                <a:solidFill>
                  <a:schemeClr val="accent1"/>
                </a:solidFill>
                <a:prstDash val="sysDot"/>
              </a:ln>
              <a:effectLst/>
            </c:spPr>
            <c:trendlineType val="linear"/>
            <c:dispRSqr val="0"/>
            <c:dispEq val="0"/>
          </c:trendline>
          <c:cat>
            <c:numRef>
              <c:f>Sheet1!$AF$17:$AN$17</c:f>
              <c:numCache>
                <c:formatCode>General</c:formatCode>
                <c:ptCount val="9"/>
                <c:pt idx="0">
                  <c:v>2010</c:v>
                </c:pt>
                <c:pt idx="1">
                  <c:v>2013</c:v>
                </c:pt>
                <c:pt idx="2">
                  <c:v>2014</c:v>
                </c:pt>
                <c:pt idx="3">
                  <c:v>2015</c:v>
                </c:pt>
                <c:pt idx="4">
                  <c:v>2016</c:v>
                </c:pt>
                <c:pt idx="5">
                  <c:v>2017</c:v>
                </c:pt>
                <c:pt idx="6">
                  <c:v>2018</c:v>
                </c:pt>
                <c:pt idx="7">
                  <c:v>2019</c:v>
                </c:pt>
                <c:pt idx="8">
                  <c:v>2020</c:v>
                </c:pt>
              </c:numCache>
            </c:numRef>
          </c:cat>
          <c:val>
            <c:numRef>
              <c:f>Sheet1!$AF$18:$AN$18</c:f>
              <c:numCache>
                <c:formatCode>General</c:formatCode>
                <c:ptCount val="9"/>
                <c:pt idx="1">
                  <c:v>77.2</c:v>
                </c:pt>
                <c:pt idx="2">
                  <c:v>77.5</c:v>
                </c:pt>
                <c:pt idx="3">
                  <c:v>77.9</c:v>
                </c:pt>
                <c:pt idx="4">
                  <c:v>78.4</c:v>
                </c:pt>
                <c:pt idx="5">
                  <c:v>78.9</c:v>
                </c:pt>
                <c:pt idx="6">
                  <c:v>79.27</c:v>
                </c:pt>
                <c:pt idx="7">
                  <c:v>79.75</c:v>
                </c:pt>
              </c:numCache>
            </c:numRef>
          </c:val>
        </c:ser>
        <c:ser>
          <c:idx val="1"/>
          <c:order val="1"/>
          <c:tx>
            <c:strRef>
              <c:f>Sheet1!$AE$19</c:f>
              <c:strCache>
                <c:ptCount val="1"/>
                <c:pt idx="0">
                  <c:v>人口普查</c:v>
                </c:pt>
              </c:strCache>
            </c:strRef>
          </c:tx>
          <c:spPr>
            <a:solidFill>
              <a:schemeClr val="accent2"/>
            </a:solidFill>
            <a:ln>
              <a:noFill/>
            </a:ln>
            <a:effectLst/>
          </c:spPr>
          <c:invertIfNegative val="0"/>
          <c:dLbls>
            <c:delete val="1"/>
          </c:dLbls>
          <c:trendline>
            <c:spPr>
              <a:ln w="19050" cap="rnd">
                <a:solidFill>
                  <a:schemeClr val="accent2"/>
                </a:solidFill>
                <a:prstDash val="sysDot"/>
              </a:ln>
              <a:effectLst/>
            </c:spPr>
            <c:trendlineType val="linear"/>
            <c:dispRSqr val="0"/>
            <c:dispEq val="0"/>
          </c:trendline>
          <c:cat>
            <c:numRef>
              <c:f>Sheet1!$AF$17:$AN$17</c:f>
              <c:numCache>
                <c:formatCode>General</c:formatCode>
                <c:ptCount val="9"/>
                <c:pt idx="0">
                  <c:v>2010</c:v>
                </c:pt>
                <c:pt idx="1">
                  <c:v>2013</c:v>
                </c:pt>
                <c:pt idx="2">
                  <c:v>2014</c:v>
                </c:pt>
                <c:pt idx="3">
                  <c:v>2015</c:v>
                </c:pt>
                <c:pt idx="4">
                  <c:v>2016</c:v>
                </c:pt>
                <c:pt idx="5">
                  <c:v>2017</c:v>
                </c:pt>
                <c:pt idx="6">
                  <c:v>2018</c:v>
                </c:pt>
                <c:pt idx="7">
                  <c:v>2019</c:v>
                </c:pt>
                <c:pt idx="8">
                  <c:v>2020</c:v>
                </c:pt>
              </c:numCache>
            </c:numRef>
          </c:cat>
          <c:val>
            <c:numRef>
              <c:f>Sheet1!$AF$19:$AN$19</c:f>
              <c:numCache>
                <c:formatCode>General</c:formatCode>
                <c:ptCount val="9"/>
                <c:pt idx="0">
                  <c:v>75.38</c:v>
                </c:pt>
                <c:pt idx="8">
                  <c:v>96.07</c:v>
                </c:pt>
              </c:numCache>
            </c:numRef>
          </c:val>
        </c:ser>
        <c:dLbls>
          <c:showLegendKey val="0"/>
          <c:showVal val="0"/>
          <c:showCatName val="0"/>
          <c:showSerName val="0"/>
          <c:showPercent val="0"/>
          <c:showBubbleSize val="0"/>
        </c:dLbls>
        <c:gapWidth val="119"/>
        <c:axId val="879508480"/>
        <c:axId val="879498312"/>
      </c:barChart>
      <c:catAx>
        <c:axId val="87950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p>
        </c:txPr>
        <c:crossAx val="879498312"/>
        <c:crosses val="autoZero"/>
        <c:auto val="1"/>
        <c:lblAlgn val="ctr"/>
        <c:lblOffset val="100"/>
        <c:noMultiLvlLbl val="0"/>
      </c:catAx>
      <c:valAx>
        <c:axId val="879498312"/>
        <c:scaling>
          <c:orientation val="minMax"/>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r>
                  <a:rPr lang="zh-CN"/>
                  <a:t>常住人口（万人）</a:t>
                </a:r>
                <a:endParaRPr 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p>
        </c:txPr>
        <c:crossAx val="879508480"/>
        <c:crosses val="autoZero"/>
        <c:crossBetween val="between"/>
      </c:valAx>
      <c:spPr>
        <a:noFill/>
        <a:ln>
          <a:noFill/>
        </a:ln>
        <a:effectLst/>
      </c:spPr>
    </c:plotArea>
    <c:legend>
      <c:legendPos val="b"/>
      <c:layout>
        <c:manualLayout>
          <c:xMode val="edge"/>
          <c:yMode val="edge"/>
          <c:x val="0.072926743650358"/>
          <c:y val="0.0737980267496431"/>
          <c:w val="0.398427470611183"/>
          <c:h val="0.183052839828669"/>
        </c:manualLayout>
      </c:layout>
      <c:overlay val="0"/>
      <c:spPr>
        <a:noFill/>
        <a:ln>
          <a:noFill/>
        </a:ln>
        <a:effectLst/>
      </c:spPr>
      <c:txPr>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100"/>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200" b="1" i="0" u="none" strike="noStrike" kern="1200" cap="all" baseline="0">
                <a:solidFill>
                  <a:schemeClr val="tx1">
                    <a:lumMod val="65000"/>
                    <a:lumOff val="35000"/>
                  </a:schemeClr>
                </a:solidFill>
                <a:latin typeface="+mn-lt"/>
                <a:ea typeface="+mn-ea"/>
                <a:cs typeface="+mn-cs"/>
              </a:defRPr>
            </a:pPr>
            <a:r>
              <a:rPr lang="en-US" sz="1200"/>
              <a:t>2018</a:t>
            </a:r>
            <a:r>
              <a:rPr lang="zh-CN" sz="1200"/>
              <a:t>年西山区三个层级的人口结构</a:t>
            </a:r>
            <a:endParaRPr lang="zh-CN" sz="1200"/>
          </a:p>
        </c:rich>
      </c:tx>
      <c:layout/>
      <c:overlay val="0"/>
      <c:spPr>
        <a:noFill/>
        <a:ln>
          <a:noFill/>
        </a:ln>
        <a:effectLst/>
      </c:sp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Sheet1!$C$78</c:f>
              <c:strCache>
                <c:ptCount val="1"/>
                <c:pt idx="0">
                  <c:v>人口占比</c:v>
                </c:pt>
              </c:strCache>
            </c:strRef>
          </c:tx>
          <c:spPr/>
          <c:explosion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tx>
                <c:rich>
                  <a:bodyPr rot="0" spcFirstLastPara="1" vertOverflow="ellipsis" vert="horz" wrap="square" lIns="38100" tIns="19050" rIns="38100" bIns="19050" anchor="ctr" anchorCtr="1">
                    <a:spAutoFit/>
                  </a:bodyPr>
                  <a:lstStyle/>
                  <a:p>
                    <a:fld id="{7b6743cc-63a0-48f4-ac7e-74db390cb100}" type="CATEGORYNAME">
                      <a:t>[CATEGORY NAME]</a:t>
                    </a:fld>
                    <a:r>
                      <a:t>,</a:t>
                    </a:r>
                    <a:fld id="{f30dae21-ef30-4a93-baef-fc189b26da3d}" type="VALUE">
                      <a:t>[VALUE]</a:t>
                    </a:fld>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1"/>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spAutoFit/>
                  </a:bodyPr>
                  <a:lstStyle/>
                  <a:p>
                    <a:fld id="{7d388729-92e8-4889-9252-602040cfee83}" type="CATEGORYNAME">
                      <a:t>[CATEGORY NAME]</a:t>
                    </a:fld>
                    <a:r>
                      <a:t>,</a:t>
                    </a:r>
                    <a:fld id="{f6125bbf-3608-45c0-aa68-71de4526e0e9}" type="VALUE">
                      <a:t>[VALUE]</a:t>
                    </a:fld>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1"/>
              <c:showBubbleSize val="0"/>
              <c:extLst>
                <c:ext xmlns:c15="http://schemas.microsoft.com/office/drawing/2012/chart" uri="{CE6537A1-D6FC-4f65-9D91-7224C49458BB}"/>
              </c:extLst>
            </c:dLbl>
            <c:dLbl>
              <c:idx val="2"/>
              <c:layout>
                <c:manualLayout>
                  <c:x val="0.00614628149969269"/>
                  <c:y val="-4.94287450729274e-17"/>
                </c:manualLayout>
              </c:layout>
              <c:tx>
                <c:rich>
                  <a:bodyPr rot="0" spcFirstLastPara="1" vertOverflow="ellipsis" vert="horz" wrap="square" lIns="38100" tIns="19050" rIns="38100" bIns="19050" anchor="ctr" anchorCtr="1">
                    <a:spAutoFit/>
                  </a:bodyPr>
                  <a:lstStyle/>
                  <a:p>
                    <a:fld id="{5d60254e-599e-4b33-853e-f07aa01cb9d0}" type="CATEGORYNAME">
                      <a:t>[CATEGORY NAME]</a:t>
                    </a:fld>
                    <a:r>
                      <a:t>,</a:t>
                    </a:r>
                    <a:fld id="{e4021c0c-915f-4bb8-aeee-992244b05523}" type="VALUE">
                      <a:t>[VALUE]</a:t>
                    </a:fld>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Sheet1!$B$79:$B$81</c:f>
              <c:strCache>
                <c:ptCount val="3"/>
                <c:pt idx="0">
                  <c:v>远郊区</c:v>
                </c:pt>
                <c:pt idx="1">
                  <c:v>市郊区</c:v>
                </c:pt>
                <c:pt idx="2">
                  <c:v>城市核心区</c:v>
                </c:pt>
              </c:strCache>
            </c:strRef>
          </c:cat>
          <c:val>
            <c:numRef>
              <c:f>Sheet1!$C$79:$C$81</c:f>
              <c:numCache>
                <c:formatCode>General</c:formatCode>
                <c:ptCount val="3"/>
                <c:pt idx="0">
                  <c:v>22.25</c:v>
                </c:pt>
                <c:pt idx="1">
                  <c:v>38.08</c:v>
                </c:pt>
                <c:pt idx="2">
                  <c:v>39.67</c:v>
                </c:pt>
              </c:numCache>
            </c:numRef>
          </c:val>
        </c:ser>
        <c:dLbls>
          <c:showLegendKey val="0"/>
          <c:showVal val="1"/>
          <c:showCatName val="0"/>
          <c:showSerName val="0"/>
          <c:showPercent val="0"/>
          <c:showBubbleSize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960" b="0" i="0" u="none" strike="noStrike" kern="1200" spc="0" baseline="0">
                <a:solidFill>
                  <a:schemeClr val="tx1">
                    <a:lumMod val="65000"/>
                    <a:lumOff val="35000"/>
                  </a:schemeClr>
                </a:solidFill>
                <a:latin typeface="+mn-lt"/>
                <a:ea typeface="+mn-ea"/>
                <a:cs typeface="+mn-cs"/>
              </a:defRPr>
            </a:pPr>
            <a:r>
              <a:rPr lang="en-US"/>
              <a:t>2010</a:t>
            </a:r>
            <a:endParaRPr lang="zh-CN"/>
          </a:p>
        </c:rich>
      </c:tx>
      <c:layout>
        <c:manualLayout>
          <c:xMode val="edge"/>
          <c:yMode val="edge"/>
          <c:x val="0.76016241181179"/>
          <c:y val="0.12037037037037"/>
        </c:manualLayout>
      </c:layout>
      <c:overlay val="0"/>
      <c:spPr>
        <a:noFill/>
        <a:ln>
          <a:noFill/>
        </a:ln>
        <a:effectLst/>
      </c:spPr>
    </c:title>
    <c:autoTitleDeleted val="0"/>
    <c:plotArea>
      <c:layout>
        <c:manualLayout>
          <c:layoutTarget val="inner"/>
          <c:xMode val="edge"/>
          <c:yMode val="edge"/>
          <c:x val="0.0560783476122493"/>
          <c:y val="0.0606018518518519"/>
          <c:w val="0.893113434311514"/>
          <c:h val="0.831998760571595"/>
        </c:manualLayout>
      </c:layout>
      <c:barChart>
        <c:barDir val="bar"/>
        <c:grouping val="stacked"/>
        <c:varyColors val="0"/>
        <c:ser>
          <c:idx val="0"/>
          <c:order val="0"/>
          <c:spPr>
            <a:solidFill>
              <a:schemeClr val="accent1"/>
            </a:solidFill>
            <a:ln>
              <a:noFill/>
            </a:ln>
            <a:effectLst/>
          </c:spPr>
          <c:invertIfNegative val="0"/>
          <c:dLbls>
            <c:delete val="1"/>
          </c:dLbls>
          <c:cat>
            <c:strRef>
              <c:f>年龄结构调整!$Z$7:$Z$27</c:f>
              <c:strCache>
                <c:ptCount val="21"/>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年龄结构调整!$AA$7:$AA$27</c:f>
              <c:numCache>
                <c:formatCode>General</c:formatCode>
                <c:ptCount val="21"/>
                <c:pt idx="0">
                  <c:v>-2.22117565900317</c:v>
                </c:pt>
                <c:pt idx="1">
                  <c:v>-2.03558020138235</c:v>
                </c:pt>
                <c:pt idx="2">
                  <c:v>-1.95332917656111</c:v>
                </c:pt>
                <c:pt idx="3">
                  <c:v>-3.26032449355921</c:v>
                </c:pt>
                <c:pt idx="4">
                  <c:v>-5.09133843643455</c:v>
                </c:pt>
                <c:pt idx="5">
                  <c:v>-4.64943817243529</c:v>
                </c:pt>
                <c:pt idx="6">
                  <c:v>-5.11760569920004</c:v>
                </c:pt>
                <c:pt idx="7">
                  <c:v>-5.7328964300402</c:v>
                </c:pt>
                <c:pt idx="8">
                  <c:v>-4.71722893644118</c:v>
                </c:pt>
                <c:pt idx="9">
                  <c:v>-4.07872219053052</c:v>
                </c:pt>
                <c:pt idx="10">
                  <c:v>-2.84057894108439</c:v>
                </c:pt>
                <c:pt idx="11">
                  <c:v>-2.90505313150878</c:v>
                </c:pt>
                <c:pt idx="12">
                  <c:v>-2.14290452247974</c:v>
                </c:pt>
                <c:pt idx="13">
                  <c:v>-1.53544090529192</c:v>
                </c:pt>
                <c:pt idx="14">
                  <c:v>-1.28232000955173</c:v>
                </c:pt>
                <c:pt idx="15">
                  <c:v>-0.879687976757452</c:v>
                </c:pt>
                <c:pt idx="16">
                  <c:v>-0.455166558325263</c:v>
                </c:pt>
                <c:pt idx="17">
                  <c:v>-0.168481937940275</c:v>
                </c:pt>
                <c:pt idx="18">
                  <c:v>-0.0448400748219</c:v>
                </c:pt>
                <c:pt idx="19">
                  <c:v>-0.0107456984040648</c:v>
                </c:pt>
                <c:pt idx="20">
                  <c:v>-0.000530651773040237</c:v>
                </c:pt>
              </c:numCache>
            </c:numRef>
          </c:val>
        </c:ser>
        <c:ser>
          <c:idx val="1"/>
          <c:order val="1"/>
          <c:spPr>
            <a:solidFill>
              <a:schemeClr val="accent2"/>
            </a:solidFill>
            <a:ln>
              <a:noFill/>
            </a:ln>
            <a:effectLst/>
          </c:spPr>
          <c:invertIfNegative val="0"/>
          <c:dLbls>
            <c:delete val="1"/>
          </c:dLbls>
          <c:cat>
            <c:strRef>
              <c:f>年龄结构调整!$Z$7:$Z$27</c:f>
              <c:strCache>
                <c:ptCount val="21"/>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年龄结构调整!$AB$7:$AB$27</c:f>
              <c:numCache>
                <c:formatCode>General</c:formatCode>
                <c:ptCount val="21"/>
                <c:pt idx="0">
                  <c:v>2.07153185900582</c:v>
                </c:pt>
                <c:pt idx="1">
                  <c:v>1.85529126149193</c:v>
                </c:pt>
                <c:pt idx="2">
                  <c:v>1.83632046060574</c:v>
                </c:pt>
                <c:pt idx="3">
                  <c:v>3.03559346767667</c:v>
                </c:pt>
                <c:pt idx="4">
                  <c:v>5.36820599901829</c:v>
                </c:pt>
                <c:pt idx="5">
                  <c:v>4.65222409424376</c:v>
                </c:pt>
                <c:pt idx="6">
                  <c:v>4.78966290346118</c:v>
                </c:pt>
                <c:pt idx="7">
                  <c:v>5.04225314742833</c:v>
                </c:pt>
                <c:pt idx="8">
                  <c:v>4.26896085116544</c:v>
                </c:pt>
                <c:pt idx="9">
                  <c:v>3.85173589461256</c:v>
                </c:pt>
                <c:pt idx="10">
                  <c:v>2.74545961076692</c:v>
                </c:pt>
                <c:pt idx="11">
                  <c:v>2.94750527335199</c:v>
                </c:pt>
                <c:pt idx="12">
                  <c:v>2.07153185900582</c:v>
                </c:pt>
                <c:pt idx="13">
                  <c:v>1.49816261823585</c:v>
                </c:pt>
                <c:pt idx="14">
                  <c:v>1.20882473898566</c:v>
                </c:pt>
                <c:pt idx="15">
                  <c:v>0.864033749452765</c:v>
                </c:pt>
                <c:pt idx="16">
                  <c:v>0.490454901232439</c:v>
                </c:pt>
                <c:pt idx="17">
                  <c:v>0.20244365141485</c:v>
                </c:pt>
                <c:pt idx="18">
                  <c:v>0.0603616391833269</c:v>
                </c:pt>
                <c:pt idx="19">
                  <c:v>0.0145929237586065</c:v>
                </c:pt>
                <c:pt idx="20">
                  <c:v>0.00145929237586065</c:v>
                </c:pt>
              </c:numCache>
            </c:numRef>
          </c:val>
        </c:ser>
        <c:dLbls>
          <c:showLegendKey val="0"/>
          <c:showVal val="0"/>
          <c:showCatName val="0"/>
          <c:showSerName val="0"/>
          <c:showPercent val="0"/>
          <c:showBubbleSize val="0"/>
        </c:dLbls>
        <c:gapWidth val="10"/>
        <c:overlap val="100"/>
        <c:axId val="755996688"/>
        <c:axId val="755995704"/>
      </c:barChart>
      <c:catAx>
        <c:axId val="755996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755995704"/>
        <c:crosses val="autoZero"/>
        <c:auto val="1"/>
        <c:lblAlgn val="ctr"/>
        <c:lblOffset val="100"/>
        <c:noMultiLvlLbl val="0"/>
      </c:catAx>
      <c:valAx>
        <c:axId val="755995704"/>
        <c:scaling>
          <c:orientation val="minMax"/>
          <c:max val="6"/>
          <c:min val="-6"/>
        </c:scaling>
        <c:delete val="0"/>
        <c:axPos val="b"/>
        <c:majorGridlines>
          <c:spPr>
            <a:ln w="9525" cap="flat" cmpd="sng" algn="ctr">
              <a:solidFill>
                <a:schemeClr val="tx1">
                  <a:lumMod val="15000"/>
                  <a:lumOff val="85000"/>
                </a:schemeClr>
              </a:solidFill>
              <a:round/>
            </a:ln>
            <a:effectLst/>
          </c:spPr>
        </c:majorGridlines>
        <c:numFmt formatCode="#,##0.00;[Black]#,##0.00" sourceLinked="0"/>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755996688"/>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960" b="0" i="0" u="none" strike="noStrike" kern="1200" spc="0" baseline="0">
                <a:solidFill>
                  <a:schemeClr val="tx1">
                    <a:lumMod val="65000"/>
                    <a:lumOff val="35000"/>
                  </a:schemeClr>
                </a:solidFill>
                <a:latin typeface="+mn-lt"/>
                <a:ea typeface="+mn-ea"/>
                <a:cs typeface="+mn-cs"/>
              </a:defRPr>
            </a:pPr>
            <a:r>
              <a:rPr lang="en-US"/>
              <a:t>2025</a:t>
            </a:r>
            <a:endParaRPr lang="zh-CN"/>
          </a:p>
        </c:rich>
      </c:tx>
      <c:layout>
        <c:manualLayout>
          <c:xMode val="edge"/>
          <c:yMode val="edge"/>
          <c:x val="0.799132425220089"/>
          <c:y val="0.109719207934999"/>
        </c:manualLayout>
      </c:layout>
      <c:overlay val="0"/>
      <c:spPr>
        <a:noFill/>
        <a:ln>
          <a:noFill/>
        </a:ln>
        <a:effectLst/>
      </c:spPr>
    </c:title>
    <c:autoTitleDeleted val="0"/>
    <c:plotArea>
      <c:layout>
        <c:manualLayout>
          <c:layoutTarget val="inner"/>
          <c:xMode val="edge"/>
          <c:yMode val="edge"/>
          <c:x val="0.0531790593062925"/>
          <c:y val="0.0513425925925926"/>
          <c:w val="0.898639541680213"/>
          <c:h val="0.857379423528779"/>
        </c:manualLayout>
      </c:layout>
      <c:barChart>
        <c:barDir val="bar"/>
        <c:grouping val="stacked"/>
        <c:varyColors val="0"/>
        <c:ser>
          <c:idx val="0"/>
          <c:order val="0"/>
          <c:spPr>
            <a:solidFill>
              <a:schemeClr val="accent1"/>
            </a:solidFill>
            <a:ln>
              <a:noFill/>
            </a:ln>
            <a:effectLst/>
          </c:spPr>
          <c:invertIfNegative val="0"/>
          <c:dLbls>
            <c:delete val="1"/>
          </c:dLbls>
          <c:cat>
            <c:strRef>
              <c:f>年龄结构调整!$AI$7:$AI$27</c:f>
              <c:strCache>
                <c:ptCount val="21"/>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年龄结构调整!$AJ$7:$AJ$27</c:f>
              <c:numCache>
                <c:formatCode>General</c:formatCode>
                <c:ptCount val="21"/>
                <c:pt idx="0">
                  <c:v>-2.94843863471314</c:v>
                </c:pt>
                <c:pt idx="1">
                  <c:v>-2.74132966326284</c:v>
                </c:pt>
                <c:pt idx="2">
                  <c:v>-1.9790751675445</c:v>
                </c:pt>
                <c:pt idx="3">
                  <c:v>-1.94135708016456</c:v>
                </c:pt>
                <c:pt idx="4">
                  <c:v>-1.78122578428618</c:v>
                </c:pt>
                <c:pt idx="5">
                  <c:v>-1.70938630600069</c:v>
                </c:pt>
                <c:pt idx="6">
                  <c:v>-2.85241598275821</c:v>
                </c:pt>
                <c:pt idx="7">
                  <c:v>-4.45098168433711</c:v>
                </c:pt>
                <c:pt idx="8">
                  <c:v>-4.06047854719598</c:v>
                </c:pt>
                <c:pt idx="9">
                  <c:v>-4.4623469851792</c:v>
                </c:pt>
                <c:pt idx="10">
                  <c:v>-4.98399906636674</c:v>
                </c:pt>
                <c:pt idx="11">
                  <c:v>-4.07975520680519</c:v>
                </c:pt>
                <c:pt idx="12">
                  <c:v>-3.50848402086873</c:v>
                </c:pt>
                <c:pt idx="13">
                  <c:v>-2.41346050997463</c:v>
                </c:pt>
                <c:pt idx="14">
                  <c:v>-2.42064925258516</c:v>
                </c:pt>
                <c:pt idx="15">
                  <c:v>-1.72069837120819</c:v>
                </c:pt>
                <c:pt idx="16">
                  <c:v>-1.17214514919828</c:v>
                </c:pt>
                <c:pt idx="17">
                  <c:v>-0.888551985239237</c:v>
                </c:pt>
                <c:pt idx="18">
                  <c:v>-0.507947176303316</c:v>
                </c:pt>
                <c:pt idx="19">
                  <c:v>-0.223520303817119</c:v>
                </c:pt>
                <c:pt idx="20">
                  <c:v>-0.0921810699588477</c:v>
                </c:pt>
              </c:numCache>
            </c:numRef>
          </c:val>
        </c:ser>
        <c:ser>
          <c:idx val="1"/>
          <c:order val="1"/>
          <c:spPr>
            <a:solidFill>
              <a:schemeClr val="accent2"/>
            </a:solidFill>
            <a:ln>
              <a:noFill/>
            </a:ln>
            <a:effectLst/>
          </c:spPr>
          <c:invertIfNegative val="0"/>
          <c:dLbls>
            <c:delete val="1"/>
          </c:dLbls>
          <c:cat>
            <c:strRef>
              <c:f>年龄结构调整!$AI$7:$AI$27</c:f>
              <c:strCache>
                <c:ptCount val="21"/>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年龄结构调整!$AK$7:$AK$27</c:f>
              <c:numCache>
                <c:formatCode>General</c:formatCode>
                <c:ptCount val="21"/>
                <c:pt idx="0">
                  <c:v>2.86151053013798</c:v>
                </c:pt>
                <c:pt idx="1">
                  <c:v>2.61856865048816</c:v>
                </c:pt>
                <c:pt idx="2">
                  <c:v>1.90262135685352</c:v>
                </c:pt>
                <c:pt idx="3">
                  <c:v>1.81033742793317</c:v>
                </c:pt>
                <c:pt idx="4">
                  <c:v>1.6238799914647</c:v>
                </c:pt>
                <c:pt idx="5">
                  <c:v>1.60742161819092</c:v>
                </c:pt>
                <c:pt idx="6">
                  <c:v>2.65683556639086</c:v>
                </c:pt>
                <c:pt idx="7">
                  <c:v>4.69766248947526</c:v>
                </c:pt>
                <c:pt idx="8">
                  <c:v>4.06915394086691</c:v>
                </c:pt>
                <c:pt idx="9">
                  <c:v>4.18517268588948</c:v>
                </c:pt>
                <c:pt idx="10">
                  <c:v>4.39915928778801</c:v>
                </c:pt>
                <c:pt idx="11">
                  <c:v>3.71434313294022</c:v>
                </c:pt>
                <c:pt idx="12">
                  <c:v>3.33969304765341</c:v>
                </c:pt>
                <c:pt idx="13">
                  <c:v>2.36105567380351</c:v>
                </c:pt>
                <c:pt idx="14">
                  <c:v>2.5006234753914</c:v>
                </c:pt>
                <c:pt idx="15">
                  <c:v>1.7119020085184</c:v>
                </c:pt>
                <c:pt idx="16">
                  <c:v>1.19171091750741</c:v>
                </c:pt>
                <c:pt idx="17">
                  <c:v>0.886910040013157</c:v>
                </c:pt>
                <c:pt idx="18">
                  <c:v>0.551326764763684</c:v>
                </c:pt>
                <c:pt idx="19">
                  <c:v>0.265143185139281</c:v>
                </c:pt>
                <c:pt idx="20">
                  <c:v>0.106608569353667</c:v>
                </c:pt>
              </c:numCache>
            </c:numRef>
          </c:val>
        </c:ser>
        <c:dLbls>
          <c:showLegendKey val="0"/>
          <c:showVal val="0"/>
          <c:showCatName val="0"/>
          <c:showSerName val="0"/>
          <c:showPercent val="0"/>
          <c:showBubbleSize val="0"/>
        </c:dLbls>
        <c:gapWidth val="10"/>
        <c:overlap val="100"/>
        <c:axId val="851149368"/>
        <c:axId val="851143792"/>
      </c:barChart>
      <c:catAx>
        <c:axId val="851149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851143792"/>
        <c:crosses val="autoZero"/>
        <c:auto val="1"/>
        <c:lblAlgn val="ctr"/>
        <c:lblOffset val="100"/>
        <c:noMultiLvlLbl val="0"/>
      </c:catAx>
      <c:valAx>
        <c:axId val="851143792"/>
        <c:scaling>
          <c:orientation val="minMax"/>
        </c:scaling>
        <c:delete val="0"/>
        <c:axPos val="b"/>
        <c:majorGridlines>
          <c:spPr>
            <a:ln w="9525" cap="flat" cmpd="sng" algn="ctr">
              <a:solidFill>
                <a:schemeClr val="tx1">
                  <a:lumMod val="15000"/>
                  <a:lumOff val="85000"/>
                </a:schemeClr>
              </a:solidFill>
              <a:round/>
            </a:ln>
            <a:effectLst/>
          </c:spPr>
        </c:majorGridlines>
        <c:numFmt formatCode="#,##0.00;[Black]#,##0.00" sourceLinked="0"/>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851149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428258967629"/>
          <c:y val="0.0509259259259259"/>
          <c:w val="0.825016185476815"/>
          <c:h val="0.819934966942971"/>
        </c:manualLayout>
      </c:layout>
      <c:scatterChart>
        <c:scatterStyle val="lineMarker"/>
        <c:varyColors val="0"/>
        <c:ser>
          <c:idx val="0"/>
          <c:order val="0"/>
          <c:tx>
            <c:strRef>
              <c:f>Sheet1!$C$3</c:f>
              <c:strCache>
                <c:ptCount val="1"/>
                <c:pt idx="0">
                  <c:v>生产总值（百亿）</c:v>
                </c:pt>
              </c:strCache>
            </c:strRef>
          </c:tx>
          <c:spPr>
            <a:ln w="25400" cap="flat" cmpd="sng" algn="ctr">
              <a:no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prstDash val="solid"/>
                <a:round/>
              </a:ln>
              <a:effectLst/>
            </c:spPr>
          </c:marker>
          <c:dPt>
            <c:idx val="3"/>
            <c:marker>
              <c:symbol val="circle"/>
              <c:size val="5"/>
              <c:spPr>
                <a:solidFill>
                  <a:srgbClr val="FF0000"/>
                </a:solidFill>
                <a:ln w="9525" cap="flat" cmpd="sng" algn="ctr">
                  <a:solidFill>
                    <a:schemeClr val="accent1">
                      <a:shade val="95000"/>
                    </a:schemeClr>
                  </a:solidFill>
                  <a:prstDash val="solid"/>
                  <a:round/>
                </a:ln>
                <a:effectLst/>
              </c:spPr>
            </c:marker>
            <c:bubble3D val="0"/>
          </c:dPt>
          <c:dLbls>
            <c:dLbl>
              <c:idx val="0"/>
              <c:layout>
                <c:manualLayout>
                  <c:x val="-0.00930665425779432"/>
                  <c:y val="0.00500375281461094"/>
                </c:manualLayout>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五华</a:t>
                    </a:r>
                    <a:endParaRPr lang="zh-CN" altLang="en-US"/>
                  </a:p>
                </c:rich>
              </c:tx>
              <c:numFmt formatCode="General" sourceLinked="1"/>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p>
              </c:txPr>
              <c:dLblPos val="r"/>
              <c:showLegendKey val="0"/>
              <c:showVal val="1"/>
              <c:showCatName val="0"/>
              <c:showSerName val="1"/>
              <c:showPercent val="0"/>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盘龙</a:t>
                    </a:r>
                    <a:endParaRPr lang="zh-CN" altLang="en-US"/>
                  </a:p>
                </c:rich>
              </c:tx>
              <c:dLblPos val="r"/>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官渡</a:t>
                    </a:r>
                    <a:endParaRPr lang="zh-CN" altLang="en-US"/>
                  </a:p>
                </c:rich>
              </c:tx>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013061224489796"/>
                  <c:y val="0"/>
                </c:manualLayout>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西山</a:t>
                    </a:r>
                    <a:endParaRPr lang="zh-CN"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石林</a:t>
                    </a:r>
                    <a:endParaRPr lang="zh-CN" altLang="en-US"/>
                  </a:p>
                </c:rich>
              </c:tx>
              <c:dLblPos val="r"/>
              <c:showLegendKey val="0"/>
              <c:showVal val="1"/>
              <c:showCatName val="0"/>
              <c:showSerName val="0"/>
              <c:showPercent val="0"/>
              <c:showBubbleSize val="0"/>
              <c:extLst>
                <c:ext xmlns:c15="http://schemas.microsoft.com/office/drawing/2012/chart" uri="{CE6537A1-D6FC-4f65-9D91-7224C49458BB}"/>
              </c:extLst>
            </c:dLbl>
            <c:dLbl>
              <c:idx val="5"/>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呈贡</a:t>
                    </a:r>
                    <a:endParaRPr lang="zh-CN" altLang="en-US"/>
                  </a:p>
                </c:rich>
              </c:tx>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0.0217155266015201"/>
                  <c:y val="-0.010007505629222"/>
                </c:manualLayout>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晋宁</a:t>
                    </a:r>
                    <a:endParaRPr lang="zh-CN"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979591836734694"/>
                  <c:y val="0"/>
                </c:manualLayout>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富民</a:t>
                    </a:r>
                    <a:endParaRPr lang="zh-CN"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宜良</a:t>
                    </a:r>
                    <a:endParaRPr lang="zh-CN" altLang="en-US"/>
                  </a:p>
                </c:rich>
              </c:tx>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0.00930665425779432"/>
                  <c:y val="0.0300225168876657"/>
                </c:manualLayout>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东川</a:t>
                    </a:r>
                    <a:endParaRPr lang="zh-CN"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嵩明</a:t>
                    </a:r>
                    <a:endParaRPr lang="zh-CN" altLang="en-US"/>
                  </a:p>
                </c:rich>
              </c:tx>
              <c:dLblPos val="r"/>
              <c:showLegendKey val="0"/>
              <c:showVal val="1"/>
              <c:showCatName val="0"/>
              <c:showSerName val="0"/>
              <c:showPercent val="0"/>
              <c:showBubbleSize val="0"/>
              <c:extLst>
                <c:ext xmlns:c15="http://schemas.microsoft.com/office/drawing/2012/chart" uri="{CE6537A1-D6FC-4f65-9D91-7224C49458BB}"/>
              </c:extLst>
            </c:dLbl>
            <c:dLbl>
              <c:idx val="11"/>
              <c:delete val="1"/>
            </c:dLbl>
            <c:dLbl>
              <c:idx val="12"/>
              <c:layout>
                <c:manualLayout>
                  <c:x val="-0.009795918367347"/>
                  <c:y val="-1.00676120524705e-16"/>
                </c:manualLayout>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寻甸</a:t>
                    </a:r>
                    <a:endParaRPr lang="zh-CN"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安宁</a:t>
                    </a:r>
                    <a:endParaRPr lang="zh-CN" altLang="en-US"/>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rnd" cmpd="sng" algn="ctr">
                      <a:solidFill>
                        <a:schemeClr val="dk1">
                          <a:lumMod val="35000"/>
                          <a:lumOff val="65000"/>
                        </a:schemeClr>
                      </a:solidFill>
                      <a:prstDash val="solid"/>
                      <a:round/>
                    </a:ln>
                    <a:effectLst/>
                  </c:spPr>
                </c15:leaderLines>
              </c:ext>
            </c:extLst>
          </c:dLbls>
          <c:trendline>
            <c:trendlineType val="linear"/>
            <c:dispRSqr val="0"/>
            <c:dispEq val="0"/>
          </c:trendline>
          <c:xVal>
            <c:numRef>
              <c:f>Sheet1!$B$4:$B$17</c:f>
              <c:numCache>
                <c:formatCode>General</c:formatCode>
                <c:ptCount val="14"/>
                <c:pt idx="0">
                  <c:v>87.8</c:v>
                </c:pt>
                <c:pt idx="1">
                  <c:v>84.2</c:v>
                </c:pt>
                <c:pt idx="2">
                  <c:v>91.4</c:v>
                </c:pt>
                <c:pt idx="3">
                  <c:v>79.3</c:v>
                </c:pt>
                <c:pt idx="4">
                  <c:v>28.4</c:v>
                </c:pt>
                <c:pt idx="5">
                  <c:v>35.3</c:v>
                </c:pt>
                <c:pt idx="6">
                  <c:v>30.9</c:v>
                </c:pt>
                <c:pt idx="7">
                  <c:v>15.8</c:v>
                </c:pt>
                <c:pt idx="8">
                  <c:v>44.3</c:v>
                </c:pt>
                <c:pt idx="9">
                  <c:v>26.4</c:v>
                </c:pt>
                <c:pt idx="10">
                  <c:v>34.1</c:v>
                </c:pt>
                <c:pt idx="11">
                  <c:v>41.5</c:v>
                </c:pt>
                <c:pt idx="12">
                  <c:v>47.5</c:v>
                </c:pt>
                <c:pt idx="13">
                  <c:v>38.1</c:v>
                </c:pt>
              </c:numCache>
            </c:numRef>
          </c:xVal>
          <c:yVal>
            <c:numRef>
              <c:f>Sheet1!$C$4:$C$17</c:f>
              <c:numCache>
                <c:formatCode>General</c:formatCode>
                <c:ptCount val="14"/>
                <c:pt idx="0">
                  <c:v>11.1</c:v>
                </c:pt>
                <c:pt idx="1">
                  <c:v>7.1</c:v>
                </c:pt>
                <c:pt idx="2">
                  <c:v>12.2</c:v>
                </c:pt>
                <c:pt idx="3">
                  <c:v>6</c:v>
                </c:pt>
                <c:pt idx="4">
                  <c:v>0.9</c:v>
                </c:pt>
                <c:pt idx="5">
                  <c:v>2.5</c:v>
                </c:pt>
                <c:pt idx="6">
                  <c:v>1.4</c:v>
                </c:pt>
                <c:pt idx="7">
                  <c:v>0.8</c:v>
                </c:pt>
                <c:pt idx="8">
                  <c:v>1.9</c:v>
                </c:pt>
                <c:pt idx="9">
                  <c:v>0.9</c:v>
                </c:pt>
                <c:pt idx="10">
                  <c:v>1.2</c:v>
                </c:pt>
                <c:pt idx="11">
                  <c:v>1</c:v>
                </c:pt>
                <c:pt idx="12">
                  <c:v>0.9</c:v>
                </c:pt>
                <c:pt idx="13">
                  <c:v>4.3</c:v>
                </c:pt>
              </c:numCache>
            </c:numRef>
          </c:yVal>
          <c:smooth val="0"/>
        </c:ser>
        <c:dLbls>
          <c:showLegendKey val="0"/>
          <c:showVal val="0"/>
          <c:showCatName val="0"/>
          <c:showSerName val="0"/>
          <c:showPercent val="0"/>
          <c:showBubbleSize val="0"/>
        </c:dLbls>
        <c:axId val="532694608"/>
        <c:axId val="532694280"/>
      </c:scatterChart>
      <c:valAx>
        <c:axId val="532694608"/>
        <c:scaling>
          <c:orientation val="minMax"/>
        </c:scaling>
        <c:delete val="0"/>
        <c:axPos val="b"/>
        <c:majorGridlines>
          <c:spPr>
            <a:ln w="9525" cap="flat" cmpd="sng" algn="ctr">
              <a:solidFill>
                <a:schemeClr val="dk1">
                  <a:lumMod val="15000"/>
                  <a:lumOff val="85000"/>
                </a:schemeClr>
              </a:solidFill>
              <a:prstDash val="sysDot"/>
              <a:round/>
            </a:ln>
            <a:effectLst/>
          </c:spPr>
        </c:majorGridlines>
        <c:title>
          <c:tx>
            <c:rich>
              <a:bodyPr rot="0" spcFirstLastPara="0" vertOverflow="ellipsis" vert="horz" wrap="square" anchor="ctr" anchorCtr="1"/>
              <a:lstStyle/>
              <a:p>
                <a:pPr>
                  <a:defRPr lang="zh-CN" sz="800" b="1" i="0" u="none" strike="noStrike" kern="1200" baseline="0">
                    <a:solidFill>
                      <a:schemeClr val="tx1"/>
                    </a:solidFill>
                    <a:latin typeface="+mn-lt"/>
                    <a:ea typeface="+mn-ea"/>
                    <a:cs typeface="+mn-cs"/>
                  </a:defRPr>
                </a:pPr>
                <a:r>
                  <a:rPr lang="zh-CN" altLang="en-US"/>
                  <a:t>常住人口</a:t>
                </a:r>
                <a:r>
                  <a:rPr lang="zh-CN"/>
                  <a:t>（</a:t>
                </a:r>
                <a:r>
                  <a:rPr lang="zh-CN" altLang="en-US"/>
                  <a:t>万人</a:t>
                </a:r>
                <a:r>
                  <a:rPr lang="zh-CN"/>
                  <a:t>）</a:t>
                </a:r>
                <a:endParaRPr lang="zh-CN"/>
              </a:p>
            </c:rich>
          </c:tx>
          <c:layout>
            <c:manualLayout>
              <c:xMode val="edge"/>
              <c:yMode val="edge"/>
              <c:x val="0.397528137554234"/>
              <c:y val="0.892826905697743"/>
            </c:manualLayout>
          </c:layout>
          <c:overlay val="0"/>
          <c:spPr>
            <a:noFill/>
            <a:ln>
              <a:noFill/>
            </a:ln>
            <a:effectLst/>
          </c:spPr>
        </c:title>
        <c:numFmt formatCode="General" sourceLinked="1"/>
        <c:majorTickMark val="none"/>
        <c:minorTickMark val="none"/>
        <c:tickLblPos val="nextTo"/>
        <c:spPr>
          <a:noFill/>
          <a:ln w="9525" cap="rnd" cmpd="sng" algn="ctr">
            <a:solidFill>
              <a:schemeClr val="dk1">
                <a:lumMod val="20000"/>
                <a:lumOff val="80000"/>
              </a:schemeClr>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532694280"/>
        <c:crosses val="autoZero"/>
        <c:crossBetween val="midCat"/>
      </c:valAx>
      <c:valAx>
        <c:axId val="532694280"/>
        <c:scaling>
          <c:orientation val="minMax"/>
        </c:scaling>
        <c:delete val="0"/>
        <c:axPos val="l"/>
        <c:majorGridlines>
          <c:spPr>
            <a:ln w="9525" cap="flat" cmpd="sng" algn="ctr">
              <a:solidFill>
                <a:schemeClr val="dk1">
                  <a:lumMod val="15000"/>
                  <a:lumOff val="85000"/>
                </a:schemeClr>
              </a:solidFill>
              <a:prstDash val="sysDot"/>
              <a:round/>
            </a:ln>
            <a:effectLst/>
          </c:spPr>
        </c:majorGridlines>
        <c:title>
          <c:tx>
            <c:rich>
              <a:bodyPr rot="-5400000" spcFirstLastPara="0" vertOverflow="ellipsis" vert="horz" wrap="square" anchor="ctr" anchorCtr="1"/>
              <a:lstStyle/>
              <a:p>
                <a:pPr>
                  <a:defRPr lang="zh-CN" sz="800" b="1" i="0" u="none" strike="noStrike" kern="1200" baseline="0">
                    <a:solidFill>
                      <a:schemeClr val="tx1"/>
                    </a:solidFill>
                    <a:latin typeface="+mn-lt"/>
                    <a:ea typeface="+mn-ea"/>
                    <a:cs typeface="+mn-cs"/>
                  </a:defRPr>
                </a:pPr>
                <a:r>
                  <a:rPr lang="zh-CN" altLang="en-US"/>
                  <a:t>生产总值</a:t>
                </a:r>
                <a:r>
                  <a:rPr lang="zh-CN"/>
                  <a:t>（</a:t>
                </a:r>
                <a:r>
                  <a:rPr lang="zh-CN" altLang="en-US"/>
                  <a:t>百亿</a:t>
                </a:r>
                <a:r>
                  <a:rPr lang="zh-CN"/>
                  <a:t>）</a:t>
                </a:r>
                <a:endParaRPr lang="zh-CN"/>
              </a:p>
            </c:rich>
          </c:tx>
          <c:layout/>
          <c:overlay val="0"/>
          <c:spPr>
            <a:noFill/>
            <a:ln>
              <a:noFill/>
            </a:ln>
            <a:effectLst/>
          </c:spPr>
        </c:title>
        <c:numFmt formatCode="General" sourceLinked="1"/>
        <c:majorTickMark val="none"/>
        <c:minorTickMark val="none"/>
        <c:tickLblPos val="nextTo"/>
        <c:spPr>
          <a:noFill/>
          <a:ln w="9525" cap="rnd" cmpd="sng" algn="ctr">
            <a:solidFill>
              <a:schemeClr val="dk1">
                <a:lumMod val="25000"/>
                <a:lumOff val="75000"/>
              </a:schemeClr>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532694608"/>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prstDash val="solid"/>
      <a:round/>
    </a:ln>
    <a:effectLst/>
  </c:spPr>
  <c:txPr>
    <a:bodyPr/>
    <a:lstStyle/>
    <a:p>
      <a:pPr>
        <a:defRPr lang="zh-CN" sz="800"/>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144711298744"/>
          <c:y val="0.0568769389865564"/>
          <c:w val="0.825096368739829"/>
          <c:h val="0.759203315717903"/>
        </c:manualLayout>
      </c:layout>
      <c:scatterChart>
        <c:scatterStyle val="lineMarker"/>
        <c:varyColors val="0"/>
        <c:ser>
          <c:idx val="0"/>
          <c:order val="0"/>
          <c:tx>
            <c:strRef>
              <c:f>Sheet1!$O$3</c:f>
              <c:strCache>
                <c:ptCount val="1"/>
                <c:pt idx="0">
                  <c:v>人均生产总值（万元）</c:v>
                </c:pt>
              </c:strCache>
            </c:strRef>
          </c:tx>
          <c:spPr>
            <a:ln w="25400" cap="flat" cmpd="sng" algn="ctr">
              <a:no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prstDash val="solid"/>
                <a:round/>
              </a:ln>
              <a:effectLst/>
            </c:spPr>
          </c:marker>
          <c:dPt>
            <c:idx val="3"/>
            <c:marker>
              <c:symbol val="circle"/>
              <c:size val="5"/>
              <c:spPr>
                <a:solidFill>
                  <a:srgbClr val="FF0000"/>
                </a:solidFill>
                <a:ln w="9525" cap="flat" cmpd="sng" algn="ctr">
                  <a:solidFill>
                    <a:schemeClr val="accent1">
                      <a:shade val="95000"/>
                    </a:schemeClr>
                  </a:solidFill>
                  <a:prstDash val="solid"/>
                  <a:round/>
                </a:ln>
                <a:effectLst/>
              </c:spPr>
            </c:marker>
            <c:bubble3D val="0"/>
          </c:dPt>
          <c:dLbls>
            <c:dLbl>
              <c:idx val="0"/>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五华</a:t>
                    </a:r>
                    <a:endParaRPr lang="zh-CN" altLang="en-US"/>
                  </a:p>
                </c:rich>
              </c:tx>
              <c:dLblPos val="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盘龙</a:t>
                    </a:r>
                    <a:endParaRPr lang="zh-CN" altLang="en-US"/>
                  </a:p>
                </c:rich>
              </c:tx>
              <c:dLblPos val="r"/>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官渡</a:t>
                    </a:r>
                    <a:endParaRPr lang="zh-CN" altLang="en-US"/>
                  </a:p>
                </c:rich>
              </c:tx>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00964320154291225"/>
                  <c:y val="-0.00517063081695967"/>
                </c:manualLayout>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西山</a:t>
                    </a:r>
                    <a:endParaRPr lang="zh-CN"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石林</a:t>
                    </a:r>
                    <a:endParaRPr lang="zh-CN" altLang="en-US"/>
                  </a:p>
                </c:rich>
              </c:tx>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0211909986661503"/>
                  <c:y val="0.0277776873030478"/>
                </c:manualLayout>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呈贡</a:t>
                    </a:r>
                    <a:endParaRPr lang="zh-CN"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晋宁</a:t>
                    </a:r>
                    <a:endParaRPr lang="zh-CN" altLang="en-US"/>
                  </a:p>
                </c:rich>
              </c:tx>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0.0128576020572163"/>
                  <c:y val="-0.015511892450879"/>
                </c:manualLayout>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富民</a:t>
                    </a:r>
                    <a:endParaRPr lang="zh-CN"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707168113146898"/>
                  <c:y val="-0.00517063081695967"/>
                </c:manualLayout>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宜良</a:t>
                    </a:r>
                    <a:endParaRPr lang="zh-CN"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417872066859531"/>
                  <c:y val="0"/>
                </c:manualLayout>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东川</a:t>
                    </a:r>
                    <a:endParaRPr lang="zh-CN"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642880102860814"/>
                  <c:y val="0.015511892450879"/>
                </c:manualLayout>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嵩明</a:t>
                    </a:r>
                    <a:endParaRPr lang="zh-CN"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禄劝</a:t>
                    </a:r>
                    <a:endParaRPr lang="zh-CN" altLang="en-US"/>
                  </a:p>
                </c:rich>
              </c:tx>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0.0289296046287367"/>
                  <c:y val="0.031023784901758"/>
                </c:manualLayout>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寻甸</a:t>
                    </a:r>
                    <a:endParaRPr lang="zh-CN"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a:t>安宁</a:t>
                    </a:r>
                    <a:endParaRPr lang="zh-CN" altLang="en-US"/>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rnd" cmpd="sng" algn="ctr">
                      <a:solidFill>
                        <a:schemeClr val="dk1">
                          <a:lumMod val="35000"/>
                          <a:lumOff val="65000"/>
                        </a:schemeClr>
                      </a:solidFill>
                      <a:prstDash val="solid"/>
                      <a:round/>
                    </a:ln>
                    <a:effectLst/>
                  </c:spPr>
                </c15:leaderLines>
              </c:ext>
            </c:extLst>
          </c:dLbls>
          <c:trendline>
            <c:trendlineType val="linear"/>
            <c:dispRSqr val="0"/>
            <c:dispEq val="0"/>
          </c:trendline>
          <c:xVal>
            <c:numRef>
              <c:f>Sheet1!$N$4:$N$17</c:f>
              <c:numCache>
                <c:formatCode>General</c:formatCode>
                <c:ptCount val="14"/>
                <c:pt idx="0">
                  <c:v>2301</c:v>
                </c:pt>
                <c:pt idx="1">
                  <c:v>2450</c:v>
                </c:pt>
                <c:pt idx="2">
                  <c:v>1444</c:v>
                </c:pt>
                <c:pt idx="3">
                  <c:v>899</c:v>
                </c:pt>
                <c:pt idx="4">
                  <c:v>152</c:v>
                </c:pt>
                <c:pt idx="5">
                  <c:v>692</c:v>
                </c:pt>
                <c:pt idx="6">
                  <c:v>231</c:v>
                </c:pt>
                <c:pt idx="7">
                  <c:v>159</c:v>
                </c:pt>
                <c:pt idx="8">
                  <c:v>232</c:v>
                </c:pt>
                <c:pt idx="9">
                  <c:v>157</c:v>
                </c:pt>
                <c:pt idx="10">
                  <c:v>253</c:v>
                </c:pt>
                <c:pt idx="11">
                  <c:v>98</c:v>
                </c:pt>
                <c:pt idx="12">
                  <c:v>132</c:v>
                </c:pt>
                <c:pt idx="13">
                  <c:v>293</c:v>
                </c:pt>
              </c:numCache>
            </c:numRef>
          </c:xVal>
          <c:yVal>
            <c:numRef>
              <c:f>Sheet1!$O$4:$O$17</c:f>
              <c:numCache>
                <c:formatCode>General</c:formatCode>
                <c:ptCount val="14"/>
                <c:pt idx="0">
                  <c:v>12.7</c:v>
                </c:pt>
                <c:pt idx="1">
                  <c:v>8.4</c:v>
                </c:pt>
                <c:pt idx="2">
                  <c:v>13.5</c:v>
                </c:pt>
                <c:pt idx="3">
                  <c:v>7.6</c:v>
                </c:pt>
                <c:pt idx="4">
                  <c:v>3.3</c:v>
                </c:pt>
                <c:pt idx="5">
                  <c:v>7.2</c:v>
                </c:pt>
                <c:pt idx="6">
                  <c:v>4.4</c:v>
                </c:pt>
                <c:pt idx="7">
                  <c:v>4.9</c:v>
                </c:pt>
                <c:pt idx="8">
                  <c:v>4.2</c:v>
                </c:pt>
                <c:pt idx="9">
                  <c:v>3.3</c:v>
                </c:pt>
                <c:pt idx="10">
                  <c:v>3.5</c:v>
                </c:pt>
                <c:pt idx="11">
                  <c:v>2.3</c:v>
                </c:pt>
                <c:pt idx="12">
                  <c:v>1.9</c:v>
                </c:pt>
                <c:pt idx="13">
                  <c:v>11.3</c:v>
                </c:pt>
              </c:numCache>
            </c:numRef>
          </c:yVal>
          <c:smooth val="0"/>
        </c:ser>
        <c:dLbls>
          <c:showLegendKey val="0"/>
          <c:showVal val="0"/>
          <c:showCatName val="0"/>
          <c:showSerName val="0"/>
          <c:showPercent val="0"/>
          <c:showBubbleSize val="0"/>
        </c:dLbls>
        <c:axId val="697293496"/>
        <c:axId val="697300384"/>
      </c:scatterChart>
      <c:valAx>
        <c:axId val="697293496"/>
        <c:scaling>
          <c:orientation val="minMax"/>
        </c:scaling>
        <c:delete val="0"/>
        <c:axPos val="b"/>
        <c:majorGridlines>
          <c:spPr>
            <a:ln w="9525" cap="flat" cmpd="sng" algn="ctr">
              <a:solidFill>
                <a:schemeClr val="dk1">
                  <a:lumMod val="15000"/>
                  <a:lumOff val="85000"/>
                </a:schemeClr>
              </a:solidFill>
              <a:prstDash val="sysDot"/>
              <a:round/>
            </a:ln>
            <a:effectLst/>
          </c:spPr>
        </c:majorGridlines>
        <c:title>
          <c:tx>
            <c:rich>
              <a:bodyPr rot="0" spcFirstLastPara="0" vertOverflow="ellipsis" vert="horz" wrap="square" anchor="ctr" anchorCtr="1"/>
              <a:lstStyle/>
              <a:p>
                <a:pPr>
                  <a:defRPr lang="zh-CN" sz="800" b="1" i="0" u="none" strike="noStrike" kern="1200" baseline="0">
                    <a:solidFill>
                      <a:schemeClr val="tx1"/>
                    </a:solidFill>
                    <a:latin typeface="+mn-lt"/>
                    <a:ea typeface="+mn-ea"/>
                    <a:cs typeface="+mn-cs"/>
                  </a:defRPr>
                </a:pPr>
                <a:r>
                  <a:rPr lang="zh-CN"/>
                  <a:t>人口密度（人</a:t>
                </a:r>
                <a:r>
                  <a:rPr lang="en-US"/>
                  <a:t>/</a:t>
                </a:r>
                <a:r>
                  <a:rPr lang="zh-CN"/>
                  <a:t>平方公里）</a:t>
                </a:r>
                <a:endParaRPr lang="zh-CN"/>
              </a:p>
            </c:rich>
          </c:tx>
          <c:layout>
            <c:manualLayout>
              <c:xMode val="edge"/>
              <c:yMode val="edge"/>
              <c:x val="0.357606106854772"/>
              <c:y val="0.911142505842406"/>
            </c:manualLayout>
          </c:layout>
          <c:overlay val="0"/>
          <c:spPr>
            <a:noFill/>
            <a:ln>
              <a:noFill/>
            </a:ln>
            <a:effectLst/>
          </c:spPr>
        </c:title>
        <c:numFmt formatCode="General" sourceLinked="1"/>
        <c:majorTickMark val="none"/>
        <c:minorTickMark val="none"/>
        <c:tickLblPos val="nextTo"/>
        <c:spPr>
          <a:noFill/>
          <a:ln w="9525" cap="rnd" cmpd="sng" algn="ctr">
            <a:solidFill>
              <a:schemeClr val="dk1">
                <a:lumMod val="20000"/>
                <a:lumOff val="80000"/>
              </a:schemeClr>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697300384"/>
        <c:crosses val="autoZero"/>
        <c:crossBetween val="midCat"/>
      </c:valAx>
      <c:valAx>
        <c:axId val="697300384"/>
        <c:scaling>
          <c:orientation val="minMax"/>
        </c:scaling>
        <c:delete val="0"/>
        <c:axPos val="l"/>
        <c:majorGridlines>
          <c:spPr>
            <a:ln w="9525" cap="flat" cmpd="sng" algn="ctr">
              <a:solidFill>
                <a:schemeClr val="dk1">
                  <a:lumMod val="15000"/>
                  <a:lumOff val="85000"/>
                </a:schemeClr>
              </a:solidFill>
              <a:prstDash val="sysDot"/>
              <a:round/>
            </a:ln>
            <a:effectLst/>
          </c:spPr>
        </c:majorGridlines>
        <c:title>
          <c:tx>
            <c:rich>
              <a:bodyPr rot="-5400000" spcFirstLastPara="0" vertOverflow="ellipsis" vert="horz" wrap="square" anchor="ctr" anchorCtr="1"/>
              <a:lstStyle/>
              <a:p>
                <a:pPr>
                  <a:defRPr lang="zh-CN" sz="800" b="1" i="0" u="none" strike="noStrike" kern="1200" baseline="0">
                    <a:solidFill>
                      <a:schemeClr val="tx1"/>
                    </a:solidFill>
                    <a:latin typeface="+mn-lt"/>
                    <a:ea typeface="+mn-ea"/>
                    <a:cs typeface="+mn-cs"/>
                  </a:defRPr>
                </a:pPr>
                <a:r>
                  <a:rPr lang="zh-CN"/>
                  <a:t>人均生产总值（万元）</a:t>
                </a:r>
                <a:endParaRPr lang="zh-CN"/>
              </a:p>
            </c:rich>
          </c:tx>
          <c:layout>
            <c:manualLayout>
              <c:xMode val="edge"/>
              <c:yMode val="edge"/>
              <c:x val="0.0160720025715204"/>
              <c:y val="0.189968569078813"/>
            </c:manualLayout>
          </c:layout>
          <c:overlay val="0"/>
          <c:spPr>
            <a:noFill/>
            <a:ln>
              <a:noFill/>
            </a:ln>
            <a:effectLst/>
          </c:spPr>
        </c:title>
        <c:numFmt formatCode="General" sourceLinked="1"/>
        <c:majorTickMark val="none"/>
        <c:minorTickMark val="none"/>
        <c:tickLblPos val="nextTo"/>
        <c:spPr>
          <a:noFill/>
          <a:ln w="9525" cap="rnd" cmpd="sng" algn="ctr">
            <a:solidFill>
              <a:schemeClr val="dk1">
                <a:lumMod val="25000"/>
                <a:lumOff val="75000"/>
              </a:schemeClr>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crossAx val="697293496"/>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prstDash val="solid"/>
      <a:round/>
    </a:ln>
    <a:effectLst/>
  </c:spPr>
  <c:txPr>
    <a:bodyPr/>
    <a:lstStyle/>
    <a:p>
      <a:pPr>
        <a:defRPr lang="zh-CN" sz="800"/>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076334208224"/>
          <c:y val="0.0509259259259259"/>
          <c:w val="0.843368110236221"/>
          <c:h val="0.779786016331292"/>
        </c:manualLayout>
      </c:layout>
      <c:lineChart>
        <c:grouping val="standard"/>
        <c:varyColors val="0"/>
        <c:ser>
          <c:idx val="0"/>
          <c:order val="0"/>
          <c:tx>
            <c:strRef>
              <c:f>常住人口年龄结构!$P$84</c:f>
              <c:strCache>
                <c:ptCount val="1"/>
                <c:pt idx="0">
                  <c:v>西山区（0.89）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常住人口年龄结构!$O$85:$O$91</c:f>
              <c:strCache>
                <c:ptCount val="7"/>
                <c:pt idx="0">
                  <c:v>15-19</c:v>
                </c:pt>
                <c:pt idx="1">
                  <c:v>20-24</c:v>
                </c:pt>
                <c:pt idx="2">
                  <c:v>25-29</c:v>
                </c:pt>
                <c:pt idx="3">
                  <c:v>30-34</c:v>
                </c:pt>
                <c:pt idx="4">
                  <c:v>35-39</c:v>
                </c:pt>
                <c:pt idx="5">
                  <c:v>40-44</c:v>
                </c:pt>
                <c:pt idx="6">
                  <c:v>45-49</c:v>
                </c:pt>
              </c:strCache>
            </c:strRef>
          </c:cat>
          <c:val>
            <c:numRef>
              <c:f>常住人口年龄结构!$P$85:$P$91</c:f>
              <c:numCache>
                <c:formatCode>General</c:formatCode>
                <c:ptCount val="7"/>
                <c:pt idx="0">
                  <c:v>1.42</c:v>
                </c:pt>
                <c:pt idx="1">
                  <c:v>38.03</c:v>
                </c:pt>
                <c:pt idx="2">
                  <c:v>75.88</c:v>
                </c:pt>
                <c:pt idx="3">
                  <c:v>42.87</c:v>
                </c:pt>
                <c:pt idx="4">
                  <c:v>15.44</c:v>
                </c:pt>
                <c:pt idx="5">
                  <c:v>3.11</c:v>
                </c:pt>
                <c:pt idx="6">
                  <c:v>0.73</c:v>
                </c:pt>
              </c:numCache>
            </c:numRef>
          </c:val>
          <c:smooth val="0"/>
        </c:ser>
        <c:ser>
          <c:idx val="1"/>
          <c:order val="1"/>
          <c:tx>
            <c:strRef>
              <c:f>常住人口年龄结构!$Q$84</c:f>
              <c:strCache>
                <c:ptCount val="1"/>
                <c:pt idx="0">
                  <c:v>昆明市（1.06）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常住人口年龄结构!$O$85:$O$91</c:f>
              <c:strCache>
                <c:ptCount val="7"/>
                <c:pt idx="0">
                  <c:v>15-19</c:v>
                </c:pt>
                <c:pt idx="1">
                  <c:v>20-24</c:v>
                </c:pt>
                <c:pt idx="2">
                  <c:v>25-29</c:v>
                </c:pt>
                <c:pt idx="3">
                  <c:v>30-34</c:v>
                </c:pt>
                <c:pt idx="4">
                  <c:v>35-39</c:v>
                </c:pt>
                <c:pt idx="5">
                  <c:v>40-44</c:v>
                </c:pt>
                <c:pt idx="6">
                  <c:v>45-49</c:v>
                </c:pt>
              </c:strCache>
            </c:strRef>
          </c:cat>
          <c:val>
            <c:numRef>
              <c:f>常住人口年龄结构!$Q$85:$Q$91</c:f>
              <c:numCache>
                <c:formatCode>General</c:formatCode>
                <c:ptCount val="7"/>
                <c:pt idx="0">
                  <c:v>10.01</c:v>
                </c:pt>
                <c:pt idx="1">
                  <c:v>57.2</c:v>
                </c:pt>
                <c:pt idx="2">
                  <c:v>79.43</c:v>
                </c:pt>
                <c:pt idx="3">
                  <c:v>41.39</c:v>
                </c:pt>
                <c:pt idx="4">
                  <c:v>14.99</c:v>
                </c:pt>
                <c:pt idx="5">
                  <c:v>5.94</c:v>
                </c:pt>
                <c:pt idx="6">
                  <c:v>3.36</c:v>
                </c:pt>
              </c:numCache>
            </c:numRef>
          </c:val>
          <c:smooth val="0"/>
        </c:ser>
        <c:ser>
          <c:idx val="2"/>
          <c:order val="2"/>
          <c:tx>
            <c:strRef>
              <c:f>常住人口年龄结构!$R$84</c:f>
              <c:strCache>
                <c:ptCount val="1"/>
                <c:pt idx="0">
                  <c:v>云南省（1.41）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常住人口年龄结构!$O$85:$O$91</c:f>
              <c:strCache>
                <c:ptCount val="7"/>
                <c:pt idx="0">
                  <c:v>15-19</c:v>
                </c:pt>
                <c:pt idx="1">
                  <c:v>20-24</c:v>
                </c:pt>
                <c:pt idx="2">
                  <c:v>25-29</c:v>
                </c:pt>
                <c:pt idx="3">
                  <c:v>30-34</c:v>
                </c:pt>
                <c:pt idx="4">
                  <c:v>35-39</c:v>
                </c:pt>
                <c:pt idx="5">
                  <c:v>40-44</c:v>
                </c:pt>
                <c:pt idx="6">
                  <c:v>45-49</c:v>
                </c:pt>
              </c:strCache>
            </c:strRef>
          </c:cat>
          <c:val>
            <c:numRef>
              <c:f>常住人口年龄结构!$R$85:$R$91</c:f>
              <c:numCache>
                <c:formatCode>General</c:formatCode>
                <c:ptCount val="7"/>
                <c:pt idx="0">
                  <c:v>21.28</c:v>
                </c:pt>
                <c:pt idx="1">
                  <c:v>107.97</c:v>
                </c:pt>
                <c:pt idx="2">
                  <c:v>94.27</c:v>
                </c:pt>
                <c:pt idx="3">
                  <c:v>39.2</c:v>
                </c:pt>
                <c:pt idx="4">
                  <c:v>13.16</c:v>
                </c:pt>
                <c:pt idx="5">
                  <c:v>4.34</c:v>
                </c:pt>
                <c:pt idx="6">
                  <c:v>1.74</c:v>
                </c:pt>
              </c:numCache>
            </c:numRef>
          </c:val>
          <c:smooth val="0"/>
        </c:ser>
        <c:dLbls>
          <c:showLegendKey val="0"/>
          <c:showVal val="0"/>
          <c:showCatName val="0"/>
          <c:showSerName val="0"/>
          <c:showPercent val="0"/>
          <c:showBubbleSize val="0"/>
        </c:dLbls>
        <c:marker val="1"/>
        <c:smooth val="0"/>
        <c:axId val="690476304"/>
        <c:axId val="690475648"/>
      </c:lineChart>
      <c:catAx>
        <c:axId val="690476304"/>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年龄组（岁））</a:t>
                </a:r>
                <a:endParaRPr lang="zh-CN" altLang="en-US"/>
              </a:p>
            </c:rich>
          </c:tx>
          <c:layout>
            <c:manualLayout>
              <c:xMode val="edge"/>
              <c:yMode val="edge"/>
              <c:x val="0.424149168853893"/>
              <c:y val="0.89892971711869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0475648"/>
        <c:crosses val="autoZero"/>
        <c:auto val="1"/>
        <c:lblAlgn val="ctr"/>
        <c:lblOffset val="100"/>
        <c:noMultiLvlLbl val="0"/>
      </c:catAx>
      <c:valAx>
        <c:axId val="690475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年龄别生育率（</a:t>
                </a:r>
                <a:r>
                  <a:rPr lang="en-US" altLang="zh-CN"/>
                  <a:t>‰</a:t>
                </a:r>
                <a:r>
                  <a:rPr lang="zh-CN" altLang="en-US"/>
                  <a:t>）</a:t>
                </a:r>
                <a:endParaRPr lang="zh-CN" altLang="en-US"/>
              </a:p>
            </c:rich>
          </c:tx>
          <c:layout>
            <c:manualLayout>
              <c:xMode val="edge"/>
              <c:yMode val="edge"/>
              <c:x val="0.0138888888888889"/>
              <c:y val="0.21403652668416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0476304"/>
        <c:crosses val="autoZero"/>
        <c:crossBetween val="between"/>
      </c:valAx>
      <c:spPr>
        <a:noFill/>
        <a:ln>
          <a:noFill/>
        </a:ln>
        <a:effectLst/>
      </c:spPr>
    </c:plotArea>
    <c:legend>
      <c:legendPos val="b"/>
      <c:layout>
        <c:manualLayout>
          <c:xMode val="edge"/>
          <c:yMode val="edge"/>
          <c:x val="0.643469160104987"/>
          <c:y val="0.174624161563138"/>
          <c:w val="0.276950349956255"/>
          <c:h val="0.251301764362788"/>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259007360441"/>
          <c:y val="0.0531400966183575"/>
          <c:w val="0.841214628726118"/>
          <c:h val="0.754601924759405"/>
        </c:manualLayout>
      </c:layout>
      <c:lineChart>
        <c:grouping val="standard"/>
        <c:varyColors val="0"/>
        <c:ser>
          <c:idx val="0"/>
          <c:order val="0"/>
          <c:tx>
            <c:strRef>
              <c:f>常住人口年龄结构!$P$73</c:f>
              <c:strCache>
                <c:ptCount val="1"/>
                <c:pt idx="0">
                  <c:v>2010年（0.89）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常住人口年龄结构!$O$74:$O$80</c:f>
              <c:strCache>
                <c:ptCount val="7"/>
                <c:pt idx="0">
                  <c:v>15-19</c:v>
                </c:pt>
                <c:pt idx="1">
                  <c:v>20-24</c:v>
                </c:pt>
                <c:pt idx="2">
                  <c:v>25-29</c:v>
                </c:pt>
                <c:pt idx="3">
                  <c:v>30-34</c:v>
                </c:pt>
                <c:pt idx="4">
                  <c:v>35-39</c:v>
                </c:pt>
                <c:pt idx="5">
                  <c:v>40-44</c:v>
                </c:pt>
                <c:pt idx="6">
                  <c:v>45-49</c:v>
                </c:pt>
              </c:strCache>
            </c:strRef>
          </c:cat>
          <c:val>
            <c:numRef>
              <c:f>常住人口年龄结构!$P$74:$P$80</c:f>
              <c:numCache>
                <c:formatCode>General</c:formatCode>
                <c:ptCount val="7"/>
                <c:pt idx="0">
                  <c:v>1.42</c:v>
                </c:pt>
                <c:pt idx="1">
                  <c:v>38.03</c:v>
                </c:pt>
                <c:pt idx="2">
                  <c:v>75.88</c:v>
                </c:pt>
                <c:pt idx="3">
                  <c:v>42.87</c:v>
                </c:pt>
                <c:pt idx="4">
                  <c:v>15.44</c:v>
                </c:pt>
                <c:pt idx="5">
                  <c:v>3.11</c:v>
                </c:pt>
                <c:pt idx="6">
                  <c:v>0.73</c:v>
                </c:pt>
              </c:numCache>
            </c:numRef>
          </c:val>
          <c:smooth val="0"/>
        </c:ser>
        <c:ser>
          <c:idx val="1"/>
          <c:order val="1"/>
          <c:tx>
            <c:strRef>
              <c:f>常住人口年龄结构!$Q$73</c:f>
              <c:strCache>
                <c:ptCount val="1"/>
                <c:pt idx="0">
                  <c:v>2015年（0.94）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常住人口年龄结构!$O$74:$O$80</c:f>
              <c:strCache>
                <c:ptCount val="7"/>
                <c:pt idx="0">
                  <c:v>15-19</c:v>
                </c:pt>
                <c:pt idx="1">
                  <c:v>20-24</c:v>
                </c:pt>
                <c:pt idx="2">
                  <c:v>25-29</c:v>
                </c:pt>
                <c:pt idx="3">
                  <c:v>30-34</c:v>
                </c:pt>
                <c:pt idx="4">
                  <c:v>35-39</c:v>
                </c:pt>
                <c:pt idx="5">
                  <c:v>40-44</c:v>
                </c:pt>
                <c:pt idx="6">
                  <c:v>45-49</c:v>
                </c:pt>
              </c:strCache>
            </c:strRef>
          </c:cat>
          <c:val>
            <c:numRef>
              <c:f>常住人口年龄结构!$Q$74:$Q$80</c:f>
              <c:numCache>
                <c:formatCode>General</c:formatCode>
                <c:ptCount val="7"/>
                <c:pt idx="0">
                  <c:v>1</c:v>
                </c:pt>
                <c:pt idx="1">
                  <c:v>35</c:v>
                </c:pt>
                <c:pt idx="2">
                  <c:v>70</c:v>
                </c:pt>
                <c:pt idx="3">
                  <c:v>50</c:v>
                </c:pt>
                <c:pt idx="4">
                  <c:v>25</c:v>
                </c:pt>
                <c:pt idx="5">
                  <c:v>6</c:v>
                </c:pt>
                <c:pt idx="6">
                  <c:v>0.8</c:v>
                </c:pt>
              </c:numCache>
            </c:numRef>
          </c:val>
          <c:smooth val="0"/>
        </c:ser>
        <c:ser>
          <c:idx val="2"/>
          <c:order val="2"/>
          <c:tx>
            <c:strRef>
              <c:f>常住人口年龄结构!$R$73</c:f>
              <c:strCache>
                <c:ptCount val="1"/>
                <c:pt idx="0">
                  <c:v>2020年（1.21）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常住人口年龄结构!$O$74:$O$80</c:f>
              <c:strCache>
                <c:ptCount val="7"/>
                <c:pt idx="0">
                  <c:v>15-19</c:v>
                </c:pt>
                <c:pt idx="1">
                  <c:v>20-24</c:v>
                </c:pt>
                <c:pt idx="2">
                  <c:v>25-29</c:v>
                </c:pt>
                <c:pt idx="3">
                  <c:v>30-34</c:v>
                </c:pt>
                <c:pt idx="4">
                  <c:v>35-39</c:v>
                </c:pt>
                <c:pt idx="5">
                  <c:v>40-44</c:v>
                </c:pt>
                <c:pt idx="6">
                  <c:v>45-49</c:v>
                </c:pt>
              </c:strCache>
            </c:strRef>
          </c:cat>
          <c:val>
            <c:numRef>
              <c:f>常住人口年龄结构!$R$74:$R$80</c:f>
              <c:numCache>
                <c:formatCode>General</c:formatCode>
                <c:ptCount val="7"/>
                <c:pt idx="0">
                  <c:v>1.4</c:v>
                </c:pt>
                <c:pt idx="1">
                  <c:v>40</c:v>
                </c:pt>
                <c:pt idx="2">
                  <c:v>70</c:v>
                </c:pt>
                <c:pt idx="3">
                  <c:v>70</c:v>
                </c:pt>
                <c:pt idx="4">
                  <c:v>50</c:v>
                </c:pt>
                <c:pt idx="5">
                  <c:v>10</c:v>
                </c:pt>
                <c:pt idx="6">
                  <c:v>0.8</c:v>
                </c:pt>
              </c:numCache>
            </c:numRef>
          </c:val>
          <c:smooth val="0"/>
        </c:ser>
        <c:ser>
          <c:idx val="3"/>
          <c:order val="3"/>
          <c:tx>
            <c:strRef>
              <c:f>常住人口年龄结构!$S$73</c:f>
              <c:strCache>
                <c:ptCount val="1"/>
                <c:pt idx="0">
                  <c:v>2025年（1.20）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常住人口年龄结构!$O$74:$O$80</c:f>
              <c:strCache>
                <c:ptCount val="7"/>
                <c:pt idx="0">
                  <c:v>15-19</c:v>
                </c:pt>
                <c:pt idx="1">
                  <c:v>20-24</c:v>
                </c:pt>
                <c:pt idx="2">
                  <c:v>25-29</c:v>
                </c:pt>
                <c:pt idx="3">
                  <c:v>30-34</c:v>
                </c:pt>
                <c:pt idx="4">
                  <c:v>35-39</c:v>
                </c:pt>
                <c:pt idx="5">
                  <c:v>40-44</c:v>
                </c:pt>
                <c:pt idx="6">
                  <c:v>45-49</c:v>
                </c:pt>
              </c:strCache>
            </c:strRef>
          </c:cat>
          <c:val>
            <c:numRef>
              <c:f>常住人口年龄结构!$S$74:$S$80</c:f>
              <c:numCache>
                <c:formatCode>General</c:formatCode>
                <c:ptCount val="7"/>
                <c:pt idx="0">
                  <c:v>1.2</c:v>
                </c:pt>
                <c:pt idx="1">
                  <c:v>40</c:v>
                </c:pt>
                <c:pt idx="2">
                  <c:v>70</c:v>
                </c:pt>
                <c:pt idx="3">
                  <c:v>70</c:v>
                </c:pt>
                <c:pt idx="4">
                  <c:v>50</c:v>
                </c:pt>
                <c:pt idx="5">
                  <c:v>9</c:v>
                </c:pt>
                <c:pt idx="6">
                  <c:v>0.8</c:v>
                </c:pt>
              </c:numCache>
            </c:numRef>
          </c:val>
          <c:smooth val="0"/>
        </c:ser>
        <c:dLbls>
          <c:showLegendKey val="0"/>
          <c:showVal val="0"/>
          <c:showCatName val="0"/>
          <c:showSerName val="0"/>
          <c:showPercent val="0"/>
          <c:showBubbleSize val="0"/>
        </c:dLbls>
        <c:marker val="1"/>
        <c:smooth val="0"/>
        <c:axId val="773912960"/>
        <c:axId val="773913288"/>
      </c:lineChart>
      <c:catAx>
        <c:axId val="773912960"/>
        <c:scaling>
          <c:orientation val="minMax"/>
        </c:scaling>
        <c:delete val="0"/>
        <c:axPos val="b"/>
        <c:title>
          <c:tx>
            <c:rich>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r>
                  <a:rPr lang="zh-CN"/>
                  <a:t>年龄组（岁）</a:t>
                </a:r>
                <a:endParaRPr lang="zh-C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773913288"/>
        <c:crosses val="autoZero"/>
        <c:auto val="1"/>
        <c:lblAlgn val="ctr"/>
        <c:lblOffset val="100"/>
        <c:noMultiLvlLbl val="0"/>
      </c:catAx>
      <c:valAx>
        <c:axId val="773913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r>
                  <a:rPr lang="zh-CN"/>
                  <a:t>年龄别生育率（</a:t>
                </a:r>
                <a:r>
                  <a:rPr lang="en-US"/>
                  <a:t>‰</a:t>
                </a:r>
                <a:r>
                  <a:rPr lang="zh-CN"/>
                  <a:t>）</a:t>
                </a:r>
                <a:endParaRPr 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773912960"/>
        <c:crosses val="autoZero"/>
        <c:crossBetween val="between"/>
      </c:valAx>
      <c:spPr>
        <a:noFill/>
        <a:ln>
          <a:noFill/>
        </a:ln>
        <a:effectLst/>
      </c:spPr>
    </c:plotArea>
    <c:legend>
      <c:legendPos val="b"/>
      <c:layout>
        <c:manualLayout>
          <c:xMode val="edge"/>
          <c:yMode val="edge"/>
          <c:x val="0.709829200335024"/>
          <c:y val="0.0576697478032637"/>
          <c:w val="0.287443092777072"/>
          <c:h val="0.323972764274031"/>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24CC86-D764-4A82-8921-A19654BE6681}">
  <ds:schemaRefs/>
</ds:datastoreItem>
</file>

<file path=docProps/app.xml><?xml version="1.0" encoding="utf-8"?>
<Properties xmlns="http://schemas.openxmlformats.org/officeDocument/2006/extended-properties" xmlns:vt="http://schemas.openxmlformats.org/officeDocument/2006/docPropsVTypes">
  <Template>Normal</Template>
  <Pages>48</Pages>
  <Words>8381</Words>
  <Characters>47773</Characters>
  <Lines>398</Lines>
  <Paragraphs>112</Paragraphs>
  <TotalTime>5</TotalTime>
  <ScaleCrop>false</ScaleCrop>
  <LinksUpToDate>false</LinksUpToDate>
  <CharactersWithSpaces>56042</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2020-03-28T00:32:00Z</dcterms:created>
  <dc:creator>luo</dc:creator>
  <cp:lastModifiedBy>Administrator</cp:lastModifiedBy>
  <cp:lastPrinted>2022-12-20T06:25:57Z</cp:lastPrinted>
  <dcterms:modified xsi:type="dcterms:W3CDTF">2022-12-20T06:36:11Z</dcterms:modified>
  <cp:revision>322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