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jc w:val="both"/>
        <w:rPr>
          <w:rFonts w:ascii="Arial" w:hAnsi="Arial" w:eastAsia="Arial" w:cs="Arial"/>
          <w:b/>
          <w:sz w:val="36"/>
        </w:rPr>
      </w:pPr>
      <w:r>
        <w:rPr>
          <w:rFonts w:ascii="Arial" w:hAnsi="Arial" w:eastAsia="Arial" w:cs="Arial"/>
          <w:b/>
          <w:sz w:val="36"/>
        </w:rPr>
        <w:t>监督索引号53011200147501000</w:t>
      </w:r>
    </w:p>
    <w:p>
      <w:pPr>
        <w:keepNext w:val="0"/>
        <w:keepLines w:val="0"/>
        <w:pageBreakBefore w:val="0"/>
        <w:kinsoku/>
        <w:wordWrap/>
        <w:overflowPunct/>
        <w:topLinePunct w:val="0"/>
        <w:autoSpaceDE/>
        <w:autoSpaceDN/>
        <w:bidi w:val="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昆明市西山区供销合作社联合社2021年度部门决算</w:t>
      </w:r>
    </w:p>
    <w:p>
      <w:pPr>
        <w:keepNext w:val="0"/>
        <w:keepLines w:val="0"/>
        <w:pageBreakBefore w:val="0"/>
        <w:kinsoku/>
        <w:wordWrap/>
        <w:overflowPunct/>
        <w:topLinePunct w:val="0"/>
        <w:autoSpaceDE/>
        <w:autoSpaceDN/>
        <w:bidi w:val="0"/>
        <w:jc w:val="center"/>
        <w:rPr>
          <w:rFonts w:ascii="方正小标宋简体" w:hAnsi="方正小标宋简体" w:eastAsia="方正小标宋简体" w:cs="方正小标宋简体"/>
          <w:sz w:val="36"/>
          <w:szCs w:val="36"/>
        </w:rPr>
      </w:pPr>
    </w:p>
    <w:p>
      <w:pPr>
        <w:keepNext w:val="0"/>
        <w:keepLines w:val="0"/>
        <w:pageBreakBefore w:val="0"/>
        <w:kinsoku/>
        <w:wordWrap/>
        <w:overflowPunct/>
        <w:topLinePunct w:val="0"/>
        <w:autoSpaceDE/>
        <w:autoSpaceDN/>
        <w:bidi w:val="0"/>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目录</w:t>
      </w:r>
    </w:p>
    <w:p>
      <w:pPr>
        <w:keepNext w:val="0"/>
        <w:keepLines w:val="0"/>
        <w:pageBreakBefore w:val="0"/>
        <w:kinsoku/>
        <w:wordWrap/>
        <w:overflowPunct/>
        <w:topLinePunct w:val="0"/>
        <w:autoSpaceDE/>
        <w:autoSpaceDN/>
        <w:bidi w:val="0"/>
        <w:jc w:val="both"/>
        <w:rPr>
          <w:rFonts w:ascii="黑体" w:hAnsi="黑体" w:eastAsia="黑体"/>
          <w:sz w:val="30"/>
          <w:szCs w:val="30"/>
        </w:rPr>
      </w:pPr>
    </w:p>
    <w:p>
      <w:pPr>
        <w:keepNext w:val="0"/>
        <w:keepLines w:val="0"/>
        <w:pageBreakBefore w:val="0"/>
        <w:kinsoku/>
        <w:wordWrap/>
        <w:overflowPunct/>
        <w:topLinePunct w:val="0"/>
        <w:autoSpaceDE/>
        <w:autoSpaceDN/>
        <w:bidi w:val="0"/>
        <w:jc w:val="both"/>
        <w:rPr>
          <w:rFonts w:ascii="黑体" w:hAnsi="黑体" w:eastAsia="黑体"/>
          <w:sz w:val="30"/>
          <w:szCs w:val="30"/>
        </w:rPr>
      </w:pPr>
      <w:r>
        <w:rPr>
          <w:rFonts w:hint="eastAsia" w:ascii="黑体" w:hAnsi="黑体" w:eastAsia="黑体"/>
          <w:sz w:val="30"/>
          <w:szCs w:val="30"/>
        </w:rPr>
        <w:t>第一部分</w:t>
      </w:r>
      <w:r>
        <w:rPr>
          <w:rFonts w:hint="eastAsia" w:ascii="黑体" w:hAnsi="黑体" w:eastAsia="黑体"/>
          <w:sz w:val="30"/>
          <w:szCs w:val="30"/>
          <w:lang w:val="en-US" w:eastAsia="zh-CN"/>
        </w:rPr>
        <w:t xml:space="preserve"> </w:t>
      </w:r>
      <w:r>
        <w:rPr>
          <w:rFonts w:hint="eastAsia" w:ascii="黑体" w:hAnsi="黑体" w:eastAsia="黑体"/>
          <w:sz w:val="30"/>
          <w:szCs w:val="30"/>
        </w:rPr>
        <w:t>昆明市西山区供销合作社联合社概况</w:t>
      </w:r>
    </w:p>
    <w:p>
      <w:pPr>
        <w:keepNext w:val="0"/>
        <w:keepLines w:val="0"/>
        <w:pageBreakBefore w:val="0"/>
        <w:kinsoku/>
        <w:wordWrap/>
        <w:overflowPunct/>
        <w:topLinePunct w:val="0"/>
        <w:autoSpaceDE/>
        <w:autoSpaceDN/>
        <w:bidi w:val="0"/>
        <w:spacing w:line="240" w:lineRule="atLeast"/>
        <w:jc w:val="both"/>
        <w:rPr>
          <w:rFonts w:ascii="楷体" w:hAnsi="楷体" w:eastAsia="楷体"/>
          <w:sz w:val="30"/>
          <w:szCs w:val="30"/>
        </w:rPr>
      </w:pPr>
      <w:r>
        <w:rPr>
          <w:rFonts w:hint="eastAsia" w:ascii="楷体" w:hAnsi="楷体" w:eastAsia="楷体"/>
          <w:sz w:val="30"/>
          <w:szCs w:val="30"/>
        </w:rPr>
        <w:t>一、主要职能</w:t>
      </w:r>
    </w:p>
    <w:p>
      <w:pPr>
        <w:keepNext w:val="0"/>
        <w:keepLines w:val="0"/>
        <w:pageBreakBefore w:val="0"/>
        <w:kinsoku/>
        <w:wordWrap/>
        <w:overflowPunct/>
        <w:topLinePunct w:val="0"/>
        <w:autoSpaceDE/>
        <w:autoSpaceDN/>
        <w:bidi w:val="0"/>
        <w:spacing w:line="240" w:lineRule="atLeast"/>
        <w:jc w:val="both"/>
        <w:rPr>
          <w:rFonts w:ascii="楷体" w:hAnsi="楷体" w:eastAsia="楷体"/>
          <w:sz w:val="30"/>
          <w:szCs w:val="30"/>
        </w:rPr>
      </w:pPr>
      <w:r>
        <w:rPr>
          <w:rFonts w:hint="eastAsia" w:ascii="楷体" w:hAnsi="楷体" w:eastAsia="楷体"/>
          <w:sz w:val="30"/>
          <w:szCs w:val="30"/>
        </w:rPr>
        <w:t>二、部门基本情况</w:t>
      </w:r>
    </w:p>
    <w:p>
      <w:pPr>
        <w:keepNext w:val="0"/>
        <w:keepLines w:val="0"/>
        <w:pageBreakBefore w:val="0"/>
        <w:kinsoku/>
        <w:wordWrap/>
        <w:overflowPunct/>
        <w:topLinePunct w:val="0"/>
        <w:autoSpaceDE/>
        <w:autoSpaceDN/>
        <w:bidi w:val="0"/>
        <w:jc w:val="both"/>
        <w:rPr>
          <w:rFonts w:ascii="黑体" w:hAnsi="黑体" w:eastAsia="黑体"/>
          <w:sz w:val="30"/>
          <w:szCs w:val="30"/>
        </w:rPr>
      </w:pPr>
      <w:r>
        <w:rPr>
          <w:rFonts w:hint="eastAsia" w:ascii="黑体" w:hAnsi="黑体" w:eastAsia="黑体"/>
          <w:sz w:val="30"/>
          <w:szCs w:val="30"/>
        </w:rPr>
        <w:t>第二部分 2021年度部门决算表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一、收入支出决算总表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二、收入决算表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三、支出决算表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四、财政拨款收入支出决算总表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五、一般公共预算财政拨款收入支出决算表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六、一般公共预算财政拨款基本支出决算表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七、政府性基金预算财政拨款收入支出决算表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八、国有资本经营预算财政拨款收入支出决算表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九、“三公”经费、行政参公单位机关运行经费情况表</w:t>
      </w:r>
    </w:p>
    <w:p>
      <w:pPr>
        <w:keepNext w:val="0"/>
        <w:keepLines w:val="0"/>
        <w:pageBreakBefore w:val="0"/>
        <w:kinsoku/>
        <w:wordWrap/>
        <w:overflowPunct/>
        <w:topLinePunct w:val="0"/>
        <w:autoSpaceDE/>
        <w:autoSpaceDN/>
        <w:bidi w:val="0"/>
        <w:jc w:val="both"/>
        <w:rPr>
          <w:rFonts w:ascii="黑体" w:hAnsi="黑体" w:eastAsia="黑体"/>
          <w:sz w:val="30"/>
          <w:szCs w:val="30"/>
        </w:rPr>
      </w:pPr>
      <w:r>
        <w:rPr>
          <w:rFonts w:hint="eastAsia" w:ascii="黑体" w:hAnsi="黑体" w:eastAsia="黑体"/>
          <w:sz w:val="30"/>
          <w:szCs w:val="30"/>
        </w:rPr>
        <w:t>第三部分  2021年度部门决算情况说明</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一、收入决算情况说明</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二、支出决算情况说明</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三、一般公共预算财政拨款支出决算情况说明</w:t>
      </w:r>
    </w:p>
    <w:p>
      <w:pPr>
        <w:keepNext w:val="0"/>
        <w:keepLines w:val="0"/>
        <w:pageBreakBefore w:val="0"/>
        <w:widowControl/>
        <w:kinsoku/>
        <w:wordWrap/>
        <w:overflowPunct/>
        <w:topLinePunct w:val="0"/>
        <w:autoSpaceDE/>
        <w:autoSpaceDN/>
        <w:bidi w:val="0"/>
        <w:snapToGrid w:val="0"/>
        <w:spacing w:before="100" w:after="100" w:line="360" w:lineRule="auto"/>
        <w:jc w:val="both"/>
        <w:rPr>
          <w:rFonts w:ascii="楷体" w:hAnsi="楷体" w:eastAsia="楷体"/>
          <w:sz w:val="30"/>
          <w:szCs w:val="30"/>
        </w:rPr>
      </w:pPr>
      <w:r>
        <w:rPr>
          <w:rFonts w:hint="eastAsia" w:ascii="楷体" w:hAnsi="楷体" w:eastAsia="楷体"/>
          <w:sz w:val="30"/>
          <w:szCs w:val="30"/>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before="100" w:after="100" w:line="360" w:lineRule="auto"/>
        <w:jc w:val="both"/>
        <w:rPr>
          <w:rFonts w:ascii="黑体" w:hAnsi="黑体" w:eastAsia="黑体"/>
          <w:sz w:val="30"/>
          <w:szCs w:val="30"/>
        </w:rPr>
      </w:pPr>
      <w:r>
        <w:rPr>
          <w:rFonts w:hint="eastAsia" w:ascii="黑体" w:hAnsi="黑体" w:eastAsia="黑体"/>
          <w:sz w:val="30"/>
          <w:szCs w:val="30"/>
        </w:rPr>
        <w:t>第四部分</w:t>
      </w:r>
      <w:r>
        <w:rPr>
          <w:rFonts w:hint="eastAsia" w:ascii="楷体" w:hAnsi="楷体" w:eastAsia="楷体"/>
          <w:sz w:val="30"/>
          <w:szCs w:val="30"/>
        </w:rPr>
        <w:t xml:space="preserve">  </w:t>
      </w:r>
      <w:r>
        <w:rPr>
          <w:rFonts w:hint="eastAsia" w:ascii="黑体" w:hAnsi="黑体" w:eastAsia="黑体"/>
          <w:sz w:val="30"/>
          <w:szCs w:val="30"/>
        </w:rPr>
        <w:t>其他重要事项及相关口径情况说明</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一、机关运行经费支出情况</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二、国有资产占用情况</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三、政府采购支出情况</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四、部门绩效自评情况</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（一）部门整体支出绩效自评情况</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（二）部门整体支出绩效自评表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（三）项目支出绩效自评表</w:t>
      </w:r>
    </w:p>
    <w:p>
      <w:pPr>
        <w:keepNext w:val="0"/>
        <w:keepLines w:val="0"/>
        <w:pageBreakBefore w:val="0"/>
        <w:kinsoku/>
        <w:wordWrap/>
        <w:overflowPunct/>
        <w:topLinePunct w:val="0"/>
        <w:autoSpaceDE/>
        <w:autoSpaceDN/>
        <w:bidi w:val="0"/>
        <w:jc w:val="both"/>
        <w:rPr>
          <w:rFonts w:ascii="楷体" w:hAnsi="楷体" w:eastAsia="楷体"/>
          <w:sz w:val="30"/>
          <w:szCs w:val="30"/>
        </w:rPr>
      </w:pPr>
      <w:r>
        <w:rPr>
          <w:rFonts w:hint="eastAsia" w:ascii="楷体" w:hAnsi="楷体" w:eastAsia="楷体"/>
          <w:sz w:val="30"/>
          <w:szCs w:val="30"/>
        </w:rPr>
        <w:t>五、其他重要事项情况说明</w:t>
      </w:r>
    </w:p>
    <w:p>
      <w:pPr>
        <w:keepNext w:val="0"/>
        <w:keepLines w:val="0"/>
        <w:pageBreakBefore w:val="0"/>
        <w:widowControl/>
        <w:kinsoku/>
        <w:wordWrap/>
        <w:overflowPunct/>
        <w:topLinePunct w:val="0"/>
        <w:autoSpaceDE/>
        <w:autoSpaceDN/>
        <w:bidi w:val="0"/>
        <w:snapToGrid w:val="0"/>
        <w:spacing w:before="100" w:after="100" w:line="360" w:lineRule="auto"/>
        <w:jc w:val="both"/>
        <w:rPr>
          <w:rFonts w:ascii="黑体" w:hAnsi="黑体" w:eastAsia="黑体"/>
          <w:sz w:val="30"/>
          <w:szCs w:val="30"/>
        </w:rPr>
      </w:pPr>
      <w:r>
        <w:rPr>
          <w:rFonts w:hint="eastAsia" w:ascii="黑体" w:hAnsi="黑体" w:eastAsia="黑体"/>
          <w:sz w:val="30"/>
          <w:szCs w:val="30"/>
        </w:rPr>
        <w:t>第五部分  名词解释</w:t>
      </w:r>
    </w:p>
    <w:p>
      <w:pPr>
        <w:keepNext w:val="0"/>
        <w:keepLines w:val="0"/>
        <w:pageBreakBefore w:val="0"/>
        <w:kinsoku/>
        <w:wordWrap/>
        <w:overflowPunct/>
        <w:topLinePunct w:val="0"/>
        <w:autoSpaceDE/>
        <w:autoSpaceDN/>
        <w:bidi w:val="0"/>
        <w:jc w:val="both"/>
        <w:rPr>
          <w:rFonts w:ascii="黑体" w:hAnsi="黑体" w:eastAsia="黑体"/>
          <w:sz w:val="32"/>
          <w:szCs w:val="32"/>
        </w:rPr>
      </w:pPr>
    </w:p>
    <w:p>
      <w:pPr>
        <w:keepNext w:val="0"/>
        <w:keepLines w:val="0"/>
        <w:pageBreakBefore w:val="0"/>
        <w:kinsoku/>
        <w:wordWrap/>
        <w:overflowPunct/>
        <w:topLinePunct w:val="0"/>
        <w:autoSpaceDE/>
        <w:autoSpaceDN/>
        <w:bidi w:val="0"/>
        <w:jc w:val="center"/>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0"/>
          <w:szCs w:val="30"/>
        </w:rPr>
        <w:t>昆明市西山区供销合作社联合社</w:t>
      </w:r>
      <w:r>
        <w:rPr>
          <w:rFonts w:hint="eastAsia" w:ascii="黑体" w:hAnsi="黑体" w:eastAsia="黑体"/>
          <w:sz w:val="32"/>
          <w:szCs w:val="32"/>
        </w:rPr>
        <w:t>概况</w:t>
      </w:r>
    </w:p>
    <w:p>
      <w:pPr>
        <w:keepNext w:val="0"/>
        <w:keepLines w:val="0"/>
        <w:pageBreakBefore w:val="0"/>
        <w:kinsoku/>
        <w:wordWrap/>
        <w:overflowPunct/>
        <w:topLinePunct w:val="0"/>
        <w:autoSpaceDE/>
        <w:autoSpaceDN/>
        <w:bidi w:val="0"/>
        <w:spacing w:line="600" w:lineRule="exact"/>
        <w:ind w:firstLine="600" w:firstLineChars="200"/>
        <w:jc w:val="both"/>
        <w:rPr>
          <w:rFonts w:ascii="黑体" w:hAnsi="黑体" w:eastAsia="黑体"/>
          <w:sz w:val="30"/>
          <w:szCs w:val="30"/>
        </w:rPr>
      </w:pPr>
      <w:r>
        <w:rPr>
          <w:rFonts w:hint="eastAsia" w:ascii="黑体" w:hAnsi="黑体" w:eastAsia="黑体"/>
          <w:sz w:val="30"/>
          <w:szCs w:val="30"/>
        </w:rPr>
        <w:t>一、主要职能</w:t>
      </w:r>
    </w:p>
    <w:p>
      <w:pPr>
        <w:keepNext w:val="0"/>
        <w:keepLines w:val="0"/>
        <w:pageBreakBefore w:val="0"/>
        <w:kinsoku/>
        <w:wordWrap/>
        <w:overflowPunct/>
        <w:topLinePunct w:val="0"/>
        <w:autoSpaceDE/>
        <w:autoSpaceDN/>
        <w:bidi w:val="0"/>
        <w:spacing w:line="600" w:lineRule="exact"/>
        <w:ind w:firstLine="600" w:firstLineChars="200"/>
        <w:jc w:val="both"/>
        <w:rPr>
          <w:rFonts w:ascii="楷体" w:hAnsi="楷体" w:eastAsia="楷体"/>
          <w:sz w:val="30"/>
          <w:szCs w:val="30"/>
        </w:rPr>
      </w:pPr>
      <w:r>
        <w:rPr>
          <w:rFonts w:hint="eastAsia" w:ascii="楷体" w:hAnsi="楷体" w:eastAsia="楷体"/>
          <w:bCs/>
          <w:sz w:val="30"/>
          <w:szCs w:val="30"/>
        </w:rPr>
        <w:t>（一）主要职能</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1.宣传贯彻党中央、国务院、省、市、区委和省、市、区人民政府有关农村经济工作和社会发展的方针、政策，研究制订全区合作经济发展战略和发展规划，指导全区供销合作社的改革与发展。</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2.承担政府和有关部门委托的任务，按照政府授权对重要农业生产资料和农副产品的经营进行组织、协调和管理。</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3.实行开放办社，根据申请，可接纳承认供销社章程、自愿加入的社会经济组织作为成员社，促进合作经济的发展。</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4.向区委、区人民政府和有关部门反映农民社员和供销合作社的意见与要求，维护其合法权益。</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5.指导供销合作社基层组织建设，改善经营管理，协调社员之间的关系，发挥群体联合优势。</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6.负责全区农村流通体系的组织、规划、协调、服务和建设工作。</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7.指导发展农民合作经济组织，推进农村综合服务体系建设，开拓城乡市场，参与和推动“城乡一体化”建设。</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8.组织开展对社员和职工的教育与培训，为全区合作经济组织提供信息服务。</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9.管理运营本级社有资产，建立健全社有资产保值增值考核激励和责任追究制度，依法履行出资人职责，享有出资人权益。</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10.对有关行业、学科或业务范围内的全区性社会团体，履行业务主管单位的监督管理职责。</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11.代表西山区合作经济组织，参与国际合作社联盟活动；与国内外经济组织、社会团体、科研等部门开展经济、贸易、技术、人才、交流合作，接受捐赠、资助。</w:t>
      </w:r>
    </w:p>
    <w:p>
      <w:pPr>
        <w:keepNext w:val="0"/>
        <w:keepLines w:val="0"/>
        <w:pageBreakBefore w:val="0"/>
        <w:kinsoku/>
        <w:wordWrap/>
        <w:overflowPunct/>
        <w:topLinePunct w:val="0"/>
        <w:autoSpaceDE/>
        <w:autoSpaceDN/>
        <w:bidi w:val="0"/>
        <w:adjustRightInd/>
        <w:snapToGrid w:val="0"/>
        <w:spacing w:line="520" w:lineRule="exac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eastAsia="仿宋_GB2312" w:cs="Times New Roman"/>
          <w:kern w:val="2"/>
          <w:sz w:val="30"/>
          <w:szCs w:val="30"/>
          <w:lang w:val="en-US" w:eastAsia="zh-CN" w:bidi="ar-SA"/>
        </w:rPr>
        <w:t>12.</w:t>
      </w:r>
      <w:r>
        <w:rPr>
          <w:rFonts w:hint="eastAsia" w:ascii="仿宋_GB2312" w:hAnsi="Times New Roman" w:eastAsia="仿宋_GB2312" w:cs="Times New Roman"/>
          <w:kern w:val="2"/>
          <w:sz w:val="30"/>
          <w:szCs w:val="30"/>
          <w:lang w:val="en-US" w:eastAsia="zh-CN" w:bidi="ar-SA"/>
        </w:rPr>
        <w:t>承办区委、区政府和上级机关交办的其他事项。</w:t>
      </w:r>
    </w:p>
    <w:p>
      <w:pPr>
        <w:pStyle w:val="2"/>
        <w:keepNext w:val="0"/>
        <w:keepLines w:val="0"/>
        <w:pageBreakBefore w:val="0"/>
        <w:kinsoku/>
        <w:wordWrap/>
        <w:overflowPunct/>
        <w:topLinePunct w:val="0"/>
        <w:autoSpaceDE/>
        <w:autoSpaceDN/>
        <w:bidi w:val="0"/>
        <w:adjustRightInd w:val="0"/>
        <w:snapToGrid w:val="0"/>
        <w:spacing w:line="600" w:lineRule="exact"/>
        <w:ind w:firstLine="630" w:firstLineChars="210"/>
        <w:jc w:val="both"/>
        <w:rPr>
          <w:rFonts w:ascii="楷体" w:hAnsi="楷体" w:eastAsia="楷体"/>
          <w:bCs/>
          <w:szCs w:val="30"/>
        </w:rPr>
      </w:pPr>
      <w:r>
        <w:rPr>
          <w:rFonts w:hint="eastAsia" w:ascii="楷体" w:hAnsi="楷体" w:eastAsia="楷体"/>
          <w:bCs/>
          <w:szCs w:val="30"/>
        </w:rPr>
        <w:t>（二）2021年度重点工作任务介绍</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1.指标完成情况。截止2021年12月，规范了云南楠竹公社种植农民专业合作社，完成全年规范农民专业合作社1个的任务；新增基层社社员200人 ，完成全年新增基层社社员人数200人的任务；食用菌交易量2022.48吨，完成全年食用菌交易量2120吨任务的95.4%，预计年底完成全年任务；食用菌交易额2535.04万元，完成全年食用菌交易额2720万元任务的93.2%，预计年底完成全年任务；教育培训330人次，完成全年教育培训320次的任务；新建碧鸡街道西华社区昆明碧水水果种植农民专业合作社 ，完成全年新建社区（农村）电商服务站点1个的任务。</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2.服务“三农”成效显著。一是新创办农民专业合作社1个（海口白鱼社区云南楠竹公社种植农民专业合作社），并提供了必要的服务指导和开办扶持金申报。二是协调申报民族地区发展涉农扶持项目3个，扶持补助资金共计28万元；同时对团结街道1个农民专业合作社，按照“补短板”原则，协调对产业链初端项目进行建设，为民族山区农业产业发展发挥积极的作用。三是积极帮助协调解决企业在玫瑰花、花椒的种植、加工、研发、销售等环节存在的困难，发挥“云玫”、“谷律花椒”等名、特农产品优势，促农不断增收。2021年，参股企业云南恒芳生物科技有限公司共收购玫瑰花29.1吨，提炼玫瑰精油4.1千克，玫瑰纯露19吨，惠及花农户近400户，促农增收27.6万余元；参股企业昆明硕谷商贸有限公司完成收购花椒14.3吨，服务农户约700户，促农增收近60万元，在乡村振兴中发挥着应有的作用。四是注重农特产品宣传，打造自身品牌。组织部分农民专业合作社自带农特产品参加西山区2021年“中国农民丰收节”，将产品进行现场展示宣传和销售。五是开展技能培训，培养新型农业经营主体带头人，为开展乡村振兴“领头雁”培育工作，区社组织举办了2021年农产品经纪人“快供快销”培训班，计划60人的培训，参加实训91名，让参训人员在接受业务培训的同时，了解、学习制作短视频技术，尝试直播带货销售，帮助农民开拓市场，实现农业增效、农民增收。</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3.安全生产工作不断强化。2021年，区供销社认真落实安全发展理念，坚持人民至上、生命至上，切实把确保人民生命安全放在第一位，围绕全区“安全生产专项整治三年行动”及“建设国家安全发展示范城市”相关安排部署，认真履行系统内的安全生产监管职责。一是与系统内参股生产企业签订“安全生产管理责任书”，并两次召开“安全生产工作会”进行推进；二是目前对系统内改制及参股生产企业、单位出租房屋经营户，开展消防设施、生产设备等安全生产“大起底、大排查”及汛期安全排查83人次。通过专项检查和日常检查，督促企业增强安全生产主体责任意识，认真落实安全生产各项规范及措施。为此，目前系统内安全生产事故零发生。为“两节两会”、建党百年大庆、“中秋国庆”、C0P15大会等重大活动，营造了安全和谐的良好社会氛围。</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4.加强社有资产的管理，做好区供销社各参股企业的管理服务工作。一是根据区供销社固定资产清理情况,明确办公室、财会审计科人员对资产进行了建帐建册,做到专人管理、帐实相符。二是区供销社与资产管理公司签订了《委托管理协议》，约定了双方的责任义务，资产公司受供销社委托做好对外出租房屋的管理工作，对回迁铺面、车位到、房屋积极开展对外招租事宜。三是加强资产管理，落实好《西山区供销合作社社有资产监督管理暂行办法》的各项规定，对社有资产的出租依据第三方评估定价，公开招租的方式进行，增加了资产管理的透明度。同时，加强对区供销社全资的资产经营管理公司的管理，调整了资产公司的管理人员，规范了财务审批程序。四是清理了区供销社各参股企业的现状情况，及时参加企业股金分红会，要求各企业提供相关财务报表，并按程序报区社会议研究讨论，维护了区供销社的合法利益。五是加强合同制订的规范性，并定期对合同的落实情况进行检查，对未履行完毕的合同进行跟踪管理。</w:t>
      </w:r>
    </w:p>
    <w:p>
      <w:pPr>
        <w:pStyle w:val="8"/>
        <w:keepNext w:val="0"/>
        <w:keepLines w:val="0"/>
        <w:pageBreakBefore w:val="0"/>
        <w:kinsoku/>
        <w:wordWrap/>
        <w:overflowPunct/>
        <w:topLinePunct w:val="0"/>
        <w:autoSpaceDE/>
        <w:autoSpaceDN/>
        <w:bidi w:val="0"/>
        <w:adjustRightInd/>
        <w:spacing w:line="240" w:lineRule="atLeast"/>
        <w:ind w:firstLine="600" w:firstLineChars="200"/>
        <w:jc w:val="both"/>
        <w:textAlignment w:val="auto"/>
        <w:rPr>
          <w:rFonts w:hint="eastAsia" w:ascii="仿宋_GB2312" w:hAnsi="Times New Roman" w:eastAsia="仿宋_GB2312" w:cs="Times New Roman"/>
          <w:kern w:val="2"/>
          <w:sz w:val="30"/>
          <w:szCs w:val="30"/>
          <w:lang w:val="en-US" w:eastAsia="zh-CN" w:bidi="ar-SA"/>
        </w:rPr>
      </w:pPr>
      <w:r>
        <w:rPr>
          <w:rFonts w:hint="eastAsia" w:ascii="仿宋_GB2312" w:hAnsi="Times New Roman" w:eastAsia="仿宋_GB2312" w:cs="Times New Roman"/>
          <w:kern w:val="2"/>
          <w:sz w:val="30"/>
          <w:szCs w:val="30"/>
          <w:lang w:val="en-US" w:eastAsia="zh-CN" w:bidi="ar-SA"/>
        </w:rPr>
        <w:t>5.认真做好审计相关工作。一是对2019年区供销社及资产管理公司审计存在的问题进行了逐项对照整改。二是委托第三方对2020年区供销社及资产管理公司财务收支情况进行了审计，对存在的问题进行了逐项对照整改。三是对审计局提出的2020年审计疑点问题进行了回复。四是配合区审计局开展主任经济责任审计工作。五是按照省纪委“蹲点式”调研的要求，委托第三三方开展了区供销及资产公司外借款、资产公司法人离任审计、团结供销社资产清查、财务审计等六项审计业务，并将针对提出的问题进行逐项对照整改。</w:t>
      </w:r>
    </w:p>
    <w:p>
      <w:pPr>
        <w:keepNext w:val="0"/>
        <w:keepLines w:val="0"/>
        <w:pageBreakBefore w:val="0"/>
        <w:kinsoku/>
        <w:wordWrap/>
        <w:overflowPunct/>
        <w:topLinePunct w:val="0"/>
        <w:autoSpaceDE/>
        <w:autoSpaceDN/>
        <w:bidi w:val="0"/>
        <w:ind w:firstLine="600" w:firstLineChars="200"/>
        <w:jc w:val="both"/>
        <w:rPr>
          <w:rFonts w:hint="eastAsia" w:ascii="黑体" w:hAnsi="黑体" w:eastAsia="黑体"/>
          <w:sz w:val="30"/>
          <w:szCs w:val="30"/>
          <w:lang w:val="en-US" w:eastAsia="zh-CN"/>
        </w:rPr>
      </w:pPr>
      <w:r>
        <w:rPr>
          <w:rFonts w:hint="eastAsia" w:ascii="黑体" w:hAnsi="黑体" w:eastAsia="黑体"/>
          <w:sz w:val="30"/>
          <w:szCs w:val="30"/>
          <w:lang w:val="en-US" w:eastAsia="zh-CN"/>
        </w:rPr>
        <w:t>二、部门基本情况</w:t>
      </w:r>
    </w:p>
    <w:p>
      <w:pPr>
        <w:keepNext w:val="0"/>
        <w:keepLines w:val="0"/>
        <w:pageBreakBefore w:val="0"/>
        <w:kinsoku/>
        <w:wordWrap/>
        <w:overflowPunct/>
        <w:topLinePunct w:val="0"/>
        <w:autoSpaceDE/>
        <w:autoSpaceDN/>
        <w:bidi w:val="0"/>
        <w:snapToGrid w:val="0"/>
        <w:spacing w:line="520" w:lineRule="exact"/>
        <w:ind w:firstLine="600" w:firstLineChars="200"/>
        <w:jc w:val="both"/>
        <w:rPr>
          <w:rFonts w:hint="eastAsia" w:ascii="楷体" w:hAnsi="楷体" w:eastAsia="楷体"/>
          <w:sz w:val="30"/>
          <w:szCs w:val="30"/>
        </w:rPr>
      </w:pPr>
      <w:r>
        <w:rPr>
          <w:rFonts w:hint="eastAsia" w:ascii="楷体" w:hAnsi="楷体" w:eastAsia="楷体"/>
          <w:sz w:val="30"/>
          <w:szCs w:val="30"/>
        </w:rPr>
        <w:t>（一）部门决算单位构成</w:t>
      </w:r>
    </w:p>
    <w:p>
      <w:pPr>
        <w:keepNext w:val="0"/>
        <w:keepLines w:val="0"/>
        <w:pageBreakBefore w:val="0"/>
        <w:kinsoku/>
        <w:wordWrap/>
        <w:overflowPunct/>
        <w:topLinePunct w:val="0"/>
        <w:autoSpaceDE/>
        <w:autoSpaceDN/>
        <w:bidi w:val="0"/>
        <w:spacing w:line="600" w:lineRule="exact"/>
        <w:ind w:firstLine="600" w:firstLineChars="200"/>
        <w:jc w:val="both"/>
        <w:rPr>
          <w:rFonts w:hint="eastAsia" w:ascii="仿宋_GB2312" w:eastAsia="仿宋_GB2312"/>
          <w:sz w:val="30"/>
          <w:szCs w:val="30"/>
          <w:lang w:val="en-US" w:eastAsia="zh-CN"/>
        </w:rPr>
      </w:pPr>
      <w:r>
        <w:rPr>
          <w:rFonts w:hint="eastAsia" w:ascii="仿宋_GB2312" w:eastAsia="仿宋_GB2312"/>
          <w:sz w:val="30"/>
          <w:szCs w:val="30"/>
        </w:rPr>
        <w:t>纳入昆明市西山区供销合作社联合社2021年度部门决算编报的单位共</w:t>
      </w:r>
      <w:r>
        <w:rPr>
          <w:rFonts w:hint="eastAsia" w:ascii="仿宋_GB2312" w:eastAsia="仿宋_GB2312"/>
          <w:sz w:val="30"/>
          <w:szCs w:val="30"/>
          <w:lang w:val="en-US" w:eastAsia="zh-CN"/>
        </w:rPr>
        <w:t>1</w:t>
      </w:r>
      <w:r>
        <w:rPr>
          <w:rFonts w:hint="eastAsia" w:ascii="仿宋_GB2312" w:eastAsia="仿宋_GB2312"/>
          <w:sz w:val="30"/>
          <w:szCs w:val="30"/>
        </w:rPr>
        <w:t>个。其中：行政单位</w:t>
      </w:r>
      <w:r>
        <w:rPr>
          <w:rFonts w:hint="eastAsia" w:ascii="仿宋_GB2312" w:eastAsia="仿宋_GB2312"/>
          <w:sz w:val="30"/>
          <w:szCs w:val="30"/>
          <w:lang w:val="en-US" w:eastAsia="zh-CN"/>
        </w:rPr>
        <w:t>0</w:t>
      </w:r>
      <w:r>
        <w:rPr>
          <w:rFonts w:hint="eastAsia" w:ascii="仿宋_GB2312" w:eastAsia="仿宋_GB2312"/>
          <w:sz w:val="30"/>
          <w:szCs w:val="30"/>
        </w:rPr>
        <w:t>个，参照公务员法管理的事业单位</w:t>
      </w:r>
      <w:r>
        <w:rPr>
          <w:rFonts w:hint="eastAsia" w:ascii="仿宋_GB2312" w:eastAsia="仿宋_GB2312"/>
          <w:bCs/>
          <w:sz w:val="30"/>
          <w:szCs w:val="30"/>
          <w:lang w:val="en-US" w:eastAsia="zh-CN"/>
        </w:rPr>
        <w:t>1</w:t>
      </w:r>
      <w:r>
        <w:rPr>
          <w:rFonts w:hint="eastAsia" w:ascii="仿宋_GB2312" w:eastAsia="仿宋_GB2312"/>
          <w:sz w:val="30"/>
          <w:szCs w:val="30"/>
        </w:rPr>
        <w:t>个，其他事业单位</w:t>
      </w:r>
      <w:r>
        <w:rPr>
          <w:rFonts w:hint="eastAsia" w:ascii="仿宋_GB2312" w:eastAsia="仿宋_GB2312"/>
          <w:sz w:val="30"/>
          <w:szCs w:val="30"/>
          <w:lang w:val="en-US" w:eastAsia="zh-CN"/>
        </w:rPr>
        <w:t>0</w:t>
      </w:r>
      <w:r>
        <w:rPr>
          <w:rFonts w:hint="eastAsia" w:ascii="仿宋_GB2312" w:eastAsia="仿宋_GB2312"/>
          <w:sz w:val="30"/>
          <w:szCs w:val="30"/>
        </w:rPr>
        <w:t>个。</w:t>
      </w:r>
      <w:r>
        <w:rPr>
          <w:rFonts w:hint="eastAsia" w:ascii="仿宋_GB2312" w:eastAsia="仿宋_GB2312"/>
          <w:color w:val="auto"/>
          <w:sz w:val="30"/>
          <w:szCs w:val="30"/>
          <w:lang w:val="en-US" w:eastAsia="zh-CN"/>
        </w:rPr>
        <w:t>具体是：</w:t>
      </w:r>
      <w:r>
        <w:rPr>
          <w:rFonts w:hint="eastAsia" w:ascii="仿宋_GB2312" w:eastAsia="仿宋_GB2312"/>
          <w:color w:val="auto"/>
          <w:sz w:val="30"/>
          <w:szCs w:val="30"/>
        </w:rPr>
        <w:t>昆明市西山区供销合作社联合社</w:t>
      </w:r>
      <w:r>
        <w:rPr>
          <w:rFonts w:hint="eastAsia" w:ascii="仿宋_GB2312" w:eastAsia="仿宋_GB2312"/>
          <w:color w:val="auto"/>
          <w:sz w:val="30"/>
          <w:szCs w:val="30"/>
          <w:lang w:eastAsia="zh-CN"/>
        </w:rPr>
        <w:t>。</w:t>
      </w:r>
    </w:p>
    <w:p>
      <w:pPr>
        <w:keepNext w:val="0"/>
        <w:keepLines w:val="0"/>
        <w:pageBreakBefore w:val="0"/>
        <w:kinsoku/>
        <w:wordWrap/>
        <w:overflowPunct/>
        <w:topLinePunct w:val="0"/>
        <w:autoSpaceDE/>
        <w:autoSpaceDN/>
        <w:bidi w:val="0"/>
        <w:ind w:firstLine="600" w:firstLineChars="200"/>
        <w:jc w:val="both"/>
        <w:rPr>
          <w:rFonts w:ascii="楷体" w:hAnsi="楷体" w:eastAsia="楷体"/>
          <w:color w:val="FF0000"/>
          <w:sz w:val="30"/>
          <w:szCs w:val="30"/>
        </w:rPr>
      </w:pPr>
      <w:r>
        <w:rPr>
          <w:rFonts w:hint="eastAsia" w:ascii="楷体" w:hAnsi="楷体" w:eastAsia="楷体"/>
          <w:sz w:val="30"/>
          <w:szCs w:val="30"/>
        </w:rPr>
        <w:t xml:space="preserve">（二）部门人员和车辆的编制及实有情况 </w:t>
      </w:r>
    </w:p>
    <w:p>
      <w:pPr>
        <w:keepNext w:val="0"/>
        <w:keepLines w:val="0"/>
        <w:pageBreakBefore w:val="0"/>
        <w:kinsoku/>
        <w:wordWrap/>
        <w:overflowPunct/>
        <w:topLinePunct w:val="0"/>
        <w:autoSpaceDE/>
        <w:autoSpaceDN/>
        <w:bidi w:val="0"/>
        <w:spacing w:line="600" w:lineRule="exact"/>
        <w:ind w:firstLine="600" w:firstLineChars="200"/>
        <w:jc w:val="both"/>
        <w:rPr>
          <w:rFonts w:ascii="仿宋_GB2312" w:hAnsi="宋体" w:eastAsia="仿宋_GB2312" w:cs="Arial"/>
          <w:kern w:val="0"/>
          <w:sz w:val="30"/>
          <w:szCs w:val="30"/>
        </w:rPr>
      </w:pPr>
      <w:r>
        <w:rPr>
          <w:rFonts w:hint="eastAsia" w:ascii="仿宋_GB2312" w:eastAsia="仿宋_GB2312"/>
          <w:sz w:val="30"/>
          <w:szCs w:val="30"/>
        </w:rPr>
        <w:t>昆明市西山区供销合作社联合社2021年末实有人员编制</w:t>
      </w:r>
      <w:r>
        <w:rPr>
          <w:rFonts w:hint="eastAsia" w:ascii="仿宋_GB2312" w:eastAsia="仿宋_GB2312"/>
          <w:sz w:val="30"/>
          <w:szCs w:val="30"/>
          <w:lang w:val="en-US" w:eastAsia="zh-CN"/>
        </w:rPr>
        <w:t>10</w:t>
      </w:r>
      <w:r>
        <w:rPr>
          <w:rFonts w:hint="eastAsia" w:ascii="仿宋_GB2312" w:hAnsi="宋体" w:eastAsia="仿宋_GB2312" w:cs="Arial"/>
          <w:kern w:val="0"/>
          <w:sz w:val="30"/>
          <w:szCs w:val="30"/>
        </w:rPr>
        <w:t>人。其中：行政编制</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人（含行政工勤编制</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人），事业编制</w:t>
      </w:r>
      <w:r>
        <w:rPr>
          <w:rFonts w:hint="eastAsia" w:ascii="仿宋_GB2312" w:eastAsia="仿宋_GB2312"/>
          <w:sz w:val="30"/>
          <w:szCs w:val="30"/>
          <w:lang w:val="en-US" w:eastAsia="zh-CN"/>
        </w:rPr>
        <w:t>10</w:t>
      </w:r>
      <w:r>
        <w:rPr>
          <w:rFonts w:hint="eastAsia" w:ascii="仿宋_GB2312" w:hAnsi="宋体" w:eastAsia="仿宋_GB2312" w:cs="Arial"/>
          <w:kern w:val="0"/>
          <w:sz w:val="30"/>
          <w:szCs w:val="30"/>
        </w:rPr>
        <w:t>人（含参公管理事业编制</w:t>
      </w:r>
      <w:r>
        <w:rPr>
          <w:rFonts w:hint="eastAsia" w:ascii="仿宋_GB2312" w:eastAsia="仿宋_GB2312"/>
          <w:sz w:val="30"/>
          <w:szCs w:val="30"/>
          <w:lang w:val="en-US" w:eastAsia="zh-CN"/>
        </w:rPr>
        <w:t>10</w:t>
      </w:r>
      <w:r>
        <w:rPr>
          <w:rFonts w:hint="eastAsia" w:ascii="仿宋_GB2312" w:hAnsi="宋体" w:eastAsia="仿宋_GB2312" w:cs="Arial"/>
          <w:kern w:val="0"/>
          <w:sz w:val="30"/>
          <w:szCs w:val="30"/>
        </w:rPr>
        <w:t>人）；在职在编实有行政人员</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人（含行政工勤人员</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人），事业人员</w:t>
      </w:r>
      <w:r>
        <w:rPr>
          <w:rFonts w:hint="eastAsia" w:ascii="仿宋_GB2312" w:eastAsia="仿宋_GB2312"/>
          <w:sz w:val="30"/>
          <w:szCs w:val="30"/>
          <w:lang w:val="en-US" w:eastAsia="zh-CN"/>
        </w:rPr>
        <w:t>8</w:t>
      </w:r>
      <w:r>
        <w:rPr>
          <w:rFonts w:hint="eastAsia" w:ascii="仿宋_GB2312" w:hAnsi="宋体" w:eastAsia="仿宋_GB2312" w:cs="Arial"/>
          <w:kern w:val="0"/>
          <w:sz w:val="30"/>
          <w:szCs w:val="30"/>
        </w:rPr>
        <w:t>人（含参公管理事业人员</w:t>
      </w:r>
      <w:r>
        <w:rPr>
          <w:rFonts w:hint="eastAsia" w:ascii="仿宋_GB2312" w:eastAsia="仿宋_GB2312"/>
          <w:sz w:val="30"/>
          <w:szCs w:val="30"/>
          <w:lang w:val="en-US" w:eastAsia="zh-CN"/>
        </w:rPr>
        <w:t>8</w:t>
      </w:r>
      <w:r>
        <w:rPr>
          <w:rFonts w:hint="eastAsia" w:ascii="仿宋_GB2312" w:hAnsi="宋体" w:eastAsia="仿宋_GB2312" w:cs="Arial"/>
          <w:kern w:val="0"/>
          <w:sz w:val="30"/>
          <w:szCs w:val="30"/>
        </w:rPr>
        <w:t>人）。</w:t>
      </w:r>
    </w:p>
    <w:p>
      <w:pPr>
        <w:keepNext w:val="0"/>
        <w:keepLines w:val="0"/>
        <w:pageBreakBefore w:val="0"/>
        <w:kinsoku/>
        <w:wordWrap/>
        <w:overflowPunct/>
        <w:topLinePunct w:val="0"/>
        <w:autoSpaceDE/>
        <w:autoSpaceDN/>
        <w:bidi w:val="0"/>
        <w:spacing w:line="600" w:lineRule="exact"/>
        <w:ind w:firstLine="600" w:firstLineChars="200"/>
        <w:jc w:val="both"/>
        <w:rPr>
          <w:rFonts w:ascii="仿宋_GB2312" w:hAnsi="宋体" w:eastAsia="仿宋_GB2312" w:cs="Arial"/>
          <w:kern w:val="0"/>
          <w:sz w:val="30"/>
          <w:szCs w:val="30"/>
        </w:rPr>
      </w:pPr>
      <w:r>
        <w:rPr>
          <w:rFonts w:hint="eastAsia" w:ascii="仿宋_GB2312" w:hAnsi="宋体" w:eastAsia="仿宋_GB2312" w:cs="Arial"/>
          <w:kern w:val="0"/>
          <w:sz w:val="30"/>
          <w:szCs w:val="30"/>
        </w:rPr>
        <w:t>离退休人员</w:t>
      </w:r>
      <w:r>
        <w:rPr>
          <w:rFonts w:hint="eastAsia" w:ascii="仿宋_GB2312" w:eastAsia="仿宋_GB2312"/>
          <w:sz w:val="30"/>
          <w:szCs w:val="30"/>
          <w:lang w:val="en-US" w:eastAsia="zh-CN"/>
        </w:rPr>
        <w:t>21</w:t>
      </w:r>
      <w:r>
        <w:rPr>
          <w:rFonts w:hint="eastAsia" w:ascii="仿宋_GB2312" w:hAnsi="宋体" w:eastAsia="仿宋_GB2312" w:cs="Arial"/>
          <w:kern w:val="0"/>
          <w:sz w:val="30"/>
          <w:szCs w:val="30"/>
        </w:rPr>
        <w:t>人。其中：离休</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人，退休</w:t>
      </w:r>
      <w:r>
        <w:rPr>
          <w:rFonts w:hint="eastAsia" w:ascii="仿宋_GB2312" w:eastAsia="仿宋_GB2312"/>
          <w:sz w:val="30"/>
          <w:szCs w:val="30"/>
          <w:lang w:val="en-US" w:eastAsia="zh-CN"/>
        </w:rPr>
        <w:t>21</w:t>
      </w:r>
      <w:r>
        <w:rPr>
          <w:rFonts w:hint="eastAsia" w:ascii="仿宋_GB2312" w:hAnsi="宋体" w:eastAsia="仿宋_GB2312" w:cs="Arial"/>
          <w:kern w:val="0"/>
          <w:sz w:val="30"/>
          <w:szCs w:val="30"/>
        </w:rPr>
        <w:t>人。</w:t>
      </w:r>
    </w:p>
    <w:p>
      <w:pPr>
        <w:keepNext w:val="0"/>
        <w:keepLines w:val="0"/>
        <w:pageBreakBefore w:val="0"/>
        <w:kinsoku/>
        <w:wordWrap/>
        <w:overflowPunct/>
        <w:topLinePunct w:val="0"/>
        <w:autoSpaceDE/>
        <w:autoSpaceDN/>
        <w:bidi w:val="0"/>
        <w:spacing w:line="600" w:lineRule="exact"/>
        <w:ind w:firstLine="600" w:firstLineChars="200"/>
        <w:jc w:val="both"/>
        <w:rPr>
          <w:rFonts w:ascii="仿宋_GB2312" w:eastAsia="仿宋_GB2312"/>
          <w:color w:val="FF0000"/>
          <w:sz w:val="30"/>
          <w:szCs w:val="30"/>
        </w:rPr>
      </w:pPr>
      <w:r>
        <w:rPr>
          <w:rFonts w:hint="eastAsia" w:ascii="仿宋_GB2312" w:hAnsi="宋体" w:eastAsia="仿宋_GB2312" w:cs="Arial"/>
          <w:kern w:val="0"/>
          <w:sz w:val="30"/>
          <w:szCs w:val="30"/>
        </w:rPr>
        <w:t>实有车辆编制</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辆，在编实有车辆</w:t>
      </w:r>
      <w:r>
        <w:rPr>
          <w:rFonts w:hint="eastAsia" w:ascii="仿宋_GB2312" w:eastAsia="仿宋_GB2312"/>
          <w:sz w:val="30"/>
          <w:szCs w:val="30"/>
          <w:lang w:val="en-US" w:eastAsia="zh-CN"/>
        </w:rPr>
        <w:t>0</w:t>
      </w:r>
      <w:r>
        <w:rPr>
          <w:rFonts w:hint="eastAsia" w:ascii="仿宋_GB2312" w:hAnsi="宋体" w:eastAsia="仿宋_GB2312" w:cs="Arial"/>
          <w:kern w:val="0"/>
          <w:sz w:val="30"/>
          <w:szCs w:val="30"/>
        </w:rPr>
        <w:t>辆。</w:t>
      </w:r>
    </w:p>
    <w:p>
      <w:pPr>
        <w:keepNext w:val="0"/>
        <w:keepLines w:val="0"/>
        <w:pageBreakBefore w:val="0"/>
        <w:kinsoku/>
        <w:wordWrap/>
        <w:overflowPunct/>
        <w:topLinePunct w:val="0"/>
        <w:autoSpaceDE/>
        <w:autoSpaceDN/>
        <w:bidi w:val="0"/>
        <w:spacing w:line="600" w:lineRule="exact"/>
        <w:ind w:firstLine="600" w:firstLineChars="200"/>
        <w:jc w:val="both"/>
        <w:rPr>
          <w:rFonts w:ascii="仿宋_GB2312" w:hAnsi="宋体" w:eastAsia="仿宋_GB2312" w:cs="Arial"/>
          <w:color w:val="FF0000"/>
          <w:kern w:val="0"/>
          <w:sz w:val="30"/>
          <w:szCs w:val="30"/>
        </w:rPr>
      </w:pPr>
    </w:p>
    <w:p>
      <w:pPr>
        <w:keepNext w:val="0"/>
        <w:keepLines w:val="0"/>
        <w:pageBreakBefore w:val="0"/>
        <w:kinsoku/>
        <w:wordWrap/>
        <w:overflowPunct/>
        <w:topLinePunct w:val="0"/>
        <w:autoSpaceDE/>
        <w:autoSpaceDN/>
        <w:bidi w:val="0"/>
        <w:jc w:val="center"/>
        <w:rPr>
          <w:rFonts w:ascii="黑体" w:hAnsi="黑体" w:eastAsia="黑体"/>
          <w:sz w:val="32"/>
          <w:szCs w:val="32"/>
        </w:rPr>
      </w:pPr>
      <w:r>
        <w:rPr>
          <w:rFonts w:hint="eastAsia" w:ascii="黑体" w:hAnsi="黑体" w:eastAsia="黑体"/>
          <w:sz w:val="32"/>
          <w:szCs w:val="32"/>
        </w:rPr>
        <w:t>第二部分  2021年度部门决算表</w:t>
      </w:r>
    </w:p>
    <w:p>
      <w:pPr>
        <w:keepNext w:val="0"/>
        <w:keepLines w:val="0"/>
        <w:pageBreakBefore w:val="0"/>
        <w:kinsoku/>
        <w:wordWrap/>
        <w:overflowPunct/>
        <w:topLinePunct w:val="0"/>
        <w:autoSpaceDE/>
        <w:autoSpaceDN/>
        <w:bidi w:val="0"/>
        <w:spacing w:line="600" w:lineRule="exact"/>
        <w:ind w:firstLine="600" w:firstLineChars="200"/>
        <w:jc w:val="center"/>
        <w:rPr>
          <w:rFonts w:ascii="仿宋_GB2312" w:eastAsia="仿宋_GB2312"/>
          <w:sz w:val="30"/>
          <w:szCs w:val="30"/>
        </w:rPr>
      </w:pPr>
      <w:r>
        <w:rPr>
          <w:rFonts w:hint="eastAsia" w:ascii="仿宋_GB2312" w:eastAsia="仿宋_GB2312"/>
          <w:sz w:val="30"/>
          <w:szCs w:val="30"/>
        </w:rPr>
        <w:t>（详见附件）</w:t>
      </w:r>
    </w:p>
    <w:p>
      <w:pPr>
        <w:keepNext w:val="0"/>
        <w:keepLines w:val="0"/>
        <w:pageBreakBefore w:val="0"/>
        <w:kinsoku/>
        <w:wordWrap/>
        <w:overflowPunct/>
        <w:topLinePunct w:val="0"/>
        <w:autoSpaceDE/>
        <w:autoSpaceDN/>
        <w:bidi w:val="0"/>
        <w:spacing w:line="600" w:lineRule="exact"/>
        <w:ind w:firstLine="600" w:firstLineChars="200"/>
        <w:jc w:val="both"/>
        <w:rPr>
          <w:rFonts w:ascii="仿宋_GB2312" w:eastAsia="仿宋_GB2312"/>
          <w:sz w:val="30"/>
          <w:szCs w:val="30"/>
        </w:rPr>
      </w:pPr>
      <w:r>
        <w:rPr>
          <w:rFonts w:hint="eastAsia" w:eastAsia="仿宋_GB2312"/>
          <w:sz w:val="30"/>
          <w:szCs w:val="30"/>
        </w:rPr>
        <w:t xml:space="preserve"> 昆明市西山区供销合作社联合社没有政府性基金收入支出，也没有国有资本经营预算财政拨款收入支出，故《政府性基金预算财政拨款收入支出决算表》和《国有资本经营预算财政拨款收入支出决算表》无数据。</w:t>
      </w:r>
    </w:p>
    <w:p>
      <w:pPr>
        <w:keepNext w:val="0"/>
        <w:keepLines w:val="0"/>
        <w:pageBreakBefore w:val="0"/>
        <w:kinsoku/>
        <w:wordWrap/>
        <w:overflowPunct/>
        <w:topLinePunct w:val="0"/>
        <w:autoSpaceDE/>
        <w:autoSpaceDN/>
        <w:bidi w:val="0"/>
        <w:spacing w:line="600" w:lineRule="exact"/>
        <w:ind w:firstLine="600" w:firstLineChars="200"/>
        <w:jc w:val="both"/>
        <w:rPr>
          <w:rFonts w:ascii="仿宋_GB2312" w:eastAsia="仿宋_GB2312"/>
          <w:sz w:val="30"/>
          <w:szCs w:val="30"/>
        </w:rPr>
      </w:pPr>
    </w:p>
    <w:p>
      <w:pPr>
        <w:keepNext w:val="0"/>
        <w:keepLines w:val="0"/>
        <w:pageBreakBefore w:val="0"/>
        <w:kinsoku/>
        <w:wordWrap/>
        <w:overflowPunct/>
        <w:topLinePunct w:val="0"/>
        <w:autoSpaceDE/>
        <w:autoSpaceDN/>
        <w:bidi w:val="0"/>
        <w:jc w:val="center"/>
        <w:rPr>
          <w:rFonts w:ascii="黑体" w:hAnsi="黑体" w:eastAsia="黑体"/>
          <w:sz w:val="32"/>
          <w:szCs w:val="32"/>
        </w:rPr>
      </w:pPr>
      <w:r>
        <w:rPr>
          <w:rFonts w:hint="eastAsia" w:ascii="黑体" w:hAnsi="黑体" w:eastAsia="黑体"/>
          <w:sz w:val="32"/>
          <w:szCs w:val="32"/>
        </w:rPr>
        <w:t>第三部分  2021年度部门决算情况说明</w:t>
      </w:r>
    </w:p>
    <w:p>
      <w:pPr>
        <w:keepNext w:val="0"/>
        <w:keepLines w:val="0"/>
        <w:pageBreakBefore w:val="0"/>
        <w:kinsoku/>
        <w:wordWrap/>
        <w:overflowPunct/>
        <w:topLinePunct w:val="0"/>
        <w:autoSpaceDE/>
        <w:autoSpaceDN/>
        <w:bidi w:val="0"/>
        <w:ind w:firstLine="600" w:firstLineChars="200"/>
        <w:jc w:val="both"/>
        <w:rPr>
          <w:rFonts w:ascii="黑体" w:hAnsi="黑体" w:eastAsia="黑体"/>
          <w:sz w:val="30"/>
          <w:szCs w:val="30"/>
        </w:rPr>
      </w:pPr>
      <w:r>
        <w:rPr>
          <w:rFonts w:hint="eastAsia" w:ascii="黑体" w:hAnsi="黑体" w:eastAsia="黑体"/>
          <w:sz w:val="30"/>
          <w:szCs w:val="30"/>
        </w:rPr>
        <w:t>一、收入决算情况说明</w:t>
      </w:r>
    </w:p>
    <w:p>
      <w:pPr>
        <w:keepNext w:val="0"/>
        <w:keepLines w:val="0"/>
        <w:pageBreakBefore w:val="0"/>
        <w:widowControl/>
        <w:kinsoku/>
        <w:wordWrap/>
        <w:overflowPunct/>
        <w:topLinePunct w:val="0"/>
        <w:autoSpaceDE/>
        <w:autoSpaceDN/>
        <w:bidi w:val="0"/>
        <w:snapToGrid w:val="0"/>
        <w:spacing w:before="100" w:after="100" w:line="600" w:lineRule="exact"/>
        <w:ind w:firstLine="538"/>
        <w:jc w:val="both"/>
        <w:rPr>
          <w:rFonts w:ascii="仿宋_GB2312" w:hAnsi="宋体" w:eastAsia="仿宋_GB2312" w:cs="Arial"/>
          <w:color w:val="FF0000"/>
          <w:kern w:val="0"/>
          <w:sz w:val="30"/>
          <w:szCs w:val="30"/>
        </w:rPr>
      </w:pPr>
      <w:r>
        <w:rPr>
          <w:rFonts w:hint="eastAsia" w:ascii="仿宋_GB2312" w:eastAsia="仿宋_GB2312"/>
          <w:sz w:val="30"/>
          <w:szCs w:val="30"/>
        </w:rPr>
        <w:t>昆明市西山区供销合作社联合社2021年度收入合计281.24万元。其中：财政拨款收入281.24万元，占总收入的</w:t>
      </w:r>
      <w:r>
        <w:rPr>
          <w:rFonts w:hint="eastAsia" w:ascii="仿宋_GB2312" w:eastAsia="仿宋_GB2312"/>
          <w:sz w:val="30"/>
          <w:szCs w:val="30"/>
          <w:lang w:val="en-US" w:eastAsia="zh-CN"/>
        </w:rPr>
        <w:t>100</w:t>
      </w:r>
      <w:r>
        <w:rPr>
          <w:rFonts w:hint="eastAsia" w:ascii="仿宋_GB2312" w:eastAsia="仿宋_GB2312"/>
          <w:sz w:val="30"/>
          <w:szCs w:val="30"/>
        </w:rPr>
        <w:t>%；上级补助收入</w:t>
      </w:r>
      <w:r>
        <w:rPr>
          <w:rFonts w:hint="eastAsia" w:ascii="仿宋_GB2312" w:eastAsia="仿宋_GB2312"/>
          <w:sz w:val="30"/>
          <w:szCs w:val="30"/>
          <w:lang w:val="en-US" w:eastAsia="zh-CN"/>
        </w:rPr>
        <w:t>0</w:t>
      </w:r>
      <w:r>
        <w:rPr>
          <w:rFonts w:hint="eastAsia" w:ascii="仿宋_GB2312" w:eastAsia="仿宋_GB2312"/>
          <w:sz w:val="30"/>
          <w:szCs w:val="30"/>
        </w:rPr>
        <w:t>万元，占总收入的</w:t>
      </w:r>
      <w:r>
        <w:rPr>
          <w:rFonts w:hint="eastAsia" w:ascii="仿宋_GB2312" w:eastAsia="仿宋_GB2312"/>
          <w:sz w:val="30"/>
          <w:szCs w:val="30"/>
          <w:lang w:val="en-US" w:eastAsia="zh-CN"/>
        </w:rPr>
        <w:t>0</w:t>
      </w:r>
      <w:r>
        <w:rPr>
          <w:rFonts w:hint="eastAsia" w:ascii="仿宋_GB2312" w:eastAsia="仿宋_GB2312"/>
          <w:sz w:val="30"/>
          <w:szCs w:val="30"/>
        </w:rPr>
        <w:t>%；事业收入</w:t>
      </w:r>
      <w:r>
        <w:rPr>
          <w:rFonts w:hint="eastAsia" w:ascii="仿宋_GB2312" w:eastAsia="仿宋_GB2312"/>
          <w:sz w:val="30"/>
          <w:szCs w:val="30"/>
          <w:lang w:val="en-US" w:eastAsia="zh-CN"/>
        </w:rPr>
        <w:t>0</w:t>
      </w:r>
      <w:r>
        <w:rPr>
          <w:rFonts w:hint="eastAsia" w:ascii="仿宋_GB2312" w:eastAsia="仿宋_GB2312"/>
          <w:sz w:val="30"/>
          <w:szCs w:val="30"/>
        </w:rPr>
        <w:t>万元（含教育收费</w:t>
      </w:r>
      <w:r>
        <w:rPr>
          <w:rFonts w:hint="eastAsia" w:ascii="仿宋_GB2312" w:eastAsia="仿宋_GB2312"/>
          <w:sz w:val="30"/>
          <w:szCs w:val="30"/>
          <w:lang w:val="en-US" w:eastAsia="zh-CN"/>
        </w:rPr>
        <w:t>0</w:t>
      </w:r>
      <w:r>
        <w:rPr>
          <w:rFonts w:hint="eastAsia" w:ascii="仿宋_GB2312" w:eastAsia="仿宋_GB2312"/>
          <w:sz w:val="30"/>
          <w:szCs w:val="30"/>
        </w:rPr>
        <w:t>万元），占总收入的</w:t>
      </w:r>
      <w:r>
        <w:rPr>
          <w:rFonts w:hint="eastAsia" w:ascii="仿宋_GB2312" w:eastAsia="仿宋_GB2312"/>
          <w:sz w:val="30"/>
          <w:szCs w:val="30"/>
          <w:lang w:val="en-US" w:eastAsia="zh-CN"/>
        </w:rPr>
        <w:t>0</w:t>
      </w:r>
      <w:r>
        <w:rPr>
          <w:rFonts w:hint="eastAsia" w:ascii="仿宋_GB2312" w:eastAsia="仿宋_GB2312"/>
          <w:sz w:val="30"/>
          <w:szCs w:val="30"/>
        </w:rPr>
        <w:t>%；经营收入</w:t>
      </w:r>
      <w:r>
        <w:rPr>
          <w:rFonts w:hint="eastAsia" w:ascii="仿宋_GB2312" w:eastAsia="仿宋_GB2312"/>
          <w:sz w:val="30"/>
          <w:szCs w:val="30"/>
          <w:lang w:val="en-US" w:eastAsia="zh-CN"/>
        </w:rPr>
        <w:t>0</w:t>
      </w:r>
      <w:r>
        <w:rPr>
          <w:rFonts w:hint="eastAsia" w:ascii="仿宋_GB2312" w:eastAsia="仿宋_GB2312"/>
          <w:sz w:val="30"/>
          <w:szCs w:val="30"/>
        </w:rPr>
        <w:t>万元，占总收入的</w:t>
      </w:r>
      <w:r>
        <w:rPr>
          <w:rFonts w:hint="eastAsia" w:ascii="仿宋_GB2312" w:eastAsia="仿宋_GB2312"/>
          <w:sz w:val="30"/>
          <w:szCs w:val="30"/>
          <w:lang w:val="en-US" w:eastAsia="zh-CN"/>
        </w:rPr>
        <w:t>0</w:t>
      </w:r>
      <w:r>
        <w:rPr>
          <w:rFonts w:hint="eastAsia" w:ascii="仿宋_GB2312" w:eastAsia="仿宋_GB2312"/>
          <w:sz w:val="30"/>
          <w:szCs w:val="30"/>
        </w:rPr>
        <w:t>%；附属单位缴款收入</w:t>
      </w:r>
      <w:r>
        <w:rPr>
          <w:rFonts w:hint="eastAsia" w:ascii="仿宋_GB2312" w:eastAsia="仿宋_GB2312"/>
          <w:sz w:val="30"/>
          <w:szCs w:val="30"/>
          <w:lang w:val="en-US" w:eastAsia="zh-CN"/>
        </w:rPr>
        <w:t>0</w:t>
      </w:r>
      <w:r>
        <w:rPr>
          <w:rFonts w:hint="eastAsia" w:ascii="仿宋_GB2312" w:eastAsia="仿宋_GB2312"/>
          <w:sz w:val="30"/>
          <w:szCs w:val="30"/>
        </w:rPr>
        <w:t>万元，占总收入的</w:t>
      </w:r>
      <w:r>
        <w:rPr>
          <w:rFonts w:hint="eastAsia" w:ascii="仿宋_GB2312" w:eastAsia="仿宋_GB2312"/>
          <w:sz w:val="30"/>
          <w:szCs w:val="30"/>
          <w:lang w:val="en-US" w:eastAsia="zh-CN"/>
        </w:rPr>
        <w:t>0</w:t>
      </w:r>
      <w:r>
        <w:rPr>
          <w:rFonts w:hint="eastAsia" w:ascii="仿宋_GB2312" w:eastAsia="仿宋_GB2312"/>
          <w:sz w:val="30"/>
          <w:szCs w:val="30"/>
        </w:rPr>
        <w:t>%；其他收入</w:t>
      </w:r>
      <w:r>
        <w:rPr>
          <w:rFonts w:hint="eastAsia" w:ascii="仿宋_GB2312" w:eastAsia="仿宋_GB2312"/>
          <w:sz w:val="30"/>
          <w:szCs w:val="30"/>
          <w:lang w:val="en-US" w:eastAsia="zh-CN"/>
        </w:rPr>
        <w:t>0</w:t>
      </w:r>
      <w:r>
        <w:rPr>
          <w:rFonts w:hint="eastAsia" w:ascii="仿宋_GB2312" w:eastAsia="仿宋_GB2312"/>
          <w:sz w:val="30"/>
          <w:szCs w:val="30"/>
        </w:rPr>
        <w:t>万元，占总收入的</w:t>
      </w:r>
      <w:r>
        <w:rPr>
          <w:rFonts w:hint="eastAsia" w:ascii="仿宋_GB2312" w:eastAsia="仿宋_GB2312"/>
          <w:sz w:val="30"/>
          <w:szCs w:val="30"/>
          <w:lang w:val="en-US" w:eastAsia="zh-CN"/>
        </w:rPr>
        <w:t>0</w:t>
      </w:r>
      <w:r>
        <w:rPr>
          <w:rFonts w:hint="eastAsia" w:ascii="仿宋_GB2312" w:eastAsia="仿宋_GB2312"/>
          <w:sz w:val="30"/>
          <w:szCs w:val="30"/>
        </w:rPr>
        <w:t>%。与上年对比，</w:t>
      </w:r>
      <w:r>
        <w:rPr>
          <w:rFonts w:hint="eastAsia" w:ascii="仿宋_GB2312" w:eastAsia="仿宋_GB2312"/>
          <w:sz w:val="30"/>
          <w:szCs w:val="30"/>
          <w:lang w:val="en-US" w:eastAsia="zh-CN"/>
        </w:rPr>
        <w:t>减少</w:t>
      </w:r>
      <w:r>
        <w:rPr>
          <w:rFonts w:hint="eastAsia" w:ascii="仿宋_GB2312" w:eastAsia="仿宋_GB2312"/>
          <w:sz w:val="30"/>
          <w:szCs w:val="30"/>
        </w:rPr>
        <w:t>31.03万元，主要原因是本年1月份退休工勤人员2人，故财政拨款</w:t>
      </w:r>
      <w:r>
        <w:rPr>
          <w:rFonts w:hint="eastAsia" w:ascii="仿宋_GB2312" w:eastAsia="仿宋_GB2312"/>
          <w:sz w:val="30"/>
          <w:szCs w:val="30"/>
          <w:lang w:val="en-US" w:eastAsia="zh-CN"/>
        </w:rPr>
        <w:t>人员经费</w:t>
      </w:r>
      <w:r>
        <w:rPr>
          <w:rFonts w:hint="eastAsia" w:ascii="仿宋_GB2312" w:eastAsia="仿宋_GB2312"/>
          <w:sz w:val="30"/>
          <w:szCs w:val="30"/>
        </w:rPr>
        <w:t>较上年减少。</w:t>
      </w:r>
    </w:p>
    <w:p>
      <w:pPr>
        <w:keepNext w:val="0"/>
        <w:keepLines w:val="0"/>
        <w:pageBreakBefore w:val="0"/>
        <w:kinsoku/>
        <w:wordWrap/>
        <w:overflowPunct/>
        <w:topLinePunct w:val="0"/>
        <w:autoSpaceDE/>
        <w:autoSpaceDN/>
        <w:bidi w:val="0"/>
        <w:ind w:firstLine="600" w:firstLineChars="200"/>
        <w:jc w:val="both"/>
        <w:rPr>
          <w:rFonts w:ascii="黑体" w:hAnsi="黑体" w:eastAsia="黑体"/>
          <w:sz w:val="30"/>
          <w:szCs w:val="30"/>
        </w:rPr>
      </w:pPr>
      <w:r>
        <w:rPr>
          <w:rFonts w:hint="eastAsia" w:ascii="黑体" w:hAnsi="黑体" w:eastAsia="黑体"/>
          <w:sz w:val="30"/>
          <w:szCs w:val="30"/>
        </w:rPr>
        <w:t>二、支出决算情况说明</w:t>
      </w:r>
    </w:p>
    <w:p>
      <w:pPr>
        <w:keepNext w:val="0"/>
        <w:keepLines w:val="0"/>
        <w:pageBreakBefore w:val="0"/>
        <w:kinsoku/>
        <w:wordWrap/>
        <w:overflowPunct/>
        <w:topLinePunct w:val="0"/>
        <w:autoSpaceDE/>
        <w:autoSpaceDN/>
        <w:bidi w:val="0"/>
        <w:spacing w:line="600" w:lineRule="exact"/>
        <w:ind w:firstLine="600" w:firstLineChars="200"/>
        <w:jc w:val="both"/>
        <w:rPr>
          <w:rFonts w:hint="default" w:ascii="仿宋_GB2312" w:eastAsia="仿宋_GB2312"/>
          <w:sz w:val="30"/>
          <w:szCs w:val="30"/>
          <w:lang w:val="en-US" w:eastAsia="zh-CN"/>
        </w:rPr>
      </w:pPr>
      <w:r>
        <w:rPr>
          <w:rFonts w:hint="eastAsia" w:ascii="仿宋_GB2312" w:eastAsia="仿宋_GB2312"/>
          <w:sz w:val="30"/>
          <w:szCs w:val="30"/>
        </w:rPr>
        <w:t>昆明市西山区供销合作社联合社2021年度支出合计274.80万元。其中：基本支出266.18万元，占总支出的</w:t>
      </w:r>
      <w:r>
        <w:rPr>
          <w:rFonts w:hint="eastAsia" w:ascii="仿宋_GB2312" w:eastAsia="仿宋_GB2312"/>
          <w:sz w:val="30"/>
          <w:szCs w:val="30"/>
          <w:lang w:val="en-US" w:eastAsia="zh-CN"/>
        </w:rPr>
        <w:t>96.86</w:t>
      </w:r>
      <w:r>
        <w:rPr>
          <w:rFonts w:hint="eastAsia" w:ascii="仿宋_GB2312" w:eastAsia="仿宋_GB2312"/>
          <w:sz w:val="30"/>
          <w:szCs w:val="30"/>
        </w:rPr>
        <w:t>％；项目支出8.62万元，占总支出的</w:t>
      </w:r>
      <w:r>
        <w:rPr>
          <w:rFonts w:hint="eastAsia" w:ascii="仿宋_GB2312" w:eastAsia="仿宋_GB2312"/>
          <w:sz w:val="30"/>
          <w:szCs w:val="30"/>
          <w:lang w:val="en-US" w:eastAsia="zh-CN"/>
        </w:rPr>
        <w:t>3.14</w:t>
      </w:r>
      <w:r>
        <w:rPr>
          <w:rFonts w:hint="eastAsia" w:ascii="仿宋_GB2312" w:eastAsia="仿宋_GB2312"/>
          <w:sz w:val="30"/>
          <w:szCs w:val="30"/>
        </w:rPr>
        <w:t>％；上缴上级支出、经营支出、对附属单位补助支出共</w:t>
      </w:r>
      <w:r>
        <w:rPr>
          <w:rFonts w:hint="eastAsia" w:ascii="仿宋_GB2312" w:eastAsia="仿宋_GB2312"/>
          <w:sz w:val="30"/>
          <w:szCs w:val="30"/>
          <w:lang w:val="en-US" w:eastAsia="zh-CN"/>
        </w:rPr>
        <w:t>0</w:t>
      </w:r>
      <w:r>
        <w:rPr>
          <w:rFonts w:hint="eastAsia" w:ascii="仿宋_GB2312" w:eastAsia="仿宋_GB2312"/>
          <w:sz w:val="30"/>
          <w:szCs w:val="30"/>
        </w:rPr>
        <w:t>万元，占总支出的</w:t>
      </w:r>
      <w:r>
        <w:rPr>
          <w:rFonts w:hint="eastAsia" w:ascii="仿宋_GB2312" w:eastAsia="仿宋_GB2312"/>
          <w:sz w:val="30"/>
          <w:szCs w:val="30"/>
          <w:lang w:val="en-US" w:eastAsia="zh-CN"/>
        </w:rPr>
        <w:t>0</w:t>
      </w:r>
      <w:r>
        <w:rPr>
          <w:rFonts w:hint="eastAsia" w:ascii="仿宋_GB2312" w:eastAsia="仿宋_GB2312"/>
          <w:sz w:val="30"/>
          <w:szCs w:val="30"/>
        </w:rPr>
        <w:t>％。与上年对比，减少25.89万元，主要原因是1月份退休工勤人员2人，故财政拨款</w:t>
      </w:r>
      <w:r>
        <w:rPr>
          <w:rFonts w:hint="eastAsia" w:ascii="仿宋_GB2312" w:eastAsia="仿宋_GB2312"/>
          <w:sz w:val="30"/>
          <w:szCs w:val="30"/>
          <w:lang w:val="en-US" w:eastAsia="zh-CN"/>
        </w:rPr>
        <w:t>人员经费</w:t>
      </w:r>
      <w:r>
        <w:rPr>
          <w:rFonts w:hint="eastAsia" w:ascii="仿宋_GB2312" w:eastAsia="仿宋_GB2312"/>
          <w:sz w:val="30"/>
          <w:szCs w:val="30"/>
        </w:rPr>
        <w:t>较上年减少</w:t>
      </w:r>
      <w:r>
        <w:rPr>
          <w:rFonts w:hint="eastAsia" w:ascii="仿宋_GB2312" w:eastAsia="仿宋_GB2312"/>
          <w:sz w:val="30"/>
          <w:szCs w:val="30"/>
          <w:lang w:val="en-US" w:eastAsia="zh-CN"/>
        </w:rPr>
        <w:t>14.41万元；</w:t>
      </w:r>
      <w:r>
        <w:rPr>
          <w:rFonts w:hint="eastAsia" w:ascii="仿宋_GB2312" w:eastAsia="仿宋_GB2312"/>
          <w:sz w:val="30"/>
          <w:szCs w:val="30"/>
        </w:rPr>
        <w:t>财政拨款项目</w:t>
      </w:r>
      <w:r>
        <w:rPr>
          <w:rFonts w:hint="eastAsia" w:ascii="仿宋_GB2312" w:eastAsia="仿宋_GB2312"/>
          <w:sz w:val="30"/>
          <w:szCs w:val="30"/>
          <w:lang w:val="en-US" w:eastAsia="zh-CN"/>
        </w:rPr>
        <w:t>经费减少11.48万元，详细减少情况为1.</w:t>
      </w:r>
      <w:r>
        <w:rPr>
          <w:rFonts w:hint="eastAsia" w:ascii="仿宋_GB2312" w:eastAsia="仿宋_GB2312"/>
          <w:sz w:val="30"/>
          <w:szCs w:val="30"/>
        </w:rPr>
        <w:t>社区、两新党员教育培训工作经费</w:t>
      </w:r>
      <w:r>
        <w:rPr>
          <w:rFonts w:hint="eastAsia" w:ascii="仿宋_GB2312" w:eastAsia="仿宋_GB2312"/>
          <w:sz w:val="30"/>
          <w:szCs w:val="30"/>
          <w:lang w:val="en-US" w:eastAsia="zh-CN"/>
        </w:rPr>
        <w:t>减少0.08万元。2.2021年农产品经纪人教育专项资金减少1.4万元。3.农民专业合作社示范社建设市级扶持资金减少10万元。</w:t>
      </w:r>
    </w:p>
    <w:p>
      <w:pPr>
        <w:keepNext w:val="0"/>
        <w:keepLines w:val="0"/>
        <w:pageBreakBefore w:val="0"/>
        <w:widowControl/>
        <w:kinsoku/>
        <w:wordWrap/>
        <w:overflowPunct/>
        <w:topLinePunct w:val="0"/>
        <w:autoSpaceDE/>
        <w:autoSpaceDN/>
        <w:bidi w:val="0"/>
        <w:snapToGrid w:val="0"/>
        <w:spacing w:before="100" w:after="100" w:line="600" w:lineRule="exact"/>
        <w:ind w:firstLine="600" w:firstLineChars="200"/>
        <w:jc w:val="both"/>
        <w:rPr>
          <w:rFonts w:ascii="楷体" w:hAnsi="楷体" w:eastAsia="楷体"/>
          <w:sz w:val="30"/>
          <w:szCs w:val="30"/>
        </w:rPr>
      </w:pPr>
      <w:r>
        <w:rPr>
          <w:rFonts w:hint="eastAsia" w:ascii="楷体" w:hAnsi="楷体" w:eastAsia="楷体"/>
          <w:sz w:val="30"/>
          <w:szCs w:val="30"/>
        </w:rPr>
        <w:t>（一）基本支出情况</w:t>
      </w:r>
    </w:p>
    <w:p>
      <w:pPr>
        <w:keepNext w:val="0"/>
        <w:keepLines w:val="0"/>
        <w:pageBreakBefore w:val="0"/>
        <w:widowControl/>
        <w:kinsoku/>
        <w:wordWrap/>
        <w:overflowPunct/>
        <w:topLinePunct w:val="0"/>
        <w:autoSpaceDE/>
        <w:autoSpaceDN/>
        <w:bidi w:val="0"/>
        <w:snapToGrid w:val="0"/>
        <w:spacing w:before="100" w:after="100" w:line="600" w:lineRule="exact"/>
        <w:ind w:firstLine="538"/>
        <w:jc w:val="both"/>
        <w:rPr>
          <w:rFonts w:hint="eastAsia" w:ascii="仿宋_GB2312" w:eastAsia="仿宋_GB2312"/>
          <w:sz w:val="30"/>
          <w:szCs w:val="30"/>
        </w:rPr>
      </w:pPr>
      <w:r>
        <w:rPr>
          <w:rFonts w:hint="eastAsia" w:ascii="仿宋_GB2312" w:eastAsia="仿宋_GB2312"/>
          <w:sz w:val="30"/>
          <w:szCs w:val="30"/>
        </w:rPr>
        <w:t>2021年度用于保障昆明市西山区供销合作社联合社机关、下属事业单位等机构正常运转的日常支出266.18万元。与上年对比</w:t>
      </w:r>
      <w:r>
        <w:rPr>
          <w:rFonts w:hint="eastAsia" w:ascii="仿宋_GB2312" w:eastAsia="仿宋_GB2312"/>
          <w:sz w:val="30"/>
          <w:szCs w:val="30"/>
          <w:lang w:val="en-US" w:eastAsia="zh-CN"/>
        </w:rPr>
        <w:t>减少14.41</w:t>
      </w:r>
      <w:r>
        <w:rPr>
          <w:rFonts w:hint="eastAsia" w:ascii="仿宋_GB2312" w:eastAsia="仿宋_GB2312"/>
          <w:sz w:val="30"/>
          <w:szCs w:val="30"/>
        </w:rPr>
        <w:t>万元，</w:t>
      </w:r>
      <w:r>
        <w:rPr>
          <w:rFonts w:hint="eastAsia" w:ascii="仿宋_GB2312" w:eastAsia="仿宋_GB2312"/>
          <w:sz w:val="30"/>
          <w:szCs w:val="30"/>
          <w:lang w:val="en-US" w:eastAsia="zh-CN"/>
        </w:rPr>
        <w:t>下降5.41</w:t>
      </w:r>
      <w:r>
        <w:rPr>
          <w:rFonts w:hint="eastAsia" w:ascii="仿宋_GB2312" w:eastAsia="仿宋_GB2312"/>
          <w:sz w:val="30"/>
          <w:szCs w:val="30"/>
        </w:rPr>
        <w:t>％，主要原因是1月份退休工勤人员2人，故财政拨款</w:t>
      </w:r>
      <w:r>
        <w:rPr>
          <w:rFonts w:hint="eastAsia" w:ascii="仿宋_GB2312" w:eastAsia="仿宋_GB2312"/>
          <w:sz w:val="30"/>
          <w:szCs w:val="30"/>
          <w:lang w:val="en-US" w:eastAsia="zh-CN"/>
        </w:rPr>
        <w:t>人员经费减少</w:t>
      </w:r>
      <w:r>
        <w:rPr>
          <w:rFonts w:hint="eastAsia" w:ascii="仿宋_GB2312" w:eastAsia="仿宋_GB2312"/>
          <w:sz w:val="30"/>
          <w:szCs w:val="30"/>
        </w:rPr>
        <w:t>。其中：基本工资、津贴补贴等人员经费支出</w:t>
      </w:r>
      <w:r>
        <w:rPr>
          <w:rFonts w:hint="eastAsia" w:ascii="仿宋_GB2312" w:eastAsia="仿宋_GB2312"/>
          <w:sz w:val="30"/>
          <w:szCs w:val="30"/>
          <w:lang w:val="en-US" w:eastAsia="zh-CN"/>
        </w:rPr>
        <w:t>235.64</w:t>
      </w:r>
      <w:r>
        <w:rPr>
          <w:rFonts w:hint="eastAsia" w:ascii="仿宋_GB2312" w:eastAsia="仿宋_GB2312"/>
          <w:sz w:val="30"/>
          <w:szCs w:val="30"/>
        </w:rPr>
        <w:t>万元，占基本支出的</w:t>
      </w:r>
      <w:r>
        <w:rPr>
          <w:rFonts w:hint="eastAsia" w:ascii="仿宋_GB2312" w:eastAsia="仿宋_GB2312"/>
          <w:sz w:val="30"/>
          <w:szCs w:val="30"/>
          <w:lang w:val="en-US" w:eastAsia="zh-CN"/>
        </w:rPr>
        <w:t>88.53</w:t>
      </w:r>
      <w:r>
        <w:rPr>
          <w:rFonts w:hint="eastAsia" w:ascii="仿宋_GB2312" w:eastAsia="仿宋_GB2312"/>
          <w:sz w:val="30"/>
          <w:szCs w:val="30"/>
        </w:rPr>
        <w:t>％；办公费、印刷费、水电费、办公设备购置等公用经费</w:t>
      </w:r>
      <w:r>
        <w:rPr>
          <w:rFonts w:hint="eastAsia" w:ascii="仿宋_GB2312" w:eastAsia="仿宋_GB2312"/>
          <w:sz w:val="30"/>
          <w:szCs w:val="30"/>
          <w:lang w:val="en-US" w:eastAsia="zh-CN"/>
        </w:rPr>
        <w:t>30.54</w:t>
      </w:r>
      <w:r>
        <w:rPr>
          <w:rFonts w:hint="eastAsia" w:ascii="仿宋_GB2312" w:eastAsia="仿宋_GB2312"/>
          <w:sz w:val="30"/>
          <w:szCs w:val="30"/>
        </w:rPr>
        <w:t>万元，占基本支出的</w:t>
      </w:r>
      <w:r>
        <w:rPr>
          <w:rFonts w:hint="eastAsia" w:ascii="仿宋_GB2312" w:eastAsia="仿宋_GB2312"/>
          <w:sz w:val="30"/>
          <w:szCs w:val="30"/>
          <w:lang w:val="en-US" w:eastAsia="zh-CN"/>
        </w:rPr>
        <w:t>11.47</w:t>
      </w:r>
      <w:r>
        <w:rPr>
          <w:rFonts w:hint="eastAsia" w:ascii="仿宋_GB2312" w:eastAsia="仿宋_GB2312"/>
          <w:sz w:val="30"/>
          <w:szCs w:val="30"/>
        </w:rPr>
        <w:t>％。</w:t>
      </w:r>
    </w:p>
    <w:p>
      <w:pPr>
        <w:keepNext w:val="0"/>
        <w:keepLines w:val="0"/>
        <w:pageBreakBefore w:val="0"/>
        <w:widowControl/>
        <w:kinsoku/>
        <w:wordWrap/>
        <w:overflowPunct/>
        <w:topLinePunct w:val="0"/>
        <w:autoSpaceDE/>
        <w:autoSpaceDN/>
        <w:bidi w:val="0"/>
        <w:snapToGrid w:val="0"/>
        <w:spacing w:before="100" w:after="100" w:line="600" w:lineRule="exact"/>
        <w:ind w:firstLine="600" w:firstLineChars="200"/>
        <w:jc w:val="both"/>
        <w:rPr>
          <w:rFonts w:ascii="楷体" w:hAnsi="楷体" w:eastAsia="楷体"/>
          <w:sz w:val="30"/>
          <w:szCs w:val="30"/>
        </w:rPr>
      </w:pPr>
      <w:r>
        <w:rPr>
          <w:rFonts w:hint="eastAsia" w:ascii="楷体" w:hAnsi="楷体" w:eastAsia="楷体"/>
          <w:sz w:val="30"/>
          <w:szCs w:val="30"/>
        </w:rPr>
        <w:t>（二）项目支出情况</w:t>
      </w:r>
    </w:p>
    <w:p>
      <w:pPr>
        <w:keepNext w:val="0"/>
        <w:keepLines w:val="0"/>
        <w:pageBreakBefore w:val="0"/>
        <w:kinsoku/>
        <w:wordWrap/>
        <w:overflowPunct/>
        <w:topLinePunct w:val="0"/>
        <w:autoSpaceDE/>
        <w:autoSpaceDN/>
        <w:bidi w:val="0"/>
        <w:spacing w:line="600" w:lineRule="exact"/>
        <w:ind w:firstLine="600" w:firstLineChars="200"/>
        <w:jc w:val="both"/>
        <w:rPr>
          <w:rFonts w:hint="default" w:ascii="仿宋_GB2312" w:eastAsia="仿宋_GB2312"/>
          <w:sz w:val="30"/>
          <w:szCs w:val="30"/>
          <w:lang w:val="en-US" w:eastAsia="zh-CN"/>
        </w:rPr>
      </w:pPr>
      <w:r>
        <w:rPr>
          <w:rFonts w:hint="eastAsia" w:ascii="仿宋_GB2312" w:eastAsia="仿宋_GB2312"/>
          <w:sz w:val="30"/>
          <w:szCs w:val="30"/>
        </w:rPr>
        <w:t>2021年度用于保障昆明市西山区供销合作社联合社机构、下属事业单位等机构为完成特定的行政工作任务或事业发展目标，用于专项业务工作的经费支出</w:t>
      </w:r>
      <w:r>
        <w:rPr>
          <w:rFonts w:hint="eastAsia" w:ascii="仿宋_GB2312" w:eastAsia="仿宋_GB2312"/>
          <w:sz w:val="30"/>
          <w:szCs w:val="30"/>
          <w:lang w:val="en-US" w:eastAsia="zh-CN"/>
        </w:rPr>
        <w:t>8.62万</w:t>
      </w:r>
      <w:r>
        <w:rPr>
          <w:rFonts w:hint="eastAsia" w:ascii="仿宋_GB2312" w:eastAsia="仿宋_GB2312"/>
          <w:sz w:val="30"/>
          <w:szCs w:val="30"/>
        </w:rPr>
        <w:t>元。与上年对比</w:t>
      </w:r>
      <w:r>
        <w:rPr>
          <w:rFonts w:hint="eastAsia" w:ascii="仿宋_GB2312" w:eastAsia="仿宋_GB2312"/>
          <w:sz w:val="30"/>
          <w:szCs w:val="30"/>
          <w:lang w:eastAsia="zh-CN"/>
        </w:rPr>
        <w:t>，</w:t>
      </w:r>
      <w:r>
        <w:rPr>
          <w:rFonts w:hint="eastAsia" w:ascii="仿宋_GB2312" w:eastAsia="仿宋_GB2312"/>
          <w:sz w:val="30"/>
          <w:szCs w:val="30"/>
          <w:lang w:val="en-US" w:eastAsia="zh-CN"/>
        </w:rPr>
        <w:t>减少11.48</w:t>
      </w:r>
      <w:r>
        <w:rPr>
          <w:rFonts w:hint="eastAsia" w:ascii="仿宋_GB2312" w:hAnsi="宋体" w:eastAsia="仿宋_GB2312" w:cs="Arial"/>
          <w:kern w:val="0"/>
          <w:sz w:val="30"/>
          <w:szCs w:val="30"/>
        </w:rPr>
        <w:t>万元</w:t>
      </w:r>
      <w:r>
        <w:rPr>
          <w:rFonts w:hint="eastAsia" w:ascii="仿宋_GB2312" w:eastAsia="仿宋_GB2312"/>
          <w:sz w:val="30"/>
          <w:szCs w:val="30"/>
        </w:rPr>
        <w:t>,</w:t>
      </w:r>
      <w:r>
        <w:rPr>
          <w:rFonts w:hint="eastAsia" w:ascii="仿宋_GB2312" w:eastAsia="仿宋_GB2312"/>
          <w:sz w:val="30"/>
          <w:szCs w:val="30"/>
          <w:lang w:val="en-US" w:eastAsia="zh-CN"/>
        </w:rPr>
        <w:t>下降133.18</w:t>
      </w:r>
      <w:r>
        <w:rPr>
          <w:rFonts w:hint="eastAsia" w:ascii="仿宋_GB2312" w:eastAsia="仿宋_GB2312"/>
          <w:sz w:val="30"/>
          <w:szCs w:val="30"/>
        </w:rPr>
        <w:t>％，主要原因是</w:t>
      </w:r>
      <w:r>
        <w:rPr>
          <w:rFonts w:hint="eastAsia" w:ascii="仿宋_GB2312" w:eastAsia="仿宋_GB2312"/>
          <w:sz w:val="30"/>
          <w:szCs w:val="30"/>
          <w:lang w:val="en-US" w:eastAsia="zh-CN"/>
        </w:rPr>
        <w:t>1.</w:t>
      </w:r>
      <w:r>
        <w:rPr>
          <w:rFonts w:hint="eastAsia" w:ascii="仿宋_GB2312" w:eastAsia="仿宋_GB2312"/>
          <w:sz w:val="30"/>
          <w:szCs w:val="30"/>
        </w:rPr>
        <w:t>社区、两新党员教育培训工作经费</w:t>
      </w:r>
      <w:r>
        <w:rPr>
          <w:rFonts w:hint="eastAsia" w:ascii="仿宋_GB2312" w:eastAsia="仿宋_GB2312"/>
          <w:sz w:val="30"/>
          <w:szCs w:val="30"/>
          <w:lang w:val="en-US" w:eastAsia="zh-CN"/>
        </w:rPr>
        <w:t>减少0.08万元。2.2021年农产品经纪人教育专项资金减少1.4万元。3.农民专业合作社示范社建设市级扶持资金减少10万元。</w:t>
      </w:r>
    </w:p>
    <w:p>
      <w:pPr>
        <w:keepNext w:val="0"/>
        <w:keepLines w:val="0"/>
        <w:pageBreakBefore w:val="0"/>
        <w:kinsoku/>
        <w:wordWrap/>
        <w:overflowPunct/>
        <w:topLinePunct w:val="0"/>
        <w:autoSpaceDE/>
        <w:autoSpaceDN/>
        <w:bidi w:val="0"/>
        <w:spacing w:line="600" w:lineRule="exact"/>
        <w:ind w:firstLine="600" w:firstLineChars="200"/>
        <w:jc w:val="both"/>
        <w:rPr>
          <w:rFonts w:hint="default" w:ascii="仿宋_GB2312" w:eastAsia="仿宋_GB2312"/>
          <w:sz w:val="30"/>
          <w:szCs w:val="30"/>
          <w:lang w:val="en-US" w:eastAsia="zh-CN"/>
        </w:rPr>
      </w:pPr>
      <w:r>
        <w:rPr>
          <w:rFonts w:hint="eastAsia" w:ascii="仿宋_GB2312" w:eastAsia="仿宋_GB2312"/>
          <w:sz w:val="30"/>
          <w:szCs w:val="30"/>
        </w:rPr>
        <w:t>具体项目开支及开展工作情况</w:t>
      </w:r>
      <w:r>
        <w:rPr>
          <w:rFonts w:hint="eastAsia" w:ascii="仿宋_GB2312" w:eastAsia="仿宋_GB2312"/>
          <w:sz w:val="30"/>
          <w:szCs w:val="30"/>
          <w:lang w:val="en-US" w:eastAsia="zh-CN"/>
        </w:rPr>
        <w:t>1.</w:t>
      </w:r>
      <w:r>
        <w:rPr>
          <w:rFonts w:hint="eastAsia" w:ascii="仿宋_GB2312" w:eastAsia="仿宋_GB2312"/>
          <w:sz w:val="30"/>
          <w:szCs w:val="30"/>
        </w:rPr>
        <w:t>社区、两新党员教育培训工作经费</w:t>
      </w:r>
      <w:r>
        <w:rPr>
          <w:rFonts w:hint="eastAsia" w:ascii="仿宋_GB2312" w:eastAsia="仿宋_GB2312"/>
          <w:sz w:val="30"/>
          <w:szCs w:val="30"/>
          <w:lang w:val="en-US" w:eastAsia="zh-CN"/>
        </w:rPr>
        <w:t>0.48万元，项目当年全部完成。2.2021年农产品经纪人教育专项资金4.2万元，项目当年全部完成。3.“两新”组织党建工作经费2.94万元，项目当年全部完成。4.新建农民专业合作社专项资金1万元，项目当年全部完成。</w:t>
      </w:r>
    </w:p>
    <w:p>
      <w:pPr>
        <w:keepNext w:val="0"/>
        <w:keepLines w:val="0"/>
        <w:pageBreakBefore w:val="0"/>
        <w:widowControl/>
        <w:kinsoku/>
        <w:wordWrap/>
        <w:overflowPunct/>
        <w:topLinePunct w:val="0"/>
        <w:autoSpaceDE/>
        <w:autoSpaceDN/>
        <w:bidi w:val="0"/>
        <w:snapToGrid w:val="0"/>
        <w:spacing w:before="100" w:after="100" w:line="600" w:lineRule="exact"/>
        <w:ind w:firstLine="600" w:firstLineChars="200"/>
        <w:jc w:val="both"/>
        <w:rPr>
          <w:rFonts w:ascii="黑体" w:hAnsi="黑体" w:eastAsia="黑体"/>
          <w:sz w:val="30"/>
          <w:szCs w:val="30"/>
        </w:rPr>
      </w:pPr>
      <w:r>
        <w:rPr>
          <w:rFonts w:hint="eastAsia" w:ascii="黑体" w:hAnsi="黑体" w:eastAsia="黑体"/>
          <w:sz w:val="30"/>
          <w:szCs w:val="30"/>
        </w:rPr>
        <w:t>三、一般公共预算财政拨款支出决算情况说明</w:t>
      </w:r>
    </w:p>
    <w:p>
      <w:pPr>
        <w:keepNext w:val="0"/>
        <w:keepLines w:val="0"/>
        <w:pageBreakBefore w:val="0"/>
        <w:widowControl/>
        <w:kinsoku/>
        <w:wordWrap/>
        <w:overflowPunct/>
        <w:topLinePunct w:val="0"/>
        <w:autoSpaceDE/>
        <w:autoSpaceDN/>
        <w:bidi w:val="0"/>
        <w:snapToGrid w:val="0"/>
        <w:spacing w:before="100" w:after="100" w:line="600" w:lineRule="exact"/>
        <w:ind w:firstLine="600" w:firstLineChars="200"/>
        <w:jc w:val="both"/>
        <w:rPr>
          <w:rFonts w:ascii="楷体" w:hAnsi="楷体" w:eastAsia="楷体"/>
          <w:sz w:val="30"/>
          <w:szCs w:val="30"/>
        </w:rPr>
      </w:pPr>
      <w:r>
        <w:rPr>
          <w:rFonts w:hint="eastAsia" w:ascii="楷体" w:hAnsi="楷体" w:eastAsia="楷体"/>
          <w:sz w:val="30"/>
          <w:szCs w:val="30"/>
        </w:rPr>
        <w:t>（一）一般公共预算财政拨款支出决算总体情况</w:t>
      </w:r>
    </w:p>
    <w:p>
      <w:pPr>
        <w:keepNext w:val="0"/>
        <w:keepLines w:val="0"/>
        <w:pageBreakBefore w:val="0"/>
        <w:widowControl/>
        <w:kinsoku/>
        <w:wordWrap/>
        <w:overflowPunct/>
        <w:topLinePunct w:val="0"/>
        <w:autoSpaceDE/>
        <w:autoSpaceDN/>
        <w:bidi w:val="0"/>
        <w:snapToGrid w:val="0"/>
        <w:spacing w:before="100" w:after="100" w:line="600" w:lineRule="exact"/>
        <w:ind w:firstLine="600" w:firstLineChars="200"/>
        <w:jc w:val="both"/>
        <w:rPr>
          <w:rFonts w:hint="eastAsia" w:ascii="仿宋_GB2312" w:eastAsia="仿宋_GB2312"/>
          <w:sz w:val="30"/>
          <w:szCs w:val="30"/>
          <w:lang w:val="en-US" w:eastAsia="zh-CN"/>
        </w:rPr>
      </w:pPr>
      <w:r>
        <w:rPr>
          <w:rFonts w:hint="eastAsia" w:ascii="仿宋_GB2312" w:eastAsia="仿宋_GB2312"/>
          <w:sz w:val="30"/>
          <w:szCs w:val="30"/>
        </w:rPr>
        <w:t>昆明市西山区供销合作社联合社2021年度一般公共预算财政拨款支出</w:t>
      </w:r>
      <w:r>
        <w:rPr>
          <w:rFonts w:hint="eastAsia" w:ascii="仿宋_GB2312" w:eastAsia="仿宋_GB2312"/>
          <w:sz w:val="30"/>
          <w:szCs w:val="30"/>
          <w:lang w:val="en-US" w:eastAsia="zh-CN"/>
        </w:rPr>
        <w:t>274.80</w:t>
      </w:r>
      <w:r>
        <w:rPr>
          <w:rFonts w:hint="eastAsia" w:ascii="仿宋_GB2312" w:hAnsi="宋体" w:eastAsia="仿宋_GB2312" w:cs="Arial"/>
          <w:kern w:val="0"/>
          <w:sz w:val="30"/>
          <w:szCs w:val="30"/>
        </w:rPr>
        <w:t>万元,占本年支出合计的</w:t>
      </w:r>
      <w:r>
        <w:rPr>
          <w:rFonts w:hint="eastAsia" w:ascii="仿宋_GB2312" w:eastAsia="仿宋_GB2312"/>
          <w:sz w:val="30"/>
          <w:szCs w:val="30"/>
          <w:lang w:val="en-US" w:eastAsia="zh-CN"/>
        </w:rPr>
        <w:t>100</w:t>
      </w:r>
      <w:r>
        <w:rPr>
          <w:rFonts w:hint="eastAsia" w:ascii="仿宋_GB2312" w:hAnsi="宋体" w:eastAsia="仿宋_GB2312" w:cs="Arial"/>
          <w:kern w:val="0"/>
          <w:sz w:val="30"/>
          <w:szCs w:val="30"/>
        </w:rPr>
        <w:t>%。与上年对比</w:t>
      </w:r>
      <w:r>
        <w:rPr>
          <w:rFonts w:hint="eastAsia" w:ascii="仿宋_GB2312" w:hAnsi="宋体" w:eastAsia="仿宋_GB2312" w:cs="Arial"/>
          <w:kern w:val="0"/>
          <w:sz w:val="30"/>
          <w:szCs w:val="30"/>
          <w:lang w:eastAsia="zh-CN"/>
        </w:rPr>
        <w:t>，</w:t>
      </w:r>
      <w:r>
        <w:rPr>
          <w:rFonts w:hint="eastAsia" w:ascii="仿宋_GB2312" w:hAnsi="宋体" w:eastAsia="仿宋_GB2312" w:cs="Arial"/>
          <w:kern w:val="0"/>
          <w:sz w:val="30"/>
          <w:szCs w:val="30"/>
          <w:lang w:val="en-US" w:eastAsia="zh-CN"/>
        </w:rPr>
        <w:t>减少25.89</w:t>
      </w:r>
      <w:r>
        <w:rPr>
          <w:rFonts w:hint="eastAsia" w:ascii="仿宋_GB2312" w:hAnsi="宋体" w:eastAsia="仿宋_GB2312" w:cs="Arial"/>
          <w:kern w:val="0"/>
          <w:sz w:val="30"/>
          <w:szCs w:val="30"/>
        </w:rPr>
        <w:t>万元</w:t>
      </w:r>
      <w:r>
        <w:rPr>
          <w:rFonts w:hint="eastAsia" w:ascii="仿宋_GB2312" w:eastAsia="仿宋_GB2312"/>
          <w:sz w:val="30"/>
          <w:szCs w:val="30"/>
        </w:rPr>
        <w:t>,主要</w:t>
      </w:r>
      <w:r>
        <w:rPr>
          <w:rFonts w:hint="eastAsia" w:ascii="仿宋_GB2312" w:hAnsi="宋体" w:eastAsia="仿宋_GB2312" w:cs="Arial"/>
          <w:kern w:val="0"/>
          <w:sz w:val="30"/>
          <w:szCs w:val="30"/>
        </w:rPr>
        <w:t>原因是</w:t>
      </w:r>
      <w:r>
        <w:rPr>
          <w:rFonts w:hint="eastAsia" w:ascii="仿宋_GB2312" w:eastAsia="仿宋_GB2312"/>
          <w:sz w:val="30"/>
          <w:szCs w:val="30"/>
        </w:rPr>
        <w:t>1月份退休工勤人员2人，故财政拨款</w:t>
      </w:r>
      <w:r>
        <w:rPr>
          <w:rFonts w:hint="eastAsia" w:ascii="仿宋_GB2312" w:eastAsia="仿宋_GB2312"/>
          <w:sz w:val="30"/>
          <w:szCs w:val="30"/>
          <w:lang w:val="en-US" w:eastAsia="zh-CN"/>
        </w:rPr>
        <w:t>人员经费</w:t>
      </w:r>
      <w:r>
        <w:rPr>
          <w:rFonts w:hint="eastAsia" w:ascii="仿宋_GB2312" w:eastAsia="仿宋_GB2312"/>
          <w:sz w:val="30"/>
          <w:szCs w:val="30"/>
        </w:rPr>
        <w:t>较上年减少</w:t>
      </w:r>
      <w:r>
        <w:rPr>
          <w:rFonts w:hint="eastAsia" w:ascii="仿宋_GB2312" w:eastAsia="仿宋_GB2312"/>
          <w:sz w:val="30"/>
          <w:szCs w:val="30"/>
          <w:lang w:val="en-US" w:eastAsia="zh-CN"/>
        </w:rPr>
        <w:t>14.41万元；</w:t>
      </w:r>
      <w:r>
        <w:rPr>
          <w:rFonts w:hint="eastAsia" w:ascii="仿宋_GB2312" w:eastAsia="仿宋_GB2312"/>
          <w:sz w:val="30"/>
          <w:szCs w:val="30"/>
        </w:rPr>
        <w:t>财政拨款项目</w:t>
      </w:r>
      <w:r>
        <w:rPr>
          <w:rFonts w:hint="eastAsia" w:ascii="仿宋_GB2312" w:eastAsia="仿宋_GB2312"/>
          <w:sz w:val="30"/>
          <w:szCs w:val="30"/>
          <w:lang w:val="en-US" w:eastAsia="zh-CN"/>
        </w:rPr>
        <w:t>经费减少11.48万元，详细减少情况为1.</w:t>
      </w:r>
      <w:r>
        <w:rPr>
          <w:rFonts w:hint="eastAsia" w:ascii="仿宋_GB2312" w:eastAsia="仿宋_GB2312"/>
          <w:sz w:val="30"/>
          <w:szCs w:val="30"/>
        </w:rPr>
        <w:t>社区、两新党员教育培训工作经费</w:t>
      </w:r>
      <w:r>
        <w:rPr>
          <w:rFonts w:hint="eastAsia" w:ascii="仿宋_GB2312" w:eastAsia="仿宋_GB2312"/>
          <w:sz w:val="30"/>
          <w:szCs w:val="30"/>
          <w:lang w:val="en-US" w:eastAsia="zh-CN"/>
        </w:rPr>
        <w:t>减少0.08万元。2.2021年农产品经纪人教育专项资金减少1.4万元。3.农民专业合作社示范社建设市级扶持资金减少10万元。</w:t>
      </w:r>
    </w:p>
    <w:p>
      <w:pPr>
        <w:keepNext w:val="0"/>
        <w:keepLines w:val="0"/>
        <w:pageBreakBefore w:val="0"/>
        <w:widowControl/>
        <w:kinsoku/>
        <w:wordWrap/>
        <w:overflowPunct/>
        <w:topLinePunct w:val="0"/>
        <w:autoSpaceDE/>
        <w:autoSpaceDN/>
        <w:bidi w:val="0"/>
        <w:snapToGrid w:val="0"/>
        <w:spacing w:before="100" w:after="100" w:line="600" w:lineRule="exact"/>
        <w:ind w:firstLine="600" w:firstLineChars="200"/>
        <w:jc w:val="both"/>
        <w:rPr>
          <w:rFonts w:ascii="楷体" w:hAnsi="楷体" w:eastAsia="楷体"/>
          <w:sz w:val="30"/>
          <w:szCs w:val="30"/>
        </w:rPr>
      </w:pPr>
      <w:r>
        <w:rPr>
          <w:rFonts w:hint="eastAsia" w:ascii="楷体" w:hAnsi="楷体" w:eastAsia="楷体"/>
          <w:sz w:val="30"/>
          <w:szCs w:val="30"/>
        </w:rPr>
        <w:t>（二）一般公共预算财政拨款支出决算具体情况</w:t>
      </w:r>
      <w:r>
        <w:rPr>
          <w:rFonts w:hint="eastAsia" w:ascii="楷体" w:hAnsi="楷体" w:eastAsia="楷体"/>
          <w:sz w:val="30"/>
          <w:szCs w:val="30"/>
        </w:rPr>
        <w:tab/>
      </w:r>
      <w:r>
        <w:rPr>
          <w:rFonts w:hint="eastAsia" w:ascii="楷体" w:hAnsi="楷体" w:eastAsia="楷体"/>
          <w:sz w:val="30"/>
          <w:szCs w:val="30"/>
        </w:rPr>
        <w:tab/>
      </w:r>
      <w:r>
        <w:rPr>
          <w:rFonts w:hint="eastAsia" w:ascii="楷体" w:hAnsi="楷体" w:eastAsia="楷体"/>
          <w:sz w:val="30"/>
          <w:szCs w:val="30"/>
        </w:rPr>
        <w:tab/>
      </w:r>
    </w:p>
    <w:p>
      <w:pPr>
        <w:keepNext w:val="0"/>
        <w:keepLines w:val="0"/>
        <w:pageBreakBefore w:val="0"/>
        <w:widowControl/>
        <w:kinsoku/>
        <w:wordWrap/>
        <w:overflowPunct/>
        <w:topLinePunct w:val="0"/>
        <w:autoSpaceDE/>
        <w:autoSpaceDN/>
        <w:bidi w:val="0"/>
        <w:snapToGrid w:val="0"/>
        <w:spacing w:before="100" w:after="100" w:line="600" w:lineRule="exact"/>
        <w:ind w:firstLine="600" w:firstLineChars="200"/>
        <w:jc w:val="both"/>
        <w:rPr>
          <w:rFonts w:hint="eastAsia" w:ascii="仿宋_GB2312" w:eastAsia="仿宋_GB2312"/>
          <w:sz w:val="30"/>
          <w:szCs w:val="30"/>
          <w:lang w:val="en-US" w:eastAsia="zh-CN"/>
        </w:rPr>
      </w:pPr>
      <w:r>
        <w:rPr>
          <w:rFonts w:hint="eastAsia" w:ascii="仿宋_GB2312" w:eastAsia="仿宋_GB2312"/>
          <w:sz w:val="30"/>
          <w:szCs w:val="30"/>
          <w:lang w:val="en-US" w:eastAsia="zh-CN"/>
        </w:rPr>
        <w:t>1.一般公共服务（类）支出3.42万元，占一般公共预算财政拨款总支出的1.24%。主要用于1.社区、两新党员教育培训工作经费0.48万元。2.“两新”组织党建工作经费2.94万元；</w:t>
      </w:r>
    </w:p>
    <w:p>
      <w:pPr>
        <w:keepNext w:val="0"/>
        <w:keepLines w:val="0"/>
        <w:pageBreakBefore w:val="0"/>
        <w:widowControl/>
        <w:kinsoku/>
        <w:wordWrap/>
        <w:overflowPunct/>
        <w:topLinePunct w:val="0"/>
        <w:autoSpaceDE/>
        <w:autoSpaceDN/>
        <w:bidi w:val="0"/>
        <w:snapToGrid w:val="0"/>
        <w:spacing w:before="100" w:after="100" w:line="600" w:lineRule="exact"/>
        <w:ind w:firstLine="600" w:firstLineChars="200"/>
        <w:jc w:val="both"/>
        <w:rPr>
          <w:rFonts w:hint="eastAsia" w:ascii="仿宋_GB2312" w:eastAsia="仿宋_GB2312"/>
          <w:sz w:val="30"/>
          <w:szCs w:val="30"/>
          <w:lang w:val="en-US" w:eastAsia="zh-CN"/>
        </w:rPr>
      </w:pPr>
      <w:r>
        <w:rPr>
          <w:rFonts w:hint="eastAsia" w:ascii="仿宋_GB2312" w:eastAsia="仿宋_GB2312"/>
          <w:sz w:val="30"/>
          <w:szCs w:val="30"/>
          <w:lang w:val="en-US" w:eastAsia="zh-CN"/>
        </w:rPr>
        <w:t>2.外交（类）支出0万元，占一般公共预算财政拨款总支出的0%。主要用于我单位无该类支出；</w:t>
      </w:r>
    </w:p>
    <w:p>
      <w:pPr>
        <w:keepNext w:val="0"/>
        <w:keepLines w:val="0"/>
        <w:pageBreakBefore w:val="0"/>
        <w:widowControl/>
        <w:kinsoku/>
        <w:wordWrap/>
        <w:overflowPunct/>
        <w:topLinePunct w:val="0"/>
        <w:autoSpaceDE/>
        <w:autoSpaceDN/>
        <w:bidi w:val="0"/>
        <w:snapToGrid w:val="0"/>
        <w:spacing w:before="100" w:after="100" w:line="600" w:lineRule="exact"/>
        <w:ind w:firstLine="600" w:firstLineChars="200"/>
        <w:jc w:val="both"/>
        <w:rPr>
          <w:rFonts w:hint="eastAsia" w:ascii="仿宋_GB2312" w:eastAsia="仿宋_GB2312"/>
          <w:sz w:val="30"/>
          <w:szCs w:val="30"/>
          <w:lang w:val="en-US" w:eastAsia="zh-CN"/>
        </w:rPr>
      </w:pPr>
      <w:r>
        <w:rPr>
          <w:rFonts w:hint="eastAsia" w:ascii="仿宋_GB2312" w:eastAsia="仿宋_GB2312"/>
          <w:sz w:val="30"/>
          <w:szCs w:val="30"/>
          <w:lang w:val="en-US" w:eastAsia="zh-CN"/>
        </w:rPr>
        <w:t>3.国防（类）支出0万元，占一般公共预算财政拨款总支出的0%。主要用于我单位无该类支出；</w:t>
      </w:r>
    </w:p>
    <w:p>
      <w:pPr>
        <w:keepNext w:val="0"/>
        <w:keepLines w:val="0"/>
        <w:pageBreakBefore w:val="0"/>
        <w:widowControl/>
        <w:kinsoku/>
        <w:wordWrap/>
        <w:overflowPunct/>
        <w:topLinePunct w:val="0"/>
        <w:autoSpaceDE/>
        <w:autoSpaceDN/>
        <w:bidi w:val="0"/>
        <w:snapToGrid w:val="0"/>
        <w:spacing w:before="100" w:after="100" w:line="600" w:lineRule="exact"/>
        <w:ind w:firstLine="600" w:firstLineChars="200"/>
        <w:jc w:val="both"/>
        <w:rPr>
          <w:rFonts w:hint="eastAsia" w:ascii="仿宋_GB2312" w:eastAsia="仿宋_GB2312"/>
          <w:sz w:val="30"/>
          <w:szCs w:val="30"/>
          <w:lang w:val="en-US" w:eastAsia="zh-CN"/>
        </w:rPr>
      </w:pPr>
      <w:r>
        <w:rPr>
          <w:rFonts w:hint="eastAsia" w:ascii="仿宋_GB2312" w:eastAsia="仿宋_GB2312"/>
          <w:sz w:val="30"/>
          <w:szCs w:val="30"/>
          <w:lang w:val="en-US" w:eastAsia="zh-CN"/>
        </w:rPr>
        <w:t>4.公共安全（类）支出0万元，占一般公共预算财政拨款总支出的0%。主要用于我单位无该类支出；</w:t>
      </w:r>
    </w:p>
    <w:p>
      <w:pPr>
        <w:keepNext w:val="0"/>
        <w:keepLines w:val="0"/>
        <w:pageBreakBefore w:val="0"/>
        <w:widowControl/>
        <w:kinsoku/>
        <w:wordWrap/>
        <w:overflowPunct/>
        <w:topLinePunct w:val="0"/>
        <w:autoSpaceDE/>
        <w:autoSpaceDN/>
        <w:bidi w:val="0"/>
        <w:snapToGrid w:val="0"/>
        <w:spacing w:before="100" w:after="100" w:line="360" w:lineRule="auto"/>
        <w:ind w:firstLine="600" w:firstLineChars="200"/>
        <w:jc w:val="both"/>
        <w:rPr>
          <w:rFonts w:ascii="黑体" w:hAnsi="黑体" w:eastAsia="黑体"/>
          <w:sz w:val="30"/>
          <w:szCs w:val="30"/>
        </w:rPr>
      </w:pPr>
      <w:r>
        <w:rPr>
          <w:rFonts w:hint="eastAsia" w:ascii="黑体" w:hAnsi="黑体" w:eastAsia="黑体"/>
          <w:sz w:val="30"/>
          <w:szCs w:val="30"/>
        </w:rPr>
        <w:t>四、一般公共预算财政拨款“三公”经费支出决算情况说明</w:t>
      </w:r>
    </w:p>
    <w:p>
      <w:pPr>
        <w:keepNext w:val="0"/>
        <w:keepLines w:val="0"/>
        <w:pageBreakBefore w:val="0"/>
        <w:widowControl/>
        <w:kinsoku/>
        <w:wordWrap/>
        <w:overflowPunct/>
        <w:topLinePunct w:val="0"/>
        <w:autoSpaceDE/>
        <w:autoSpaceDN/>
        <w:bidi w:val="0"/>
        <w:snapToGrid w:val="0"/>
        <w:spacing w:before="100" w:after="100" w:line="360" w:lineRule="auto"/>
        <w:ind w:firstLine="600" w:firstLineChars="200"/>
        <w:jc w:val="both"/>
        <w:rPr>
          <w:rFonts w:ascii="楷体" w:hAnsi="楷体" w:eastAsia="楷体"/>
          <w:sz w:val="30"/>
          <w:szCs w:val="30"/>
        </w:rPr>
      </w:pPr>
      <w:r>
        <w:rPr>
          <w:rFonts w:hint="eastAsia" w:ascii="楷体" w:hAnsi="楷体" w:eastAsia="楷体"/>
          <w:sz w:val="30"/>
          <w:szCs w:val="30"/>
        </w:rPr>
        <w:t>（一）一般公共预算财政拨款“三公”经费支出决算总体情况</w:t>
      </w:r>
    </w:p>
    <w:p>
      <w:pPr>
        <w:keepNext w:val="0"/>
        <w:keepLines w:val="0"/>
        <w:pageBreakBefore w:val="0"/>
        <w:widowControl/>
        <w:kinsoku/>
        <w:wordWrap/>
        <w:overflowPunct/>
        <w:topLinePunct w:val="0"/>
        <w:autoSpaceDE/>
        <w:autoSpaceDN/>
        <w:bidi w:val="0"/>
        <w:snapToGrid w:val="0"/>
        <w:spacing w:before="100" w:after="100" w:line="360" w:lineRule="auto"/>
        <w:ind w:firstLine="600" w:firstLineChars="200"/>
        <w:jc w:val="both"/>
        <w:rPr>
          <w:rFonts w:ascii="仿宋_GB2312" w:eastAsia="仿宋_GB2312"/>
          <w:sz w:val="30"/>
          <w:szCs w:val="30"/>
        </w:rPr>
      </w:pPr>
      <w:r>
        <w:rPr>
          <w:rFonts w:hint="eastAsia" w:ascii="仿宋_GB2312" w:eastAsia="仿宋_GB2312"/>
          <w:sz w:val="30"/>
          <w:szCs w:val="30"/>
        </w:rPr>
        <w:t>昆明市西山区供销合作社联合社2021年度一般公共预算财政拨款“三公”经费支出预算为</w:t>
      </w:r>
      <w:r>
        <w:rPr>
          <w:rFonts w:hint="eastAsia" w:ascii="仿宋_GB2312" w:eastAsia="仿宋_GB2312"/>
          <w:sz w:val="30"/>
          <w:szCs w:val="30"/>
          <w:lang w:val="en-US" w:eastAsia="zh-CN"/>
        </w:rPr>
        <w:t>0</w:t>
      </w:r>
      <w:r>
        <w:rPr>
          <w:rFonts w:hint="eastAsia" w:ascii="仿宋_GB2312" w:eastAsia="仿宋_GB2312"/>
          <w:sz w:val="30"/>
          <w:szCs w:val="30"/>
        </w:rPr>
        <w:t>万元，支出决算为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%。其中：因公出国（境）费支出决算为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%；公务用车购置及运行费支出决算为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%；公务接待费支出决算为</w:t>
      </w:r>
      <w:r>
        <w:rPr>
          <w:rFonts w:hint="eastAsia" w:ascii="仿宋_GB2312" w:eastAsia="仿宋_GB2312"/>
          <w:sz w:val="30"/>
          <w:szCs w:val="30"/>
          <w:lang w:val="en-US" w:eastAsia="zh-CN"/>
        </w:rPr>
        <w:t>0</w:t>
      </w:r>
      <w:r>
        <w:rPr>
          <w:rFonts w:hint="eastAsia" w:ascii="仿宋_GB2312" w:eastAsia="仿宋_GB2312"/>
          <w:sz w:val="30"/>
          <w:szCs w:val="30"/>
        </w:rPr>
        <w:t>万元，完成预算的</w:t>
      </w:r>
      <w:r>
        <w:rPr>
          <w:rFonts w:hint="eastAsia" w:ascii="仿宋_GB2312" w:eastAsia="仿宋_GB2312"/>
          <w:sz w:val="30"/>
          <w:szCs w:val="30"/>
          <w:lang w:val="en-US" w:eastAsia="zh-CN"/>
        </w:rPr>
        <w:t>0</w:t>
      </w:r>
      <w:r>
        <w:rPr>
          <w:rFonts w:hint="eastAsia" w:ascii="仿宋_GB2312" w:eastAsia="仿宋_GB2312"/>
          <w:sz w:val="30"/>
          <w:szCs w:val="30"/>
        </w:rPr>
        <w:t>%。</w:t>
      </w:r>
      <w:r>
        <w:rPr>
          <w:rFonts w:hint="eastAsia" w:ascii="仿宋_GB2312" w:eastAsia="仿宋_GB2312"/>
          <w:sz w:val="30"/>
          <w:szCs w:val="30"/>
          <w:lang w:val="en-US" w:eastAsia="zh-CN"/>
        </w:rPr>
        <w:t>2021</w:t>
      </w:r>
      <w:r>
        <w:rPr>
          <w:rFonts w:hint="eastAsia" w:ascii="仿宋_GB2312" w:eastAsia="仿宋_GB2312"/>
          <w:sz w:val="30"/>
          <w:szCs w:val="30"/>
        </w:rPr>
        <w:t>年度一般公共预算财政拨款“三公”经费支出决算数小于预算数的主要原因是</w:t>
      </w:r>
      <w:r>
        <w:rPr>
          <w:rFonts w:hint="eastAsia" w:ascii="仿宋_GB2312" w:eastAsia="仿宋_GB2312"/>
          <w:sz w:val="30"/>
          <w:szCs w:val="30"/>
          <w:lang w:val="en-US" w:eastAsia="zh-CN"/>
        </w:rPr>
        <w:t>我单位无该类支出</w:t>
      </w:r>
      <w:r>
        <w:rPr>
          <w:rFonts w:hint="eastAsia" w:ascii="仿宋_GB2312" w:eastAsia="仿宋_GB2312"/>
          <w:sz w:val="30"/>
          <w:szCs w:val="30"/>
        </w:rPr>
        <w:t>。</w:t>
      </w:r>
    </w:p>
    <w:p>
      <w:pPr>
        <w:keepNext w:val="0"/>
        <w:keepLines w:val="0"/>
        <w:pageBreakBefore w:val="0"/>
        <w:widowControl/>
        <w:kinsoku/>
        <w:wordWrap/>
        <w:overflowPunct/>
        <w:topLinePunct w:val="0"/>
        <w:autoSpaceDE/>
        <w:autoSpaceDN/>
        <w:bidi w:val="0"/>
        <w:snapToGrid w:val="0"/>
        <w:spacing w:before="100" w:after="100" w:line="360" w:lineRule="auto"/>
        <w:ind w:firstLine="600" w:firstLineChars="200"/>
        <w:jc w:val="both"/>
        <w:rPr>
          <w:rFonts w:hint="eastAsia" w:ascii="仿宋_GB2312" w:eastAsia="仿宋_GB2312"/>
          <w:sz w:val="30"/>
          <w:szCs w:val="30"/>
        </w:rPr>
      </w:pPr>
      <w:r>
        <w:rPr>
          <w:rFonts w:hint="eastAsia" w:ascii="仿宋_GB2312" w:eastAsia="仿宋_GB2312"/>
          <w:sz w:val="30"/>
          <w:szCs w:val="30"/>
        </w:rPr>
        <w:t>2021年度一般公共预算财政拨款“三公”经费支出决算数比2020年增加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%。其中：因公出国（境）费支出决算增加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%；公务用车购置及运行费支出决算增加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%；公务接待费支出决算增加</w:t>
      </w:r>
      <w:r>
        <w:rPr>
          <w:rFonts w:hint="eastAsia" w:ascii="仿宋_GB2312" w:eastAsia="仿宋_GB2312"/>
          <w:sz w:val="30"/>
          <w:szCs w:val="30"/>
          <w:lang w:val="en-US" w:eastAsia="zh-CN"/>
        </w:rPr>
        <w:t>0</w:t>
      </w:r>
      <w:r>
        <w:rPr>
          <w:rFonts w:hint="eastAsia" w:ascii="仿宋_GB2312" w:eastAsia="仿宋_GB2312"/>
          <w:sz w:val="30"/>
          <w:szCs w:val="30"/>
        </w:rPr>
        <w:t>万元，增长</w:t>
      </w:r>
      <w:r>
        <w:rPr>
          <w:rFonts w:hint="eastAsia" w:ascii="仿宋_GB2312" w:eastAsia="仿宋_GB2312"/>
          <w:sz w:val="30"/>
          <w:szCs w:val="30"/>
          <w:lang w:val="en-US" w:eastAsia="zh-CN"/>
        </w:rPr>
        <w:t>0</w:t>
      </w:r>
      <w:r>
        <w:rPr>
          <w:rFonts w:hint="eastAsia" w:ascii="仿宋_GB2312" w:eastAsia="仿宋_GB2312"/>
          <w:sz w:val="30"/>
          <w:szCs w:val="30"/>
        </w:rPr>
        <w:t>%。2021年度一般公共预算财政拨款“三公”经费支出决算增加的主要原因是</w:t>
      </w:r>
      <w:r>
        <w:rPr>
          <w:rFonts w:hint="eastAsia" w:ascii="仿宋_GB2312" w:eastAsia="仿宋_GB2312"/>
          <w:sz w:val="30"/>
          <w:szCs w:val="30"/>
          <w:lang w:val="en-US" w:eastAsia="zh-CN"/>
        </w:rPr>
        <w:t>我单位无该类支出</w:t>
      </w:r>
      <w:r>
        <w:rPr>
          <w:rFonts w:hint="eastAsia" w:ascii="仿宋_GB2312" w:eastAsia="仿宋_GB2312"/>
          <w:sz w:val="30"/>
          <w:szCs w:val="30"/>
        </w:rPr>
        <w:t>。</w:t>
      </w:r>
    </w:p>
    <w:p>
      <w:pPr>
        <w:keepNext w:val="0"/>
        <w:keepLines w:val="0"/>
        <w:pageBreakBefore w:val="0"/>
        <w:widowControl/>
        <w:kinsoku/>
        <w:wordWrap/>
        <w:overflowPunct/>
        <w:topLinePunct w:val="0"/>
        <w:autoSpaceDE/>
        <w:autoSpaceDN/>
        <w:bidi w:val="0"/>
        <w:snapToGrid w:val="0"/>
        <w:spacing w:before="100" w:after="100" w:line="360" w:lineRule="auto"/>
        <w:ind w:firstLine="600" w:firstLineChars="200"/>
        <w:jc w:val="both"/>
        <w:rPr>
          <w:rFonts w:ascii="楷体" w:hAnsi="楷体" w:eastAsia="楷体"/>
          <w:sz w:val="30"/>
          <w:szCs w:val="30"/>
        </w:rPr>
      </w:pPr>
      <w:r>
        <w:rPr>
          <w:rFonts w:hint="eastAsia" w:ascii="楷体" w:hAnsi="楷体" w:eastAsia="楷体"/>
          <w:sz w:val="30"/>
          <w:szCs w:val="30"/>
        </w:rPr>
        <w:t>(二)</w:t>
      </w:r>
      <w:r>
        <w:rPr>
          <w:rFonts w:hint="eastAsia" w:ascii="仿宋_GB2312" w:eastAsia="仿宋_GB2312"/>
          <w:sz w:val="30"/>
          <w:szCs w:val="30"/>
        </w:rPr>
        <w:t xml:space="preserve"> </w:t>
      </w:r>
      <w:r>
        <w:rPr>
          <w:rFonts w:hint="eastAsia" w:ascii="楷体" w:hAnsi="楷体" w:eastAsia="楷体"/>
          <w:sz w:val="30"/>
          <w:szCs w:val="30"/>
        </w:rPr>
        <w:t>一般公共预算财政拨款“三公”经费支出决算具体情况</w:t>
      </w:r>
    </w:p>
    <w:p>
      <w:pPr>
        <w:keepNext w:val="0"/>
        <w:keepLines w:val="0"/>
        <w:pageBreakBefore w:val="0"/>
        <w:widowControl/>
        <w:kinsoku/>
        <w:wordWrap/>
        <w:overflowPunct/>
        <w:topLinePunct w:val="0"/>
        <w:autoSpaceDE/>
        <w:autoSpaceDN/>
        <w:bidi w:val="0"/>
        <w:snapToGrid w:val="0"/>
        <w:spacing w:before="100" w:after="100" w:line="360" w:lineRule="auto"/>
        <w:ind w:firstLine="600" w:firstLineChars="200"/>
        <w:jc w:val="both"/>
        <w:rPr>
          <w:rFonts w:hint="eastAsia" w:ascii="仿宋_GB2312" w:eastAsia="仿宋_GB2312"/>
          <w:sz w:val="30"/>
          <w:szCs w:val="30"/>
          <w:lang w:eastAsia="zh-CN"/>
        </w:rPr>
      </w:pPr>
      <w:r>
        <w:rPr>
          <w:rFonts w:hint="eastAsia" w:ascii="仿宋_GB2312" w:eastAsia="仿宋_GB2312"/>
          <w:sz w:val="30"/>
          <w:szCs w:val="30"/>
        </w:rPr>
        <w:t>2021年度一般公共预算财政拨款“三公”经费支出决算中，因公出国（境）费支出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%；公务用车购置及运行维护费支出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%；公务接待费支出</w:t>
      </w:r>
      <w:r>
        <w:rPr>
          <w:rFonts w:hint="eastAsia" w:ascii="仿宋_GB2312" w:eastAsia="仿宋_GB2312"/>
          <w:sz w:val="30"/>
          <w:szCs w:val="30"/>
          <w:lang w:val="en-US" w:eastAsia="zh-CN"/>
        </w:rPr>
        <w:t>0</w:t>
      </w:r>
      <w:r>
        <w:rPr>
          <w:rFonts w:hint="eastAsia" w:ascii="仿宋_GB2312" w:eastAsia="仿宋_GB2312"/>
          <w:sz w:val="30"/>
          <w:szCs w:val="30"/>
        </w:rPr>
        <w:t>万元，占</w:t>
      </w:r>
      <w:r>
        <w:rPr>
          <w:rFonts w:hint="eastAsia" w:ascii="仿宋_GB2312" w:eastAsia="仿宋_GB2312"/>
          <w:sz w:val="30"/>
          <w:szCs w:val="30"/>
          <w:lang w:val="en-US" w:eastAsia="zh-CN"/>
        </w:rPr>
        <w:t>0</w:t>
      </w:r>
      <w:r>
        <w:rPr>
          <w:rFonts w:hint="eastAsia" w:ascii="仿宋_GB2312" w:eastAsia="仿宋_GB2312"/>
          <w:sz w:val="30"/>
          <w:szCs w:val="30"/>
        </w:rPr>
        <w:t>%。具体情况如下：</w:t>
      </w:r>
      <w:r>
        <w:rPr>
          <w:rFonts w:hint="eastAsia" w:ascii="仿宋_GB2312" w:eastAsia="仿宋_GB2312"/>
          <w:sz w:val="30"/>
          <w:szCs w:val="30"/>
          <w:lang w:val="en-US" w:eastAsia="zh-CN"/>
        </w:rPr>
        <w:t>我单位无该类支出。</w:t>
      </w:r>
    </w:p>
    <w:p>
      <w:pPr>
        <w:keepNext w:val="0"/>
        <w:keepLines w:val="0"/>
        <w:pageBreakBefore w:val="0"/>
        <w:widowControl/>
        <w:kinsoku/>
        <w:wordWrap/>
        <w:overflowPunct/>
        <w:topLinePunct w:val="0"/>
        <w:autoSpaceDE/>
        <w:autoSpaceDN/>
        <w:bidi w:val="0"/>
        <w:snapToGrid w:val="0"/>
        <w:spacing w:before="100" w:after="100" w:line="360" w:lineRule="auto"/>
        <w:ind w:firstLine="602" w:firstLineChars="200"/>
        <w:jc w:val="both"/>
        <w:rPr>
          <w:rFonts w:hint="eastAsia" w:ascii="仿宋_GB2312" w:eastAsia="仿宋_GB2312"/>
          <w:sz w:val="30"/>
          <w:szCs w:val="30"/>
          <w:lang w:eastAsia="zh-CN"/>
        </w:rPr>
      </w:pPr>
      <w:r>
        <w:rPr>
          <w:rFonts w:hint="eastAsia" w:ascii="仿宋_GB2312" w:eastAsia="仿宋_GB2312"/>
          <w:b/>
          <w:sz w:val="30"/>
          <w:szCs w:val="30"/>
        </w:rPr>
        <w:t>1.因公出国（境）费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万元，共安排因公出国（境）团组</w:t>
      </w:r>
      <w:r>
        <w:rPr>
          <w:rFonts w:hint="eastAsia" w:ascii="仿宋_GB2312" w:eastAsia="仿宋_GB2312"/>
          <w:sz w:val="30"/>
          <w:szCs w:val="30"/>
          <w:lang w:val="en-US" w:eastAsia="zh-CN"/>
        </w:rPr>
        <w:t>0</w:t>
      </w:r>
      <w:r>
        <w:rPr>
          <w:rFonts w:hint="eastAsia" w:ascii="仿宋_GB2312" w:eastAsia="仿宋_GB2312"/>
          <w:sz w:val="30"/>
          <w:szCs w:val="30"/>
        </w:rPr>
        <w:t>个，累计</w:t>
      </w:r>
      <w:r>
        <w:rPr>
          <w:rFonts w:hint="eastAsia" w:ascii="仿宋_GB2312" w:eastAsia="仿宋_GB2312"/>
          <w:sz w:val="30"/>
          <w:szCs w:val="30"/>
          <w:lang w:val="en-US" w:eastAsia="zh-CN"/>
        </w:rPr>
        <w:t>0</w:t>
      </w:r>
      <w:r>
        <w:rPr>
          <w:rFonts w:hint="eastAsia" w:ascii="仿宋_GB2312" w:eastAsia="仿宋_GB2312"/>
          <w:sz w:val="30"/>
          <w:szCs w:val="30"/>
        </w:rPr>
        <w:t>人次。开展内容包括：2021年度无因公出国（境）开支及开展工作情况</w:t>
      </w:r>
      <w:r>
        <w:rPr>
          <w:rFonts w:hint="eastAsia" w:ascii="仿宋_GB2312" w:eastAsia="仿宋_GB2312"/>
          <w:sz w:val="30"/>
          <w:szCs w:val="30"/>
          <w:lang w:eastAsia="zh-CN"/>
        </w:rPr>
        <w:t>。</w:t>
      </w:r>
    </w:p>
    <w:p>
      <w:pPr>
        <w:keepNext w:val="0"/>
        <w:keepLines w:val="0"/>
        <w:pageBreakBefore w:val="0"/>
        <w:widowControl/>
        <w:kinsoku/>
        <w:wordWrap/>
        <w:overflowPunct/>
        <w:topLinePunct w:val="0"/>
        <w:autoSpaceDE/>
        <w:autoSpaceDN/>
        <w:bidi w:val="0"/>
        <w:snapToGrid w:val="0"/>
        <w:spacing w:before="100" w:after="100" w:line="360" w:lineRule="auto"/>
        <w:ind w:firstLine="602" w:firstLineChars="200"/>
        <w:jc w:val="both"/>
        <w:rPr>
          <w:rFonts w:hint="eastAsia" w:ascii="仿宋_GB2312" w:eastAsia="仿宋_GB2312"/>
          <w:sz w:val="30"/>
          <w:szCs w:val="30"/>
        </w:rPr>
      </w:pPr>
      <w:r>
        <w:rPr>
          <w:rFonts w:hint="eastAsia" w:ascii="仿宋_GB2312" w:eastAsia="仿宋_GB2312"/>
          <w:b/>
          <w:sz w:val="30"/>
          <w:szCs w:val="30"/>
        </w:rPr>
        <w:t>2. 公务用车购置及运行维护费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w:t>
      </w:r>
    </w:p>
    <w:p>
      <w:pPr>
        <w:keepNext w:val="0"/>
        <w:keepLines w:val="0"/>
        <w:pageBreakBefore w:val="0"/>
        <w:widowControl/>
        <w:kinsoku/>
        <w:wordWrap/>
        <w:overflowPunct/>
        <w:topLinePunct w:val="0"/>
        <w:autoSpaceDE/>
        <w:autoSpaceDN/>
        <w:bidi w:val="0"/>
        <w:snapToGrid w:val="0"/>
        <w:spacing w:before="100" w:after="100" w:line="360" w:lineRule="auto"/>
        <w:ind w:firstLine="602" w:firstLineChars="200"/>
        <w:jc w:val="both"/>
        <w:rPr>
          <w:rFonts w:hint="default" w:ascii="仿宋_GB2312" w:eastAsia="仿宋_GB2312"/>
          <w:sz w:val="30"/>
          <w:szCs w:val="30"/>
          <w:lang w:val="en-US" w:eastAsia="zh-CN"/>
        </w:rPr>
      </w:pPr>
      <w:r>
        <w:rPr>
          <w:rFonts w:hint="eastAsia" w:ascii="仿宋_GB2312" w:eastAsia="仿宋_GB2312"/>
          <w:b/>
          <w:sz w:val="30"/>
          <w:szCs w:val="30"/>
        </w:rPr>
        <w:t>公务用车购置</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万元，购置车辆</w:t>
      </w:r>
      <w:r>
        <w:rPr>
          <w:rFonts w:hint="eastAsia" w:ascii="仿宋_GB2312" w:eastAsia="仿宋_GB2312"/>
          <w:sz w:val="30"/>
          <w:szCs w:val="30"/>
          <w:lang w:val="en-US" w:eastAsia="zh-CN"/>
        </w:rPr>
        <w:t>0</w:t>
      </w:r>
      <w:r>
        <w:rPr>
          <w:rFonts w:hint="eastAsia" w:ascii="仿宋_GB2312" w:eastAsia="仿宋_GB2312"/>
          <w:sz w:val="30"/>
          <w:szCs w:val="30"/>
        </w:rPr>
        <w:t>辆。具体购置车辆原因、情况等2021年度无</w:t>
      </w:r>
      <w:r>
        <w:rPr>
          <w:rFonts w:hint="eastAsia" w:ascii="仿宋_GB2312" w:eastAsia="仿宋_GB2312"/>
          <w:sz w:val="30"/>
          <w:szCs w:val="30"/>
          <w:lang w:val="en-US" w:eastAsia="zh-CN"/>
        </w:rPr>
        <w:t>公务用车购置及运行维护费。</w:t>
      </w:r>
    </w:p>
    <w:p>
      <w:pPr>
        <w:keepNext w:val="0"/>
        <w:keepLines w:val="0"/>
        <w:pageBreakBefore w:val="0"/>
        <w:widowControl/>
        <w:kinsoku/>
        <w:wordWrap/>
        <w:overflowPunct/>
        <w:topLinePunct w:val="0"/>
        <w:autoSpaceDE/>
        <w:autoSpaceDN/>
        <w:bidi w:val="0"/>
        <w:snapToGrid w:val="0"/>
        <w:spacing w:before="100" w:after="100" w:line="360" w:lineRule="auto"/>
        <w:ind w:firstLine="602" w:firstLineChars="200"/>
        <w:jc w:val="both"/>
        <w:rPr>
          <w:rFonts w:ascii="仿宋_GB2312" w:eastAsia="仿宋_GB2312"/>
          <w:color w:val="FF0000"/>
          <w:sz w:val="30"/>
          <w:szCs w:val="30"/>
        </w:rPr>
      </w:pPr>
      <w:r>
        <w:rPr>
          <w:rFonts w:hint="eastAsia" w:ascii="仿宋_GB2312" w:eastAsia="仿宋_GB2312"/>
          <w:b/>
          <w:sz w:val="30"/>
          <w:szCs w:val="30"/>
        </w:rPr>
        <w:t>公务用车运行维护</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万元，开支一般公共预算财政拨款的公务用车保有量为</w:t>
      </w:r>
      <w:r>
        <w:rPr>
          <w:rFonts w:hint="eastAsia" w:ascii="仿宋_GB2312" w:eastAsia="仿宋_GB2312"/>
          <w:sz w:val="30"/>
          <w:szCs w:val="30"/>
          <w:lang w:val="en-US" w:eastAsia="zh-CN"/>
        </w:rPr>
        <w:t>0</w:t>
      </w:r>
      <w:r>
        <w:rPr>
          <w:rFonts w:hint="eastAsia" w:ascii="仿宋_GB2312" w:eastAsia="仿宋_GB2312"/>
          <w:sz w:val="30"/>
          <w:szCs w:val="30"/>
        </w:rPr>
        <w:t>辆。主要用于</w:t>
      </w:r>
      <w:r>
        <w:rPr>
          <w:rFonts w:hint="eastAsia" w:ascii="仿宋_GB2312" w:eastAsia="仿宋_GB2312"/>
          <w:sz w:val="30"/>
          <w:szCs w:val="30"/>
          <w:lang w:val="en-US" w:eastAsia="zh-CN"/>
        </w:rPr>
        <w:t>0</w:t>
      </w:r>
      <w:r>
        <w:rPr>
          <w:rFonts w:hint="eastAsia" w:ascii="仿宋_GB2312" w:eastAsia="仿宋_GB2312"/>
          <w:sz w:val="30"/>
          <w:szCs w:val="30"/>
        </w:rPr>
        <w:t>所需车辆燃料费、维修费、过路过桥费、保险费等。</w:t>
      </w:r>
    </w:p>
    <w:p>
      <w:pPr>
        <w:keepNext w:val="0"/>
        <w:keepLines w:val="0"/>
        <w:pageBreakBefore w:val="0"/>
        <w:widowControl/>
        <w:kinsoku/>
        <w:wordWrap/>
        <w:overflowPunct/>
        <w:topLinePunct w:val="0"/>
        <w:autoSpaceDE/>
        <w:autoSpaceDN/>
        <w:bidi w:val="0"/>
        <w:snapToGrid w:val="0"/>
        <w:spacing w:before="100" w:after="100" w:line="360" w:lineRule="auto"/>
        <w:ind w:firstLine="602" w:firstLineChars="200"/>
        <w:jc w:val="both"/>
        <w:rPr>
          <w:rFonts w:ascii="仿宋_GB2312" w:eastAsia="仿宋_GB2312"/>
          <w:sz w:val="30"/>
          <w:szCs w:val="30"/>
        </w:rPr>
      </w:pPr>
      <w:r>
        <w:rPr>
          <w:rFonts w:hint="eastAsia" w:ascii="仿宋_GB2312" w:eastAsia="仿宋_GB2312"/>
          <w:b/>
          <w:sz w:val="30"/>
          <w:szCs w:val="30"/>
        </w:rPr>
        <w:t>3.公务接待费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万元。其中：（与下列分项合计数一致）</w:t>
      </w:r>
    </w:p>
    <w:p>
      <w:pPr>
        <w:keepNext w:val="0"/>
        <w:keepLines w:val="0"/>
        <w:pageBreakBefore w:val="0"/>
        <w:widowControl/>
        <w:kinsoku/>
        <w:wordWrap/>
        <w:overflowPunct/>
        <w:topLinePunct w:val="0"/>
        <w:autoSpaceDE/>
        <w:autoSpaceDN/>
        <w:bidi w:val="0"/>
        <w:snapToGrid w:val="0"/>
        <w:spacing w:before="100" w:after="100" w:line="360" w:lineRule="auto"/>
        <w:ind w:firstLine="602" w:firstLineChars="200"/>
        <w:jc w:val="both"/>
        <w:rPr>
          <w:rFonts w:ascii="仿宋_GB2312" w:eastAsia="仿宋_GB2312"/>
          <w:color w:val="FF0000"/>
          <w:sz w:val="30"/>
          <w:szCs w:val="30"/>
        </w:rPr>
      </w:pPr>
      <w:r>
        <w:rPr>
          <w:rFonts w:hint="eastAsia" w:ascii="仿宋_GB2312" w:eastAsia="仿宋_GB2312"/>
          <w:b/>
          <w:sz w:val="30"/>
          <w:szCs w:val="30"/>
        </w:rPr>
        <w:t>国内接待费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万元（其中：外事接待费支出</w:t>
      </w:r>
      <w:r>
        <w:rPr>
          <w:rFonts w:hint="eastAsia" w:ascii="仿宋_GB2312" w:eastAsia="仿宋_GB2312"/>
          <w:sz w:val="30"/>
          <w:szCs w:val="30"/>
          <w:lang w:val="en-US" w:eastAsia="zh-CN"/>
        </w:rPr>
        <w:t>0</w:t>
      </w:r>
      <w:r>
        <w:rPr>
          <w:rFonts w:hint="eastAsia" w:ascii="仿宋_GB2312" w:eastAsia="仿宋_GB2312"/>
          <w:sz w:val="30"/>
          <w:szCs w:val="30"/>
        </w:rPr>
        <w:t>万元），共安排国内公务接待</w:t>
      </w:r>
      <w:r>
        <w:rPr>
          <w:rFonts w:hint="eastAsia" w:ascii="仿宋_GB2312" w:eastAsia="仿宋_GB2312"/>
          <w:sz w:val="30"/>
          <w:szCs w:val="30"/>
          <w:lang w:val="en-US" w:eastAsia="zh-CN"/>
        </w:rPr>
        <w:t>0</w:t>
      </w:r>
      <w:r>
        <w:rPr>
          <w:rFonts w:hint="eastAsia" w:ascii="仿宋_GB2312" w:eastAsia="仿宋_GB2312"/>
          <w:sz w:val="30"/>
          <w:szCs w:val="30"/>
        </w:rPr>
        <w:t>批次（其中：外事接待</w:t>
      </w:r>
      <w:r>
        <w:rPr>
          <w:rFonts w:hint="eastAsia" w:ascii="仿宋_GB2312" w:eastAsia="仿宋_GB2312"/>
          <w:sz w:val="30"/>
          <w:szCs w:val="30"/>
          <w:lang w:val="en-US" w:eastAsia="zh-CN"/>
        </w:rPr>
        <w:t>0</w:t>
      </w:r>
      <w:r>
        <w:rPr>
          <w:rFonts w:hint="eastAsia" w:ascii="仿宋_GB2312" w:eastAsia="仿宋_GB2312"/>
          <w:sz w:val="30"/>
          <w:szCs w:val="30"/>
        </w:rPr>
        <w:t>批次），接待人次</w:t>
      </w:r>
      <w:r>
        <w:rPr>
          <w:rFonts w:hint="eastAsia" w:ascii="仿宋_GB2312" w:eastAsia="仿宋_GB2312"/>
          <w:sz w:val="30"/>
          <w:szCs w:val="30"/>
          <w:lang w:val="en-US" w:eastAsia="zh-CN"/>
        </w:rPr>
        <w:t>0</w:t>
      </w:r>
      <w:r>
        <w:rPr>
          <w:rFonts w:hint="eastAsia" w:ascii="仿宋_GB2312" w:eastAsia="仿宋_GB2312"/>
          <w:sz w:val="30"/>
          <w:szCs w:val="30"/>
        </w:rPr>
        <w:t>人（其中：外事接待人次</w:t>
      </w:r>
      <w:r>
        <w:rPr>
          <w:rFonts w:hint="eastAsia" w:ascii="仿宋_GB2312" w:eastAsia="仿宋_GB2312"/>
          <w:sz w:val="30"/>
          <w:szCs w:val="30"/>
          <w:lang w:val="en-US" w:eastAsia="zh-CN"/>
        </w:rPr>
        <w:t>0</w:t>
      </w:r>
      <w:r>
        <w:rPr>
          <w:rFonts w:hint="eastAsia" w:ascii="仿宋_GB2312" w:eastAsia="仿宋_GB2312"/>
          <w:sz w:val="30"/>
          <w:szCs w:val="30"/>
        </w:rPr>
        <w:t>人）。主要用于</w:t>
      </w:r>
      <w:r>
        <w:rPr>
          <w:rFonts w:hint="eastAsia" w:ascii="仿宋_GB2312" w:eastAsia="仿宋_GB2312"/>
          <w:sz w:val="30"/>
          <w:szCs w:val="30"/>
          <w:lang w:val="en-US" w:eastAsia="zh-CN"/>
        </w:rPr>
        <w:t>0</w:t>
      </w:r>
      <w:r>
        <w:rPr>
          <w:rFonts w:hint="eastAsia" w:ascii="仿宋_GB2312" w:eastAsia="仿宋_GB2312"/>
          <w:sz w:val="30"/>
          <w:szCs w:val="30"/>
        </w:rPr>
        <w:t>发生的接待支出。</w:t>
      </w:r>
    </w:p>
    <w:p>
      <w:pPr>
        <w:keepNext w:val="0"/>
        <w:keepLines w:val="0"/>
        <w:pageBreakBefore w:val="0"/>
        <w:widowControl/>
        <w:kinsoku/>
        <w:wordWrap/>
        <w:overflowPunct/>
        <w:topLinePunct w:val="0"/>
        <w:autoSpaceDE/>
        <w:autoSpaceDN/>
        <w:bidi w:val="0"/>
        <w:snapToGrid w:val="0"/>
        <w:spacing w:before="100" w:after="100" w:line="360" w:lineRule="auto"/>
        <w:ind w:firstLine="602" w:firstLineChars="200"/>
        <w:jc w:val="both"/>
        <w:rPr>
          <w:rFonts w:ascii="仿宋_GB2312" w:eastAsia="仿宋_GB2312"/>
          <w:color w:val="FF0000"/>
          <w:sz w:val="30"/>
          <w:szCs w:val="30"/>
        </w:rPr>
      </w:pPr>
      <w:r>
        <w:rPr>
          <w:rFonts w:hint="eastAsia" w:ascii="仿宋_GB2312" w:eastAsia="仿宋_GB2312"/>
          <w:b/>
          <w:sz w:val="30"/>
          <w:szCs w:val="30"/>
        </w:rPr>
        <w:t>国（境）外接待费</w:t>
      </w:r>
      <w:r>
        <w:rPr>
          <w:rFonts w:hint="eastAsia" w:ascii="仿宋_GB2312" w:eastAsia="仿宋_GB2312"/>
          <w:sz w:val="30"/>
          <w:szCs w:val="30"/>
        </w:rPr>
        <w:t>支出</w:t>
      </w:r>
      <w:r>
        <w:rPr>
          <w:rFonts w:hint="eastAsia" w:ascii="仿宋_GB2312" w:eastAsia="仿宋_GB2312"/>
          <w:sz w:val="30"/>
          <w:szCs w:val="30"/>
          <w:lang w:val="en-US" w:eastAsia="zh-CN"/>
        </w:rPr>
        <w:t>0</w:t>
      </w:r>
      <w:r>
        <w:rPr>
          <w:rFonts w:hint="eastAsia" w:ascii="仿宋_GB2312" w:eastAsia="仿宋_GB2312"/>
          <w:sz w:val="30"/>
          <w:szCs w:val="30"/>
        </w:rPr>
        <w:t>万元，共安排国（境）外公务接待</w:t>
      </w:r>
      <w:r>
        <w:rPr>
          <w:rFonts w:hint="eastAsia" w:ascii="仿宋_GB2312" w:eastAsia="仿宋_GB2312"/>
          <w:sz w:val="30"/>
          <w:szCs w:val="30"/>
          <w:lang w:val="en-US" w:eastAsia="zh-CN"/>
        </w:rPr>
        <w:t>0</w:t>
      </w:r>
      <w:r>
        <w:rPr>
          <w:rFonts w:hint="eastAsia" w:ascii="仿宋_GB2312" w:eastAsia="仿宋_GB2312"/>
          <w:sz w:val="30"/>
          <w:szCs w:val="30"/>
        </w:rPr>
        <w:t>批次，接待人次</w:t>
      </w:r>
      <w:r>
        <w:rPr>
          <w:rFonts w:hint="eastAsia" w:ascii="仿宋_GB2312" w:eastAsia="仿宋_GB2312"/>
          <w:sz w:val="30"/>
          <w:szCs w:val="30"/>
          <w:lang w:val="en-US" w:eastAsia="zh-CN"/>
        </w:rPr>
        <w:t>0</w:t>
      </w:r>
      <w:r>
        <w:rPr>
          <w:rFonts w:hint="eastAsia" w:ascii="仿宋_GB2312" w:eastAsia="仿宋_GB2312"/>
          <w:sz w:val="30"/>
          <w:szCs w:val="30"/>
        </w:rPr>
        <w:t>人。主要用于</w:t>
      </w:r>
      <w:r>
        <w:rPr>
          <w:rFonts w:hint="eastAsia" w:ascii="仿宋_GB2312" w:eastAsia="仿宋_GB2312"/>
          <w:sz w:val="30"/>
          <w:szCs w:val="30"/>
          <w:lang w:val="en-US" w:eastAsia="zh-CN"/>
        </w:rPr>
        <w:t>0</w:t>
      </w:r>
      <w:r>
        <w:rPr>
          <w:rFonts w:hint="eastAsia" w:ascii="仿宋_GB2312" w:eastAsia="仿宋_GB2312"/>
          <w:sz w:val="30"/>
          <w:szCs w:val="30"/>
        </w:rPr>
        <w:t>发生的接待支出。</w:t>
      </w:r>
    </w:p>
    <w:p>
      <w:pPr>
        <w:keepNext w:val="0"/>
        <w:keepLines w:val="0"/>
        <w:pageBreakBefore w:val="0"/>
        <w:widowControl/>
        <w:kinsoku/>
        <w:wordWrap/>
        <w:overflowPunct/>
        <w:topLinePunct w:val="0"/>
        <w:autoSpaceDE/>
        <w:autoSpaceDN/>
        <w:bidi w:val="0"/>
        <w:snapToGrid w:val="0"/>
        <w:spacing w:before="100" w:after="100" w:line="360" w:lineRule="auto"/>
        <w:ind w:firstLine="640" w:firstLineChars="200"/>
        <w:jc w:val="center"/>
        <w:rPr>
          <w:rFonts w:ascii="仿宋_GB2312" w:eastAsia="仿宋_GB2312"/>
          <w:sz w:val="32"/>
          <w:szCs w:val="32"/>
        </w:rPr>
      </w:pPr>
      <w:r>
        <w:rPr>
          <w:rFonts w:hint="eastAsia" w:ascii="黑体" w:hAnsi="黑体" w:eastAsia="黑体" w:cs="方正小标宋简体"/>
          <w:sz w:val="32"/>
          <w:szCs w:val="32"/>
        </w:rPr>
        <w:t xml:space="preserve">第四部分  </w:t>
      </w:r>
      <w:r>
        <w:rPr>
          <w:rFonts w:hint="eastAsia" w:ascii="黑体" w:hAnsi="黑体" w:eastAsia="黑体"/>
          <w:sz w:val="32"/>
          <w:szCs w:val="32"/>
        </w:rPr>
        <w:t>其他重要事项及相关口径情况说明</w:t>
      </w:r>
    </w:p>
    <w:p>
      <w:pPr>
        <w:keepNext w:val="0"/>
        <w:keepLines w:val="0"/>
        <w:pageBreakBefore w:val="0"/>
        <w:kinsoku/>
        <w:wordWrap/>
        <w:overflowPunct/>
        <w:topLinePunct w:val="0"/>
        <w:autoSpaceDE/>
        <w:autoSpaceDN/>
        <w:bidi w:val="0"/>
        <w:ind w:firstLine="600" w:firstLineChars="200"/>
        <w:jc w:val="both"/>
        <w:rPr>
          <w:rFonts w:hint="eastAsia" w:ascii="黑体" w:hAnsi="黑体" w:eastAsia="黑体" w:cs="黑体"/>
          <w:sz w:val="30"/>
          <w:szCs w:val="30"/>
        </w:rPr>
      </w:pPr>
      <w:r>
        <w:rPr>
          <w:rFonts w:hint="eastAsia" w:ascii="黑体" w:hAnsi="黑体" w:eastAsia="黑体" w:cs="黑体"/>
          <w:sz w:val="30"/>
          <w:szCs w:val="30"/>
        </w:rPr>
        <w:t>一、机关运行经费支出情况</w:t>
      </w:r>
    </w:p>
    <w:p>
      <w:pPr>
        <w:keepNext w:val="0"/>
        <w:keepLines w:val="0"/>
        <w:pageBreakBefore w:val="0"/>
        <w:kinsoku/>
        <w:wordWrap/>
        <w:overflowPunct/>
        <w:topLinePunct w:val="0"/>
        <w:autoSpaceDE/>
        <w:autoSpaceDN/>
        <w:bidi w:val="0"/>
        <w:ind w:firstLine="600" w:firstLineChars="200"/>
        <w:jc w:val="both"/>
        <w:rPr>
          <w:rFonts w:hint="eastAsia" w:ascii="仿宋_GB2312" w:hAnsi="黑体" w:eastAsia="仿宋_GB2312" w:cs="方正小标宋简体"/>
          <w:color w:val="auto"/>
          <w:sz w:val="30"/>
          <w:szCs w:val="30"/>
          <w:lang w:eastAsia="zh-CN"/>
        </w:rPr>
      </w:pPr>
      <w:r>
        <w:rPr>
          <w:rFonts w:hint="eastAsia" w:ascii="仿宋_GB2312" w:eastAsia="仿宋_GB2312"/>
          <w:color w:val="auto"/>
          <w:sz w:val="30"/>
          <w:szCs w:val="30"/>
        </w:rPr>
        <w:t>昆明市西山区供销合作社联合社</w:t>
      </w:r>
      <w:r>
        <w:rPr>
          <w:rFonts w:hint="eastAsia" w:ascii="仿宋_GB2312" w:hAnsi="黑体" w:eastAsia="仿宋_GB2312" w:cs="方正小标宋简体"/>
          <w:color w:val="auto"/>
          <w:sz w:val="30"/>
          <w:szCs w:val="30"/>
        </w:rPr>
        <w:t>2021年机关运行经费支出</w:t>
      </w:r>
      <w:r>
        <w:rPr>
          <w:rFonts w:hint="eastAsia" w:ascii="仿宋_GB2312" w:hAnsi="黑体" w:eastAsia="仿宋_GB2312" w:cs="方正小标宋简体"/>
          <w:color w:val="auto"/>
          <w:sz w:val="30"/>
          <w:szCs w:val="30"/>
          <w:lang w:val="en-US" w:eastAsia="zh-CN"/>
        </w:rPr>
        <w:t>0</w:t>
      </w:r>
      <w:r>
        <w:rPr>
          <w:rFonts w:hint="eastAsia" w:ascii="仿宋_GB2312" w:hAnsi="黑体" w:eastAsia="仿宋_GB2312" w:cs="方正小标宋简体"/>
          <w:color w:val="auto"/>
          <w:sz w:val="30"/>
          <w:szCs w:val="30"/>
        </w:rPr>
        <w:t>万元，与上年</w:t>
      </w:r>
      <w:r>
        <w:rPr>
          <w:rFonts w:hint="eastAsia" w:ascii="仿宋_GB2312" w:hAnsi="黑体" w:eastAsia="仿宋_GB2312" w:cs="方正小标宋简体"/>
          <w:color w:val="auto"/>
          <w:sz w:val="30"/>
          <w:szCs w:val="30"/>
          <w:lang w:val="en-US" w:eastAsia="zh-CN"/>
        </w:rPr>
        <w:t>持平，无变化</w:t>
      </w:r>
      <w:r>
        <w:rPr>
          <w:rFonts w:hint="eastAsia" w:ascii="仿宋_GB2312" w:hAnsi="黑体" w:eastAsia="仿宋_GB2312" w:cs="方正小标宋简体"/>
          <w:color w:val="auto"/>
          <w:sz w:val="30"/>
          <w:szCs w:val="30"/>
          <w:lang w:eastAsia="zh-CN"/>
        </w:rPr>
        <w:t>。</w:t>
      </w:r>
    </w:p>
    <w:p>
      <w:pPr>
        <w:keepNext w:val="0"/>
        <w:keepLines w:val="0"/>
        <w:pageBreakBefore w:val="0"/>
        <w:widowControl/>
        <w:kinsoku/>
        <w:wordWrap/>
        <w:overflowPunct/>
        <w:topLinePunct w:val="0"/>
        <w:autoSpaceDE/>
        <w:autoSpaceDN/>
        <w:bidi w:val="0"/>
        <w:ind w:firstLine="600" w:firstLineChars="200"/>
        <w:jc w:val="both"/>
        <w:rPr>
          <w:rFonts w:ascii="黑体" w:hAnsi="黑体" w:eastAsia="黑体" w:cs="黑体"/>
          <w:color w:val="000000"/>
          <w:kern w:val="0"/>
          <w:sz w:val="30"/>
          <w:szCs w:val="30"/>
        </w:rPr>
      </w:pPr>
      <w:r>
        <w:rPr>
          <w:rFonts w:hint="eastAsia" w:ascii="黑体" w:hAnsi="黑体" w:eastAsia="黑体" w:cs="黑体"/>
          <w:color w:val="000000"/>
          <w:kern w:val="0"/>
          <w:sz w:val="30"/>
          <w:szCs w:val="30"/>
        </w:rPr>
        <w:t>二、国有资产占用情况</w:t>
      </w:r>
      <w:bookmarkStart w:id="0" w:name="_GoBack"/>
      <w:bookmarkEnd w:id="0"/>
    </w:p>
    <w:p>
      <w:pPr>
        <w:keepNext w:val="0"/>
        <w:keepLines w:val="0"/>
        <w:pageBreakBefore w:val="0"/>
        <w:kinsoku/>
        <w:wordWrap/>
        <w:overflowPunct/>
        <w:topLinePunct w:val="0"/>
        <w:autoSpaceDE/>
        <w:autoSpaceDN/>
        <w:bidi w:val="0"/>
        <w:ind w:firstLine="600" w:firstLineChars="200"/>
        <w:jc w:val="both"/>
        <w:rPr>
          <w:rFonts w:ascii="仿宋_GB2312" w:hAnsi="仿宋_GB2312" w:eastAsia="仿宋_GB2312" w:cs="仿宋_GB2312"/>
          <w:color w:val="FF0000"/>
          <w:sz w:val="30"/>
          <w:szCs w:val="30"/>
        </w:rPr>
      </w:pPr>
      <w:r>
        <w:rPr>
          <w:rFonts w:hint="eastAsia" w:ascii="仿宋_GB2312" w:hAnsi="黑体" w:eastAsia="仿宋_GB2312" w:cs="方正小标宋简体"/>
          <w:color w:val="000000"/>
          <w:kern w:val="0"/>
          <w:sz w:val="30"/>
          <w:szCs w:val="30"/>
        </w:rPr>
        <w:t>截至2021年12月31日，</w:t>
      </w:r>
      <w:r>
        <w:rPr>
          <w:rFonts w:hint="eastAsia" w:ascii="仿宋_GB2312" w:eastAsia="仿宋_GB2312"/>
          <w:sz w:val="30"/>
          <w:szCs w:val="30"/>
        </w:rPr>
        <w:t>昆明市西山区供销合作社联合社</w:t>
      </w:r>
      <w:r>
        <w:rPr>
          <w:rFonts w:hint="eastAsia" w:ascii="仿宋_GB2312" w:hAnsi="黑体" w:eastAsia="仿宋_GB2312" w:cs="方正小标宋简体"/>
          <w:color w:val="000000"/>
          <w:kern w:val="0"/>
          <w:sz w:val="30"/>
          <w:szCs w:val="30"/>
        </w:rPr>
        <w:t>资产总额</w:t>
      </w:r>
      <w:r>
        <w:rPr>
          <w:rFonts w:hint="eastAsia" w:ascii="仿宋_GB2312" w:hAnsi="黑体" w:eastAsia="仿宋_GB2312" w:cs="方正小标宋简体"/>
          <w:color w:val="000000"/>
          <w:kern w:val="0"/>
          <w:sz w:val="30"/>
          <w:szCs w:val="30"/>
          <w:lang w:val="en-US" w:eastAsia="zh-CN"/>
        </w:rPr>
        <w:t>13.85</w:t>
      </w:r>
      <w:r>
        <w:rPr>
          <w:rFonts w:hint="eastAsia" w:ascii="仿宋_GB2312" w:hAnsi="黑体" w:eastAsia="仿宋_GB2312" w:cs="方正小标宋简体"/>
          <w:color w:val="000000"/>
          <w:kern w:val="0"/>
          <w:sz w:val="30"/>
          <w:szCs w:val="30"/>
        </w:rPr>
        <w:t>万元，其中，流动资产</w:t>
      </w:r>
      <w:r>
        <w:rPr>
          <w:rFonts w:hint="eastAsia" w:ascii="仿宋_GB2312" w:hAnsi="黑体" w:eastAsia="仿宋_GB2312" w:cs="方正小标宋简体"/>
          <w:color w:val="000000"/>
          <w:kern w:val="0"/>
          <w:sz w:val="30"/>
          <w:szCs w:val="30"/>
          <w:lang w:val="en-US" w:eastAsia="zh-CN"/>
        </w:rPr>
        <w:t>6.05</w:t>
      </w:r>
      <w:r>
        <w:rPr>
          <w:rFonts w:hint="eastAsia" w:ascii="仿宋_GB2312" w:hAnsi="黑体" w:eastAsia="仿宋_GB2312" w:cs="方正小标宋简体"/>
          <w:color w:val="000000"/>
          <w:kern w:val="0"/>
          <w:sz w:val="30"/>
          <w:szCs w:val="30"/>
        </w:rPr>
        <w:t>万元，固定资产</w:t>
      </w:r>
      <w:r>
        <w:rPr>
          <w:rFonts w:hint="eastAsia" w:ascii="仿宋_GB2312" w:hAnsi="黑体" w:eastAsia="仿宋_GB2312" w:cs="方正小标宋简体"/>
          <w:color w:val="000000"/>
          <w:kern w:val="0"/>
          <w:sz w:val="30"/>
          <w:szCs w:val="30"/>
          <w:lang w:val="en-US" w:eastAsia="zh-CN"/>
        </w:rPr>
        <w:t>7.80</w:t>
      </w:r>
      <w:r>
        <w:rPr>
          <w:rFonts w:hint="eastAsia" w:ascii="仿宋_GB2312" w:hAnsi="黑体" w:eastAsia="仿宋_GB2312" w:cs="方正小标宋简体"/>
          <w:color w:val="000000"/>
          <w:kern w:val="0"/>
          <w:sz w:val="30"/>
          <w:szCs w:val="30"/>
        </w:rPr>
        <w:t>万元，对外投资及有价证券</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万元，在建工程</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万元，无形资产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万元，其他资产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万元（具体内容详见附表）。与上年相比，本年资产总额减少</w:t>
      </w:r>
      <w:r>
        <w:rPr>
          <w:rFonts w:hint="eastAsia" w:ascii="仿宋_GB2312" w:hAnsi="黑体" w:eastAsia="仿宋_GB2312" w:cs="方正小标宋简体"/>
          <w:color w:val="000000"/>
          <w:kern w:val="0"/>
          <w:sz w:val="30"/>
          <w:szCs w:val="30"/>
          <w:lang w:val="en-US" w:eastAsia="zh-CN"/>
        </w:rPr>
        <w:t>8.38</w:t>
      </w:r>
      <w:r>
        <w:rPr>
          <w:rFonts w:hint="eastAsia" w:ascii="仿宋_GB2312" w:hAnsi="黑体" w:eastAsia="仿宋_GB2312" w:cs="方正小标宋简体"/>
          <w:color w:val="000000"/>
          <w:kern w:val="0"/>
          <w:sz w:val="30"/>
          <w:szCs w:val="30"/>
        </w:rPr>
        <w:t>万元，其中固定资产增加</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万元。处置房屋建筑物</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平方米，账面原值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万元；处置车辆</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辆，账面原值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万元；报废报损资产</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项，账面原值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万元，实现资产处置收入</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万元；出租房屋</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平方米，账面原值</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万元，实现资产使用收入</w:t>
      </w:r>
      <w:r>
        <w:rPr>
          <w:rFonts w:hint="eastAsia" w:ascii="仿宋_GB2312" w:hAnsi="黑体" w:eastAsia="仿宋_GB2312" w:cs="方正小标宋简体"/>
          <w:color w:val="000000"/>
          <w:kern w:val="0"/>
          <w:sz w:val="30"/>
          <w:szCs w:val="30"/>
          <w:lang w:val="en-US" w:eastAsia="zh-CN"/>
        </w:rPr>
        <w:t>0</w:t>
      </w:r>
      <w:r>
        <w:rPr>
          <w:rFonts w:hint="eastAsia" w:ascii="仿宋_GB2312" w:hAnsi="黑体" w:eastAsia="仿宋_GB2312" w:cs="方正小标宋简体"/>
          <w:color w:val="000000"/>
          <w:kern w:val="0"/>
          <w:sz w:val="30"/>
          <w:szCs w:val="30"/>
        </w:rPr>
        <w:t>万元。</w:t>
      </w:r>
    </w:p>
    <w:tbl>
      <w:tblPr>
        <w:tblStyle w:val="5"/>
        <w:tblpPr w:leftFromText="180" w:rightFromText="180" w:topFromText="100" w:bottomFromText="100" w:vertAnchor="text" w:horzAnchor="page" w:tblpX="534" w:tblpY="490"/>
        <w:tblOverlap w:val="never"/>
        <w:tblW w:w="10770" w:type="dxa"/>
        <w:tblInd w:w="0" w:type="dxa"/>
        <w:shd w:val="clear" w:color="auto" w:fill="auto"/>
        <w:tblLayout w:type="fixed"/>
        <w:tblCellMar>
          <w:top w:w="0" w:type="dxa"/>
          <w:left w:w="0" w:type="dxa"/>
          <w:bottom w:w="0" w:type="dxa"/>
          <w:right w:w="0" w:type="dxa"/>
        </w:tblCellMar>
      </w:tblPr>
      <w:tblGrid>
        <w:gridCol w:w="715"/>
        <w:gridCol w:w="546"/>
        <w:gridCol w:w="762"/>
        <w:gridCol w:w="675"/>
        <w:gridCol w:w="619"/>
        <w:gridCol w:w="693"/>
        <w:gridCol w:w="603"/>
        <w:gridCol w:w="67"/>
        <w:gridCol w:w="865"/>
        <w:gridCol w:w="331"/>
        <w:gridCol w:w="643"/>
        <w:gridCol w:w="196"/>
        <w:gridCol w:w="978"/>
        <w:gridCol w:w="979"/>
        <w:gridCol w:w="360"/>
        <w:gridCol w:w="618"/>
        <w:gridCol w:w="360"/>
        <w:gridCol w:w="142"/>
        <w:gridCol w:w="476"/>
        <w:gridCol w:w="142"/>
      </w:tblGrid>
      <w:tr>
        <w:tblPrEx>
          <w:shd w:val="clear" w:color="auto" w:fill="auto"/>
          <w:tblCellMar>
            <w:top w:w="0" w:type="dxa"/>
            <w:left w:w="0" w:type="dxa"/>
            <w:bottom w:w="0" w:type="dxa"/>
            <w:right w:w="0" w:type="dxa"/>
          </w:tblCellMar>
        </w:tblPrEx>
        <w:trPr>
          <w:trHeight w:val="495" w:hRule="atLeast"/>
        </w:trPr>
        <w:tc>
          <w:tcPr>
            <w:tcW w:w="10628" w:type="dxa"/>
            <w:gridSpan w:val="19"/>
            <w:tcBorders>
              <w:top w:val="nil"/>
              <w:left w:val="nil"/>
              <w:bottom w:val="nil"/>
              <w:right w:val="nil"/>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center"/>
              <w:textAlignment w:val="center"/>
              <w:rPr>
                <w:rFonts w:ascii="宋体" w:hAnsi="宋体" w:cs="宋体"/>
                <w:color w:val="000000"/>
                <w:kern w:val="0"/>
                <w:sz w:val="24"/>
              </w:rPr>
            </w:pPr>
            <w:r>
              <w:rPr>
                <w:rFonts w:hint="eastAsia" w:ascii="仿宋_GB2312" w:hAnsi="方正小标宋_GBK" w:eastAsia="仿宋_GB2312" w:cs="方正小标宋_GBK"/>
                <w:b/>
                <w:color w:val="000000"/>
                <w:kern w:val="0"/>
                <w:sz w:val="30"/>
                <w:szCs w:val="30"/>
                <w:lang w:bidi="ar"/>
              </w:rPr>
              <w:t>国有资产占有使用情况表</w:t>
            </w:r>
          </w:p>
        </w:tc>
        <w:tc>
          <w:tcPr>
            <w:tcW w:w="142" w:type="dxa"/>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17"/>
                <w:szCs w:val="17"/>
              </w:rPr>
            </w:pPr>
          </w:p>
        </w:tc>
      </w:tr>
      <w:tr>
        <w:tblPrEx>
          <w:shd w:val="clear" w:color="auto" w:fill="auto"/>
          <w:tblCellMar>
            <w:top w:w="0" w:type="dxa"/>
            <w:left w:w="0" w:type="dxa"/>
            <w:bottom w:w="0" w:type="dxa"/>
            <w:right w:w="0" w:type="dxa"/>
          </w:tblCellMar>
        </w:tblPrEx>
        <w:trPr>
          <w:trHeight w:val="347" w:hRule="atLeast"/>
        </w:trPr>
        <w:tc>
          <w:tcPr>
            <w:tcW w:w="4680" w:type="dxa"/>
            <w:gridSpan w:val="8"/>
            <w:tcBorders>
              <w:top w:val="nil"/>
              <w:left w:val="nil"/>
              <w:bottom w:val="single" w:color="808080" w:sz="4" w:space="0"/>
              <w:right w:val="nil"/>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rPr>
              <w:t> </w:t>
            </w:r>
          </w:p>
        </w:tc>
        <w:tc>
          <w:tcPr>
            <w:tcW w:w="865" w:type="dxa"/>
            <w:tcBorders>
              <w:top w:val="nil"/>
              <w:left w:val="nil"/>
              <w:bottom w:val="single" w:color="808080" w:sz="4" w:space="0"/>
              <w:right w:val="nil"/>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974" w:type="dxa"/>
            <w:gridSpan w:val="2"/>
            <w:tcBorders>
              <w:top w:val="nil"/>
              <w:left w:val="nil"/>
              <w:bottom w:val="single" w:color="808080" w:sz="4" w:space="0"/>
              <w:right w:val="nil"/>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196" w:type="dxa"/>
            <w:tcBorders>
              <w:top w:val="nil"/>
              <w:left w:val="nil"/>
              <w:bottom w:val="single" w:color="808080" w:sz="4" w:space="0"/>
              <w:right w:val="nil"/>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978" w:type="dxa"/>
            <w:tcBorders>
              <w:top w:val="nil"/>
              <w:left w:val="nil"/>
              <w:bottom w:val="single" w:color="808080" w:sz="4" w:space="0"/>
              <w:right w:val="nil"/>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979" w:type="dxa"/>
            <w:tcBorders>
              <w:top w:val="nil"/>
              <w:left w:val="nil"/>
              <w:bottom w:val="single" w:color="808080" w:sz="4" w:space="0"/>
              <w:right w:val="nil"/>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1956" w:type="dxa"/>
            <w:gridSpan w:val="5"/>
            <w:tcBorders>
              <w:top w:val="nil"/>
              <w:left w:val="nil"/>
              <w:bottom w:val="single" w:color="808080" w:sz="4" w:space="0"/>
              <w:right w:val="nil"/>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单位：万元</w:t>
            </w:r>
          </w:p>
        </w:tc>
        <w:tc>
          <w:tcPr>
            <w:tcW w:w="142" w:type="dxa"/>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17"/>
                <w:szCs w:val="17"/>
              </w:rPr>
            </w:pPr>
          </w:p>
        </w:tc>
      </w:tr>
      <w:tr>
        <w:tblPrEx>
          <w:shd w:val="clear" w:color="auto" w:fill="auto"/>
          <w:tblCellMar>
            <w:top w:w="0" w:type="dxa"/>
            <w:left w:w="0" w:type="dxa"/>
            <w:bottom w:w="0" w:type="dxa"/>
            <w:right w:w="0" w:type="dxa"/>
          </w:tblCellMar>
        </w:tblPrEx>
        <w:trPr>
          <w:trHeight w:val="415" w:hRule="atLeast"/>
        </w:trPr>
        <w:tc>
          <w:tcPr>
            <w:tcW w:w="71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项目</w:t>
            </w:r>
          </w:p>
        </w:tc>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行次</w:t>
            </w:r>
          </w:p>
        </w:tc>
        <w:tc>
          <w:tcPr>
            <w:tcW w:w="7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资产总额</w:t>
            </w:r>
          </w:p>
        </w:tc>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流动资产</w:t>
            </w:r>
          </w:p>
        </w:tc>
        <w:tc>
          <w:tcPr>
            <w:tcW w:w="4017"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固定资产</w:t>
            </w:r>
          </w:p>
        </w:tc>
        <w:tc>
          <w:tcPr>
            <w:tcW w:w="97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对外投资/有价证券</w:t>
            </w:r>
          </w:p>
        </w:tc>
        <w:tc>
          <w:tcPr>
            <w:tcW w:w="97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在建工程</w:t>
            </w:r>
          </w:p>
        </w:tc>
        <w:tc>
          <w:tcPr>
            <w:tcW w:w="978"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无形资产</w:t>
            </w:r>
          </w:p>
        </w:tc>
        <w:tc>
          <w:tcPr>
            <w:tcW w:w="978"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其他资产</w:t>
            </w:r>
          </w:p>
        </w:tc>
        <w:tc>
          <w:tcPr>
            <w:tcW w:w="142" w:type="dxa"/>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17"/>
                <w:szCs w:val="17"/>
              </w:rPr>
            </w:pPr>
          </w:p>
        </w:tc>
      </w:tr>
      <w:tr>
        <w:tblPrEx>
          <w:shd w:val="clear" w:color="auto" w:fill="auto"/>
          <w:tblCellMar>
            <w:top w:w="0" w:type="dxa"/>
            <w:left w:w="0" w:type="dxa"/>
            <w:bottom w:w="0" w:type="dxa"/>
            <w:right w:w="0" w:type="dxa"/>
          </w:tblCellMar>
        </w:tblPrEx>
        <w:trPr>
          <w:trHeight w:val="345" w:hRule="atLeast"/>
        </w:trPr>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61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小计</w:t>
            </w:r>
          </w:p>
        </w:tc>
        <w:tc>
          <w:tcPr>
            <w:tcW w:w="69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房屋构筑物</w:t>
            </w:r>
          </w:p>
        </w:tc>
        <w:tc>
          <w:tcPr>
            <w:tcW w:w="6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车辆</w:t>
            </w:r>
          </w:p>
        </w:tc>
        <w:tc>
          <w:tcPr>
            <w:tcW w:w="126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单价200万以上大型设备</w:t>
            </w:r>
          </w:p>
        </w:tc>
        <w:tc>
          <w:tcPr>
            <w:tcW w:w="83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其他固定资产</w:t>
            </w:r>
          </w:p>
        </w:tc>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9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978"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978"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142" w:type="dxa"/>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17"/>
                <w:szCs w:val="17"/>
              </w:rPr>
            </w:pPr>
          </w:p>
        </w:tc>
      </w:tr>
      <w:tr>
        <w:tblPrEx>
          <w:shd w:val="clear" w:color="auto" w:fill="auto"/>
          <w:tblCellMar>
            <w:top w:w="0" w:type="dxa"/>
            <w:left w:w="0" w:type="dxa"/>
            <w:bottom w:w="0" w:type="dxa"/>
            <w:right w:w="0" w:type="dxa"/>
          </w:tblCellMar>
        </w:tblPrEx>
        <w:trPr>
          <w:trHeight w:val="395" w:hRule="atLeast"/>
        </w:trPr>
        <w:tc>
          <w:tcPr>
            <w:tcW w:w="7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6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6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6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126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83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9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9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978"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978" w:type="dxa"/>
            <w:gridSpan w:val="3"/>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142" w:type="dxa"/>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17"/>
                <w:szCs w:val="17"/>
              </w:rPr>
            </w:pPr>
          </w:p>
        </w:tc>
      </w:tr>
      <w:tr>
        <w:tblPrEx>
          <w:shd w:val="clear" w:color="auto" w:fill="auto"/>
          <w:tblCellMar>
            <w:top w:w="0" w:type="dxa"/>
            <w:left w:w="0" w:type="dxa"/>
            <w:bottom w:w="0" w:type="dxa"/>
            <w:right w:w="0" w:type="dxa"/>
          </w:tblCellMar>
        </w:tblPrEx>
        <w:trPr>
          <w:trHeight w:val="358"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栏次</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1</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2</w:t>
            </w:r>
          </w:p>
        </w:tc>
        <w:tc>
          <w:tcPr>
            <w:tcW w:w="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3</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4</w:t>
            </w:r>
          </w:p>
        </w:tc>
        <w:tc>
          <w:tcPr>
            <w:tcW w:w="6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5</w:t>
            </w:r>
          </w:p>
        </w:tc>
        <w:tc>
          <w:tcPr>
            <w:tcW w:w="126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6</w:t>
            </w:r>
          </w:p>
        </w:tc>
        <w:tc>
          <w:tcPr>
            <w:tcW w:w="8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7</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8</w:t>
            </w:r>
          </w:p>
        </w:tc>
        <w:tc>
          <w:tcPr>
            <w:tcW w:w="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9</w:t>
            </w:r>
          </w:p>
        </w:tc>
        <w:tc>
          <w:tcPr>
            <w:tcW w:w="97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10</w:t>
            </w:r>
          </w:p>
        </w:tc>
        <w:tc>
          <w:tcPr>
            <w:tcW w:w="9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11</w:t>
            </w:r>
          </w:p>
        </w:tc>
        <w:tc>
          <w:tcPr>
            <w:tcW w:w="142" w:type="dxa"/>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17"/>
                <w:szCs w:val="17"/>
              </w:rPr>
            </w:pPr>
          </w:p>
        </w:tc>
      </w:tr>
      <w:tr>
        <w:tblPrEx>
          <w:shd w:val="clear" w:color="auto" w:fill="auto"/>
          <w:tblCellMar>
            <w:top w:w="0" w:type="dxa"/>
            <w:left w:w="0" w:type="dxa"/>
            <w:bottom w:w="0" w:type="dxa"/>
            <w:right w:w="0" w:type="dxa"/>
          </w:tblCellMar>
        </w:tblPrEx>
        <w:trPr>
          <w:trHeight w:val="563" w:hRule="atLeast"/>
        </w:trPr>
        <w:tc>
          <w:tcPr>
            <w:tcW w:w="7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合计</w:t>
            </w:r>
          </w:p>
        </w:tc>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textAlignment w:val="center"/>
              <w:rPr>
                <w:rFonts w:ascii="宋体" w:hAnsi="宋体" w:cs="宋体"/>
                <w:color w:val="000000"/>
                <w:kern w:val="0"/>
                <w:sz w:val="24"/>
              </w:rPr>
            </w:pPr>
            <w:r>
              <w:rPr>
                <w:rFonts w:hint="eastAsia" w:ascii="宋体" w:hAnsi="宋体" w:cs="宋体"/>
                <w:color w:val="000000"/>
                <w:kern w:val="0"/>
                <w:sz w:val="20"/>
                <w:szCs w:val="20"/>
                <w:lang w:bidi="ar"/>
              </w:rPr>
              <w:t>1</w:t>
            </w:r>
          </w:p>
        </w:tc>
        <w:tc>
          <w:tcPr>
            <w:tcW w:w="7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lang w:val="en-US" w:eastAsia="zh-CN"/>
              </w:rPr>
              <w:t>13.85</w:t>
            </w:r>
            <w:r>
              <w:rPr>
                <w:rFonts w:hint="eastAsia" w:ascii="宋体" w:hAnsi="宋体" w:cs="宋体"/>
                <w:color w:val="000000"/>
                <w:kern w:val="0"/>
                <w:sz w:val="20"/>
                <w:szCs w:val="20"/>
              </w:rPr>
              <w:t> </w:t>
            </w:r>
          </w:p>
        </w:tc>
        <w:tc>
          <w:tcPr>
            <w:tcW w:w="6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lang w:val="en-US" w:eastAsia="zh-CN"/>
              </w:rPr>
              <w:t>6.05</w:t>
            </w:r>
            <w:r>
              <w:rPr>
                <w:rFonts w:hint="eastAsia" w:ascii="宋体" w:hAnsi="宋体" w:cs="宋体"/>
                <w:color w:val="000000"/>
                <w:kern w:val="0"/>
                <w:sz w:val="20"/>
                <w:szCs w:val="20"/>
              </w:rPr>
              <w:t> </w:t>
            </w:r>
          </w:p>
        </w:tc>
        <w:tc>
          <w:tcPr>
            <w:tcW w:w="6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lang w:val="en-US" w:eastAsia="zh-CN"/>
              </w:rPr>
              <w:t>7.8</w:t>
            </w:r>
            <w:r>
              <w:rPr>
                <w:rFonts w:hint="eastAsia" w:ascii="宋体" w:hAnsi="宋体" w:cs="宋体"/>
                <w:color w:val="000000"/>
                <w:kern w:val="0"/>
                <w:sz w:val="20"/>
                <w:szCs w:val="20"/>
              </w:rPr>
              <w:t> </w:t>
            </w:r>
          </w:p>
        </w:tc>
        <w:tc>
          <w:tcPr>
            <w:tcW w:w="6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6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126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83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lang w:val="en-US" w:eastAsia="zh-CN"/>
              </w:rPr>
              <w:t>7.8</w:t>
            </w:r>
            <w:r>
              <w:rPr>
                <w:rFonts w:hint="eastAsia" w:ascii="宋体" w:hAnsi="宋体" w:cs="宋体"/>
                <w:color w:val="000000"/>
                <w:kern w:val="0"/>
                <w:sz w:val="20"/>
                <w:szCs w:val="20"/>
              </w:rPr>
              <w:t> </w:t>
            </w:r>
          </w:p>
        </w:tc>
        <w:tc>
          <w:tcPr>
            <w:tcW w:w="9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97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97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hint="eastAsia" w:ascii="宋体" w:hAnsi="宋体" w:cs="宋体"/>
                <w:color w:val="000000"/>
                <w:kern w:val="0"/>
                <w:sz w:val="20"/>
                <w:szCs w:val="20"/>
              </w:rPr>
              <w:t> </w:t>
            </w:r>
          </w:p>
        </w:tc>
        <w:tc>
          <w:tcPr>
            <w:tcW w:w="142" w:type="dxa"/>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17"/>
                <w:szCs w:val="17"/>
              </w:rPr>
            </w:pPr>
          </w:p>
        </w:tc>
      </w:tr>
      <w:tr>
        <w:tblPrEx>
          <w:tblCellMar>
            <w:top w:w="0" w:type="dxa"/>
            <w:left w:w="0" w:type="dxa"/>
            <w:bottom w:w="0" w:type="dxa"/>
            <w:right w:w="0" w:type="dxa"/>
          </w:tblCellMar>
        </w:tblPrEx>
        <w:trPr>
          <w:gridAfter w:val="2"/>
          <w:wAfter w:w="618" w:type="dxa"/>
          <w:trHeight w:val="259" w:hRule="atLeast"/>
        </w:trPr>
        <w:tc>
          <w:tcPr>
            <w:tcW w:w="8672" w:type="dxa"/>
            <w:gridSpan w:val="14"/>
            <w:tcBorders>
              <w:top w:val="nil"/>
              <w:left w:val="nil"/>
              <w:bottom w:val="nil"/>
              <w:right w:val="nil"/>
            </w:tcBorders>
            <w:shd w:val="clear" w:color="auto" w:fill="auto"/>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360" w:type="dxa"/>
            <w:tcBorders>
              <w:top w:val="nil"/>
              <w:left w:val="nil"/>
              <w:bottom w:val="nil"/>
              <w:right w:val="nil"/>
            </w:tcBorders>
            <w:shd w:val="clear" w:color="auto" w:fill="auto"/>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both"/>
              <w:rPr>
                <w:rFonts w:ascii="宋体" w:hAnsi="宋体" w:cs="宋体"/>
                <w:color w:val="000000"/>
                <w:kern w:val="0"/>
                <w:sz w:val="20"/>
                <w:lang w:bidi="ar"/>
              </w:rPr>
            </w:pPr>
          </w:p>
        </w:tc>
        <w:tc>
          <w:tcPr>
            <w:tcW w:w="978" w:type="dxa"/>
            <w:gridSpan w:val="2"/>
            <w:tcBorders>
              <w:top w:val="nil"/>
              <w:left w:val="nil"/>
              <w:bottom w:val="nil"/>
              <w:right w:val="nil"/>
            </w:tcBorders>
            <w:shd w:val="clear" w:color="auto" w:fill="auto"/>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p>
        </w:tc>
        <w:tc>
          <w:tcPr>
            <w:tcW w:w="142" w:type="dxa"/>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jc w:val="both"/>
              <w:rPr>
                <w:rFonts w:ascii="宋体" w:hAnsi="宋体" w:cs="宋体"/>
                <w:color w:val="000000"/>
                <w:kern w:val="0"/>
                <w:sz w:val="17"/>
                <w:szCs w:val="17"/>
              </w:rPr>
            </w:pPr>
          </w:p>
        </w:tc>
      </w:tr>
      <w:tr>
        <w:tblPrEx>
          <w:tblCellMar>
            <w:top w:w="0" w:type="dxa"/>
            <w:left w:w="0" w:type="dxa"/>
            <w:bottom w:w="0" w:type="dxa"/>
            <w:right w:w="0" w:type="dxa"/>
          </w:tblCellMar>
        </w:tblPrEx>
        <w:trPr>
          <w:trHeight w:val="495" w:hRule="atLeast"/>
        </w:trPr>
        <w:tc>
          <w:tcPr>
            <w:tcW w:w="9650" w:type="dxa"/>
            <w:gridSpan w:val="16"/>
            <w:tcBorders>
              <w:top w:val="nil"/>
              <w:left w:val="nil"/>
              <w:bottom w:val="nil"/>
              <w:right w:val="nil"/>
            </w:tcBorders>
            <w:shd w:val="clear" w:color="auto" w:fill="auto"/>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ind w:firstLine="400" w:firstLineChars="200"/>
              <w:jc w:val="both"/>
              <w:rPr>
                <w:rFonts w:ascii="宋体" w:hAnsi="宋体" w:cs="宋体"/>
                <w:color w:val="000000"/>
                <w:kern w:val="0"/>
                <w:sz w:val="20"/>
                <w:szCs w:val="20"/>
              </w:rPr>
            </w:pPr>
            <w:r>
              <w:rPr>
                <w:rFonts w:hint="eastAsia" w:ascii="宋体" w:hAnsi="宋体" w:cs="宋体"/>
                <w:color w:val="000000"/>
                <w:kern w:val="0"/>
                <w:sz w:val="20"/>
                <w:szCs w:val="20"/>
              </w:rPr>
              <w:t>填报说明：1.资产总额＝流动资产＋固定资产＋对外投资／有价证券＋在建工程＋无形资产＋其他资产；</w:t>
            </w:r>
          </w:p>
          <w:p>
            <w:pPr>
              <w:keepNext w:val="0"/>
              <w:keepLines w:val="0"/>
              <w:pageBreakBefore w:val="0"/>
              <w:widowControl/>
              <w:numPr>
                <w:ilvl w:val="0"/>
                <w:numId w:val="1"/>
              </w:numPr>
              <w:kinsoku/>
              <w:wordWrap/>
              <w:overflowPunct/>
              <w:topLinePunct w:val="0"/>
              <w:autoSpaceDE/>
              <w:autoSpaceDN/>
              <w:bidi w:val="0"/>
              <w:ind w:firstLine="1400" w:firstLineChars="700"/>
              <w:jc w:val="both"/>
              <w:rPr>
                <w:rFonts w:ascii="宋体" w:hAnsi="宋体" w:cs="宋体"/>
                <w:color w:val="000000"/>
                <w:kern w:val="0"/>
                <w:sz w:val="20"/>
                <w:szCs w:val="20"/>
              </w:rPr>
            </w:pPr>
            <w:r>
              <w:rPr>
                <w:rFonts w:hint="eastAsia" w:ascii="宋体" w:hAnsi="宋体" w:cs="宋体"/>
                <w:color w:val="000000"/>
                <w:kern w:val="0"/>
                <w:sz w:val="20"/>
                <w:szCs w:val="20"/>
              </w:rPr>
              <w:t>固定资产＝房屋构筑物＋车辆＋单价200万元以上大型设备＋其他固定资产；</w:t>
            </w:r>
          </w:p>
          <w:p>
            <w:pPr>
              <w:keepNext w:val="0"/>
              <w:keepLines w:val="0"/>
              <w:pageBreakBefore w:val="0"/>
              <w:widowControl/>
              <w:numPr>
                <w:ilvl w:val="0"/>
                <w:numId w:val="1"/>
              </w:numPr>
              <w:kinsoku/>
              <w:wordWrap/>
              <w:overflowPunct/>
              <w:topLinePunct w:val="0"/>
              <w:autoSpaceDE/>
              <w:autoSpaceDN/>
              <w:bidi w:val="0"/>
              <w:ind w:firstLine="1400" w:firstLineChars="700"/>
              <w:jc w:val="both"/>
              <w:rPr>
                <w:rFonts w:ascii="宋体" w:hAnsi="宋体" w:cs="宋体"/>
                <w:color w:val="000000"/>
                <w:kern w:val="0"/>
                <w:sz w:val="20"/>
                <w:szCs w:val="20"/>
              </w:rPr>
            </w:pPr>
            <w:r>
              <w:rPr>
                <w:rFonts w:hint="eastAsia" w:ascii="宋体" w:hAnsi="宋体" w:cs="宋体"/>
                <w:color w:val="000000"/>
                <w:kern w:val="0"/>
                <w:sz w:val="20"/>
                <w:szCs w:val="20"/>
              </w:rPr>
              <w:t>填报金额为资产“账面原值”。</w:t>
            </w:r>
          </w:p>
          <w:p>
            <w:pPr>
              <w:keepNext w:val="0"/>
              <w:keepLines w:val="0"/>
              <w:pageBreakBefore w:val="0"/>
              <w:kinsoku/>
              <w:wordWrap/>
              <w:overflowPunct/>
              <w:topLinePunct w:val="0"/>
              <w:autoSpaceDE/>
              <w:autoSpaceDN/>
              <w:bidi w:val="0"/>
              <w:ind w:firstLine="560" w:firstLineChars="200"/>
              <w:jc w:val="both"/>
              <w:rPr>
                <w:rFonts w:ascii="宋体" w:hAnsi="宋体" w:cs="黑体"/>
                <w:color w:val="FF0000"/>
                <w:sz w:val="28"/>
                <w:szCs w:val="28"/>
              </w:rPr>
            </w:pPr>
          </w:p>
          <w:p>
            <w:pPr>
              <w:keepNext w:val="0"/>
              <w:keepLines w:val="0"/>
              <w:pageBreakBefore w:val="0"/>
              <w:widowControl/>
              <w:kinsoku/>
              <w:wordWrap/>
              <w:overflowPunct/>
              <w:topLinePunct w:val="0"/>
              <w:autoSpaceDE/>
              <w:autoSpaceDN/>
              <w:bidi w:val="0"/>
              <w:jc w:val="both"/>
              <w:rPr>
                <w:rFonts w:ascii="宋体" w:hAnsi="宋体" w:cs="宋体"/>
                <w:color w:val="000000"/>
                <w:kern w:val="0"/>
                <w:sz w:val="20"/>
                <w:szCs w:val="20"/>
              </w:rPr>
            </w:pPr>
          </w:p>
        </w:tc>
        <w:tc>
          <w:tcPr>
            <w:tcW w:w="978" w:type="dxa"/>
            <w:gridSpan w:val="3"/>
            <w:tcBorders>
              <w:top w:val="nil"/>
              <w:left w:val="nil"/>
              <w:bottom w:val="nil"/>
              <w:right w:val="nil"/>
            </w:tcBorders>
            <w:shd w:val="clear" w:color="auto" w:fill="auto"/>
            <w:tcMar>
              <w:top w:w="15" w:type="dxa"/>
              <w:left w:w="15" w:type="dxa"/>
              <w:bottom w:w="15" w:type="dxa"/>
              <w:right w:w="15" w:type="dxa"/>
            </w:tcMar>
            <w:vAlign w:val="bottom"/>
          </w:tcPr>
          <w:p>
            <w:pPr>
              <w:keepNext w:val="0"/>
              <w:keepLines w:val="0"/>
              <w:pageBreakBefore w:val="0"/>
              <w:widowControl/>
              <w:kinsoku/>
              <w:wordWrap/>
              <w:overflowPunct/>
              <w:topLinePunct w:val="0"/>
              <w:autoSpaceDE/>
              <w:autoSpaceDN/>
              <w:bidi w:val="0"/>
              <w:jc w:val="both"/>
              <w:rPr>
                <w:rFonts w:ascii="宋体" w:hAnsi="宋体" w:cs="宋体"/>
                <w:color w:val="000000"/>
                <w:kern w:val="0"/>
                <w:sz w:val="24"/>
              </w:rPr>
            </w:pPr>
            <w:r>
              <w:rPr>
                <w:rFonts w:ascii="Arial" w:hAnsi="Arial" w:cs="Arial"/>
                <w:color w:val="000000"/>
                <w:kern w:val="0"/>
                <w:sz w:val="20"/>
                <w:szCs w:val="20"/>
              </w:rPr>
              <w:t> </w:t>
            </w:r>
          </w:p>
        </w:tc>
        <w:tc>
          <w:tcPr>
            <w:tcW w:w="142" w:type="dxa"/>
            <w:shd w:val="clear" w:color="auto" w:fill="auto"/>
            <w:vAlign w:val="center"/>
          </w:tcPr>
          <w:p>
            <w:pPr>
              <w:keepNext w:val="0"/>
              <w:keepLines w:val="0"/>
              <w:pageBreakBefore w:val="0"/>
              <w:widowControl/>
              <w:kinsoku/>
              <w:wordWrap/>
              <w:overflowPunct/>
              <w:topLinePunct w:val="0"/>
              <w:autoSpaceDE/>
              <w:autoSpaceDN/>
              <w:bidi w:val="0"/>
              <w:jc w:val="both"/>
              <w:rPr>
                <w:rFonts w:eastAsia="Times New Roman"/>
                <w:kern w:val="0"/>
                <w:sz w:val="20"/>
                <w:szCs w:val="20"/>
              </w:rPr>
            </w:pPr>
          </w:p>
        </w:tc>
      </w:tr>
    </w:tbl>
    <w:p>
      <w:pPr>
        <w:keepNext w:val="0"/>
        <w:keepLines w:val="0"/>
        <w:pageBreakBefore w:val="0"/>
        <w:kinsoku/>
        <w:wordWrap/>
        <w:overflowPunct/>
        <w:topLinePunct w:val="0"/>
        <w:autoSpaceDE/>
        <w:autoSpaceDN/>
        <w:bidi w:val="0"/>
        <w:ind w:firstLine="600" w:firstLineChars="200"/>
        <w:jc w:val="both"/>
        <w:rPr>
          <w:rFonts w:ascii="黑体" w:hAnsi="黑体" w:eastAsia="黑体" w:cs="黑体"/>
          <w:sz w:val="30"/>
          <w:szCs w:val="30"/>
        </w:rPr>
      </w:pPr>
      <w:r>
        <w:rPr>
          <w:rFonts w:hint="eastAsia" w:ascii="黑体" w:hAnsi="黑体" w:eastAsia="黑体" w:cs="黑体"/>
          <w:sz w:val="30"/>
          <w:szCs w:val="30"/>
        </w:rPr>
        <w:t>三、政府采购支出情况</w:t>
      </w:r>
    </w:p>
    <w:p>
      <w:pPr>
        <w:keepNext w:val="0"/>
        <w:keepLines w:val="0"/>
        <w:pageBreakBefore w:val="0"/>
        <w:kinsoku/>
        <w:wordWrap/>
        <w:overflowPunct/>
        <w:topLinePunct w:val="0"/>
        <w:autoSpaceDE/>
        <w:autoSpaceDN/>
        <w:bidi w:val="0"/>
        <w:ind w:firstLine="600" w:firstLineChars="200"/>
        <w:jc w:val="both"/>
        <w:rPr>
          <w:rFonts w:hint="eastAsia" w:ascii="仿宋_GB2312" w:hAnsi="仿宋_GB2312" w:eastAsia="仿宋_GB2312" w:cs="仿宋_GB2312"/>
          <w:color w:val="FF0000"/>
          <w:sz w:val="30"/>
          <w:szCs w:val="30"/>
          <w:lang w:val="en-US" w:eastAsia="zh-CN"/>
        </w:rPr>
      </w:pPr>
      <w:r>
        <w:rPr>
          <w:rFonts w:hint="eastAsia" w:ascii="仿宋_GB2312" w:hAnsi="仿宋_GB2312" w:eastAsia="仿宋_GB2312" w:cs="仿宋_GB2312"/>
          <w:sz w:val="30"/>
          <w:szCs w:val="30"/>
        </w:rPr>
        <w:t>2021年度，部门政府采购支出总额</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万元，其中：政府采购货物支出</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万元；政府采购工程支出</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万元；政府采购服务支出</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万元。授予中小企业合同金额</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万元，占政府采购支出总额的</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w:t>
      </w:r>
    </w:p>
    <w:p>
      <w:pPr>
        <w:keepNext w:val="0"/>
        <w:keepLines w:val="0"/>
        <w:pageBreakBefore w:val="0"/>
        <w:kinsoku/>
        <w:wordWrap/>
        <w:overflowPunct/>
        <w:topLinePunct w:val="0"/>
        <w:autoSpaceDE/>
        <w:autoSpaceDN/>
        <w:bidi w:val="0"/>
        <w:ind w:firstLine="600" w:firstLineChars="200"/>
        <w:jc w:val="both"/>
        <w:rPr>
          <w:rFonts w:ascii="黑体" w:hAnsi="黑体" w:eastAsia="黑体" w:cs="黑体"/>
          <w:sz w:val="30"/>
          <w:szCs w:val="30"/>
        </w:rPr>
      </w:pPr>
      <w:r>
        <w:rPr>
          <w:rFonts w:hint="eastAsia" w:ascii="黑体" w:hAnsi="黑体" w:eastAsia="黑体" w:cs="黑体"/>
          <w:sz w:val="30"/>
          <w:szCs w:val="30"/>
        </w:rPr>
        <w:t>四、部门绩效自评情况</w:t>
      </w:r>
    </w:p>
    <w:p>
      <w:pPr>
        <w:keepNext w:val="0"/>
        <w:keepLines w:val="0"/>
        <w:pageBreakBefore w:val="0"/>
        <w:widowControl/>
        <w:kinsoku/>
        <w:wordWrap/>
        <w:overflowPunct/>
        <w:topLinePunct w:val="0"/>
        <w:autoSpaceDE/>
        <w:autoSpaceDN/>
        <w:bidi w:val="0"/>
        <w:snapToGrid w:val="0"/>
        <w:spacing w:before="100" w:after="100" w:line="360" w:lineRule="auto"/>
        <w:ind w:firstLine="600"/>
        <w:jc w:val="both"/>
        <w:rPr>
          <w:rFonts w:ascii="仿宋_GB2312" w:hAnsi="仿宋_GB2312" w:eastAsia="仿宋_GB2312" w:cs="仿宋_GB2312"/>
          <w:sz w:val="30"/>
          <w:szCs w:val="30"/>
        </w:rPr>
      </w:pPr>
      <w:r>
        <w:rPr>
          <w:rFonts w:hint="eastAsia" w:ascii="仿宋_GB2312" w:hAnsi="仿宋_GB2312" w:eastAsia="仿宋_GB2312" w:cs="仿宋_GB2312"/>
          <w:sz w:val="30"/>
          <w:szCs w:val="30"/>
        </w:rPr>
        <w:t>部门绩效自评情况详见附表（附表10—附表12）。</w:t>
      </w:r>
    </w:p>
    <w:p>
      <w:pPr>
        <w:keepNext w:val="0"/>
        <w:keepLines w:val="0"/>
        <w:pageBreakBefore w:val="0"/>
        <w:widowControl/>
        <w:kinsoku/>
        <w:wordWrap/>
        <w:overflowPunct/>
        <w:topLinePunct w:val="0"/>
        <w:autoSpaceDE/>
        <w:autoSpaceDN/>
        <w:bidi w:val="0"/>
        <w:snapToGrid w:val="0"/>
        <w:spacing w:before="100" w:after="100" w:line="360" w:lineRule="auto"/>
        <w:ind w:firstLine="600" w:firstLineChars="200"/>
        <w:jc w:val="both"/>
        <w:rPr>
          <w:rFonts w:ascii="黑体" w:hAnsi="黑体" w:eastAsia="黑体" w:cs="黑体"/>
          <w:sz w:val="30"/>
          <w:szCs w:val="30"/>
        </w:rPr>
      </w:pPr>
      <w:r>
        <w:rPr>
          <w:rFonts w:hint="eastAsia" w:ascii="黑体" w:hAnsi="黑体" w:eastAsia="黑体" w:cs="黑体"/>
          <w:sz w:val="30"/>
          <w:szCs w:val="30"/>
        </w:rPr>
        <w:t>五、其他重要事项情况说明</w:t>
      </w:r>
    </w:p>
    <w:p>
      <w:pPr>
        <w:keepNext w:val="0"/>
        <w:keepLines w:val="0"/>
        <w:pageBreakBefore w:val="0"/>
        <w:kinsoku/>
        <w:wordWrap/>
        <w:overflowPunct/>
        <w:topLinePunct w:val="0"/>
        <w:autoSpaceDE/>
        <w:autoSpaceDN/>
        <w:bidi w:val="0"/>
        <w:ind w:firstLine="600" w:firstLineChars="200"/>
        <w:jc w:val="both"/>
        <w:rPr>
          <w:rFonts w:hint="eastAsia" w:ascii="仿宋_GB2312" w:eastAsia="仿宋_GB2312"/>
          <w:sz w:val="30"/>
          <w:szCs w:val="30"/>
          <w:lang w:eastAsia="zh-CN"/>
        </w:rPr>
      </w:pPr>
      <w:r>
        <w:rPr>
          <w:rFonts w:hint="eastAsia" w:ascii="仿宋_GB2312" w:eastAsia="仿宋_GB2312"/>
          <w:sz w:val="30"/>
          <w:szCs w:val="30"/>
        </w:rPr>
        <w:t>昆明市西山区供销合作社联合社2021年无其他重要事项情况说明</w:t>
      </w:r>
      <w:r>
        <w:rPr>
          <w:rFonts w:hint="eastAsia" w:ascii="仿宋_GB2312" w:eastAsia="仿宋_GB2312"/>
          <w:sz w:val="30"/>
          <w:szCs w:val="30"/>
          <w:lang w:eastAsia="zh-CN"/>
        </w:rPr>
        <w:t>。</w:t>
      </w:r>
    </w:p>
    <w:p>
      <w:pPr>
        <w:keepNext w:val="0"/>
        <w:keepLines w:val="0"/>
        <w:pageBreakBefore w:val="0"/>
        <w:widowControl/>
        <w:kinsoku/>
        <w:wordWrap/>
        <w:overflowPunct/>
        <w:topLinePunct w:val="0"/>
        <w:autoSpaceDE/>
        <w:autoSpaceDN/>
        <w:bidi w:val="0"/>
        <w:snapToGrid w:val="0"/>
        <w:spacing w:before="100" w:after="100" w:line="360" w:lineRule="auto"/>
        <w:ind w:firstLine="600" w:firstLineChars="200"/>
        <w:jc w:val="both"/>
        <w:rPr>
          <w:rFonts w:ascii="黑体" w:hAnsi="黑体" w:eastAsia="黑体" w:cs="黑体"/>
          <w:sz w:val="30"/>
          <w:szCs w:val="30"/>
        </w:rPr>
      </w:pPr>
      <w:r>
        <w:rPr>
          <w:rFonts w:hint="eastAsia" w:ascii="黑体" w:hAnsi="黑体" w:eastAsia="黑体" w:cs="黑体"/>
          <w:sz w:val="30"/>
          <w:szCs w:val="30"/>
        </w:rPr>
        <w:t>六、相关口径说明</w:t>
      </w:r>
    </w:p>
    <w:p>
      <w:pPr>
        <w:keepNext w:val="0"/>
        <w:keepLines w:val="0"/>
        <w:pageBreakBefore w:val="0"/>
        <w:kinsoku/>
        <w:wordWrap/>
        <w:overflowPunct/>
        <w:topLinePunct w:val="0"/>
        <w:autoSpaceDE/>
        <w:autoSpaceDN/>
        <w:bidi w:val="0"/>
        <w:ind w:firstLine="600" w:firstLineChars="200"/>
        <w:jc w:val="both"/>
        <w:rPr>
          <w:rFonts w:ascii="仿宋_GB2312" w:hAnsi="黑体" w:eastAsia="仿宋_GB2312" w:cs="方正小标宋简体"/>
          <w:sz w:val="30"/>
          <w:szCs w:val="30"/>
        </w:rPr>
      </w:pPr>
      <w:r>
        <w:rPr>
          <w:rFonts w:hint="eastAsia" w:ascii="仿宋_GB2312" w:hAnsi="黑体" w:eastAsia="仿宋_GB2312" w:cs="方正小标宋简体"/>
          <w:sz w:val="30"/>
          <w:szCs w:val="30"/>
        </w:rPr>
        <w:t>（一）基本支出中人员经费包括工资福利支出和对个人和家庭的补助，公用经费包括商品和服务支出、资本性支出等人员经费以外的支出。</w:t>
      </w:r>
    </w:p>
    <w:p>
      <w:pPr>
        <w:keepNext w:val="0"/>
        <w:keepLines w:val="0"/>
        <w:pageBreakBefore w:val="0"/>
        <w:kinsoku/>
        <w:wordWrap/>
        <w:overflowPunct/>
        <w:topLinePunct w:val="0"/>
        <w:autoSpaceDE/>
        <w:autoSpaceDN/>
        <w:bidi w:val="0"/>
        <w:ind w:firstLine="600" w:firstLineChars="200"/>
        <w:jc w:val="both"/>
        <w:rPr>
          <w:rFonts w:ascii="仿宋_GB2312" w:hAnsi="黑体" w:eastAsia="仿宋_GB2312" w:cs="方正小标宋简体"/>
          <w:sz w:val="30"/>
          <w:szCs w:val="30"/>
        </w:rPr>
      </w:pPr>
      <w:r>
        <w:rPr>
          <w:rFonts w:hint="eastAsia" w:ascii="仿宋_GB2312" w:hAnsi="黑体" w:eastAsia="仿宋_GB2312" w:cs="方正小标宋简体"/>
          <w:sz w:val="30"/>
          <w:szCs w:val="30"/>
        </w:rPr>
        <w:t>（二）机关运行经费指行政单位和参照公务员法管理的事业单位使用一般公共预算财政拨款安排的基本支出中的公用经费支出。</w:t>
      </w:r>
    </w:p>
    <w:p>
      <w:pPr>
        <w:keepNext w:val="0"/>
        <w:keepLines w:val="0"/>
        <w:pageBreakBefore w:val="0"/>
        <w:kinsoku/>
        <w:wordWrap/>
        <w:overflowPunct/>
        <w:topLinePunct w:val="0"/>
        <w:autoSpaceDE/>
        <w:autoSpaceDN/>
        <w:bidi w:val="0"/>
        <w:ind w:firstLine="600" w:firstLineChars="200"/>
        <w:jc w:val="both"/>
        <w:rPr>
          <w:rFonts w:ascii="仿宋_GB2312" w:hAnsi="黑体" w:eastAsia="仿宋_GB2312" w:cs="方正小标宋简体"/>
          <w:sz w:val="30"/>
          <w:szCs w:val="30"/>
        </w:rPr>
      </w:pPr>
      <w:r>
        <w:rPr>
          <w:rFonts w:hint="eastAsia" w:ascii="仿宋_GB2312" w:hAnsi="黑体" w:eastAsia="仿宋_GB2312" w:cs="方正小标宋简体"/>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keepNext w:val="0"/>
        <w:keepLines w:val="0"/>
        <w:pageBreakBefore w:val="0"/>
        <w:kinsoku/>
        <w:wordWrap/>
        <w:overflowPunct/>
        <w:topLinePunct w:val="0"/>
        <w:autoSpaceDE/>
        <w:autoSpaceDN/>
        <w:bidi w:val="0"/>
        <w:ind w:firstLine="600" w:firstLineChars="200"/>
        <w:jc w:val="both"/>
        <w:rPr>
          <w:rFonts w:ascii="仿宋_GB2312" w:hAnsi="黑体" w:eastAsia="仿宋_GB2312" w:cs="方正小标宋简体"/>
          <w:sz w:val="30"/>
          <w:szCs w:val="30"/>
        </w:rPr>
      </w:pPr>
      <w:r>
        <w:rPr>
          <w:rFonts w:hint="eastAsia" w:ascii="仿宋_GB2312" w:hAnsi="黑体" w:eastAsia="仿宋_GB2312" w:cs="方正小标宋简体"/>
          <w:sz w:val="30"/>
          <w:szCs w:val="30"/>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keepNext w:val="0"/>
        <w:keepLines w:val="0"/>
        <w:pageBreakBefore w:val="0"/>
        <w:kinsoku/>
        <w:wordWrap/>
        <w:overflowPunct/>
        <w:topLinePunct w:val="0"/>
        <w:autoSpaceDE/>
        <w:autoSpaceDN/>
        <w:bidi w:val="0"/>
        <w:jc w:val="center"/>
        <w:rPr>
          <w:rFonts w:ascii="黑体" w:hAnsi="黑体" w:eastAsia="黑体" w:cs="方正小标宋简体"/>
          <w:sz w:val="32"/>
          <w:szCs w:val="32"/>
        </w:rPr>
      </w:pPr>
      <w:r>
        <w:rPr>
          <w:rFonts w:hint="eastAsia" w:ascii="黑体" w:hAnsi="黑体" w:eastAsia="黑体" w:cs="方正小标宋简体"/>
          <w:sz w:val="32"/>
          <w:szCs w:val="32"/>
        </w:rPr>
        <w:t>第五部分  名词解释</w:t>
      </w:r>
    </w:p>
    <w:p>
      <w:pPr>
        <w:keepNext w:val="0"/>
        <w:keepLines w:val="0"/>
        <w:pageBreakBefore w:val="0"/>
        <w:kinsoku/>
        <w:wordWrap/>
        <w:overflowPunct/>
        <w:topLinePunct w:val="0"/>
        <w:autoSpaceDE/>
        <w:autoSpaceDN/>
        <w:bidi w:val="0"/>
        <w:ind w:firstLine="600" w:firstLineChars="200"/>
        <w:jc w:val="both"/>
        <w:rPr>
          <w:rFonts w:hint="eastAsia" w:ascii="仿宋_GB2312" w:hAnsi="黑体" w:eastAsia="仿宋_GB2312" w:cs="方正小标宋简体"/>
          <w:color w:val="FF0000"/>
          <w:sz w:val="30"/>
          <w:szCs w:val="30"/>
          <w:lang w:val="en-US" w:eastAsia="zh-CN"/>
        </w:rPr>
      </w:pPr>
      <w:r>
        <w:rPr>
          <w:rFonts w:hint="eastAsia" w:ascii="仿宋_GB2312" w:eastAsia="仿宋_GB2312"/>
          <w:sz w:val="30"/>
          <w:szCs w:val="30"/>
        </w:rPr>
        <w:t>昆明市西山区供销合作社联合社2021年不涉及专用名词解释</w:t>
      </w:r>
      <w:r>
        <w:rPr>
          <w:rFonts w:hint="eastAsia" w:ascii="仿宋_GB2312" w:eastAsia="仿宋_GB2312"/>
          <w:sz w:val="30"/>
          <w:szCs w:val="30"/>
          <w:lang w:eastAsia="zh-CN"/>
        </w:rPr>
        <w:t>。</w:t>
      </w:r>
    </w:p>
    <w:p>
      <w:pPr>
        <w:keepNext w:val="0"/>
        <w:keepLines w:val="0"/>
        <w:pageBreakBefore w:val="0"/>
        <w:kinsoku/>
        <w:wordWrap/>
        <w:overflowPunct/>
        <w:topLinePunct w:val="0"/>
        <w:autoSpaceDE/>
        <w:autoSpaceDN/>
        <w:bidi w:val="0"/>
        <w:snapToGrid w:val="0"/>
        <w:spacing w:line="540" w:lineRule="exact"/>
        <w:ind w:firstLine="560" w:firstLineChars="200"/>
        <w:jc w:val="both"/>
        <w:rPr>
          <w:rFonts w:ascii="宋体" w:hAnsi="宋体" w:cs="方正小标宋简体"/>
          <w:sz w:val="28"/>
          <w:szCs w:val="28"/>
        </w:rPr>
      </w:pPr>
    </w:p>
    <w:p>
      <w:pPr>
        <w:keepNext w:val="0"/>
        <w:keepLines w:val="0"/>
        <w:pageBreakBefore w:val="0"/>
        <w:kinsoku/>
        <w:wordWrap/>
        <w:overflowPunct/>
        <w:topLinePunct w:val="0"/>
        <w:autoSpaceDE/>
        <w:autoSpaceDN/>
        <w:bidi w:val="0"/>
        <w:snapToGrid w:val="0"/>
        <w:spacing w:line="540" w:lineRule="exact"/>
        <w:ind w:firstLine="560" w:firstLineChars="200"/>
        <w:jc w:val="both"/>
        <w:rPr>
          <w:rFonts w:ascii="宋体" w:hAnsi="宋体" w:cs="方正小标宋简体"/>
          <w:sz w:val="28"/>
          <w:szCs w:val="28"/>
        </w:rPr>
      </w:pPr>
    </w:p>
    <w:p>
      <w:pPr>
        <w:keepNext w:val="0"/>
        <w:keepLines w:val="0"/>
        <w:pageBreakBefore w:val="0"/>
        <w:kinsoku/>
        <w:wordWrap/>
        <w:overflowPunct/>
        <w:topLinePunct w:val="0"/>
        <w:autoSpaceDE/>
        <w:autoSpaceDN/>
        <w:bidi w:val="0"/>
        <w:jc w:val="both"/>
      </w:pPr>
    </w:p>
    <w:p>
      <w:pPr>
        <w:keepNext w:val="0"/>
        <w:keepLines w:val="0"/>
        <w:pageBreakBefore w:val="0"/>
        <w:kinsoku/>
        <w:wordWrap/>
        <w:overflowPunct/>
        <w:topLinePunct w:val="0"/>
        <w:autoSpaceDE/>
        <w:autoSpaceDN/>
        <w:bidi w:val="0"/>
        <w:jc w:val="both"/>
        <w:rPr>
          <w:rFonts w:ascii="Arial" w:hAnsi="Arial" w:eastAsia="Arial" w:cs="Arial"/>
          <w:b/>
          <w:sz w:val="36"/>
        </w:rPr>
      </w:pPr>
      <w:r>
        <w:rPr>
          <w:rFonts w:ascii="Arial" w:hAnsi="Arial" w:eastAsia="Arial" w:cs="Arial"/>
          <w:b/>
          <w:sz w:val="36"/>
        </w:rPr>
        <w:t>监督索引号53011200147501111</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rPr>
                              <w:rStyle w:val="7"/>
                            </w:rPr>
                          </w:pP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- 12 -</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pPr>
                      <w:pStyle w:val="3"/>
                      <w:rPr>
                        <w:rStyle w:val="7"/>
                      </w:rPr>
                    </w:pPr>
                    <w:r>
                      <w:rPr>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- 12 -</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8A1DF"/>
    <w:multiLevelType w:val="singleLevel"/>
    <w:tmpl w:val="FF78A1DF"/>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E0MTM4ZTdlMzYwNjViYjU4MTc3YzUwMDc5NzViOGIifQ=="/>
  </w:docVars>
  <w:rsids>
    <w:rsidRoot w:val="46697918"/>
    <w:rsid w:val="000519E9"/>
    <w:rsid w:val="00080A55"/>
    <w:rsid w:val="00082DEA"/>
    <w:rsid w:val="000E037C"/>
    <w:rsid w:val="000E5625"/>
    <w:rsid w:val="00214F1B"/>
    <w:rsid w:val="002E78DC"/>
    <w:rsid w:val="003C740D"/>
    <w:rsid w:val="003D7FE0"/>
    <w:rsid w:val="00446F9E"/>
    <w:rsid w:val="00465095"/>
    <w:rsid w:val="00491A92"/>
    <w:rsid w:val="0054483F"/>
    <w:rsid w:val="00557870"/>
    <w:rsid w:val="005A007B"/>
    <w:rsid w:val="00636DFC"/>
    <w:rsid w:val="00670975"/>
    <w:rsid w:val="00685906"/>
    <w:rsid w:val="00814E3C"/>
    <w:rsid w:val="008403A0"/>
    <w:rsid w:val="00876836"/>
    <w:rsid w:val="008F112C"/>
    <w:rsid w:val="00904785"/>
    <w:rsid w:val="009C5A42"/>
    <w:rsid w:val="00A153B7"/>
    <w:rsid w:val="00B445AF"/>
    <w:rsid w:val="00BA7D8C"/>
    <w:rsid w:val="00C955D1"/>
    <w:rsid w:val="00CF3368"/>
    <w:rsid w:val="00D259E7"/>
    <w:rsid w:val="00DB4C69"/>
    <w:rsid w:val="00DC312F"/>
    <w:rsid w:val="00E92283"/>
    <w:rsid w:val="00EE0F48"/>
    <w:rsid w:val="00F25C9C"/>
    <w:rsid w:val="00F971A8"/>
    <w:rsid w:val="00FB5A13"/>
    <w:rsid w:val="021F6ED0"/>
    <w:rsid w:val="0298207A"/>
    <w:rsid w:val="02D775DD"/>
    <w:rsid w:val="03074F92"/>
    <w:rsid w:val="046643CE"/>
    <w:rsid w:val="06ED0B00"/>
    <w:rsid w:val="09C14578"/>
    <w:rsid w:val="0AD00B10"/>
    <w:rsid w:val="0D8F2BE0"/>
    <w:rsid w:val="0E376C7D"/>
    <w:rsid w:val="0E787C0C"/>
    <w:rsid w:val="0EED5418"/>
    <w:rsid w:val="11553BDD"/>
    <w:rsid w:val="12F11DE7"/>
    <w:rsid w:val="14433424"/>
    <w:rsid w:val="18F04206"/>
    <w:rsid w:val="1C2613E3"/>
    <w:rsid w:val="1D2A2FF2"/>
    <w:rsid w:val="1F894240"/>
    <w:rsid w:val="268D6EB4"/>
    <w:rsid w:val="27CC6CC2"/>
    <w:rsid w:val="294B1BF2"/>
    <w:rsid w:val="29915199"/>
    <w:rsid w:val="2C2A674B"/>
    <w:rsid w:val="2DA95EDC"/>
    <w:rsid w:val="3068302C"/>
    <w:rsid w:val="30835B49"/>
    <w:rsid w:val="314239BA"/>
    <w:rsid w:val="37A458C4"/>
    <w:rsid w:val="3C4D6E48"/>
    <w:rsid w:val="3D9078E6"/>
    <w:rsid w:val="3E435396"/>
    <w:rsid w:val="3FF27145"/>
    <w:rsid w:val="4002572E"/>
    <w:rsid w:val="4232633C"/>
    <w:rsid w:val="463C3CB8"/>
    <w:rsid w:val="46697918"/>
    <w:rsid w:val="47224F2E"/>
    <w:rsid w:val="4C230242"/>
    <w:rsid w:val="4F8A2DE8"/>
    <w:rsid w:val="4FD70883"/>
    <w:rsid w:val="51A1747D"/>
    <w:rsid w:val="53F37618"/>
    <w:rsid w:val="549740FE"/>
    <w:rsid w:val="5BBC5376"/>
    <w:rsid w:val="5FC421A0"/>
    <w:rsid w:val="64C17C5F"/>
    <w:rsid w:val="6A9903B2"/>
    <w:rsid w:val="6B6A614A"/>
    <w:rsid w:val="706F7074"/>
    <w:rsid w:val="70D71C94"/>
    <w:rsid w:val="745710A6"/>
    <w:rsid w:val="756E4FDD"/>
    <w:rsid w:val="780A4BEB"/>
    <w:rsid w:val="787A2AB2"/>
    <w:rsid w:val="79CD5089"/>
    <w:rsid w:val="7A5910FC"/>
    <w:rsid w:val="7ADB2F75"/>
    <w:rsid w:val="7D5524E5"/>
    <w:rsid w:val="7EC254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paragraph" w:customStyle="1" w:styleId="8">
    <w:name w:val="p0"/>
    <w:basedOn w:val="1"/>
    <w:qFormat/>
    <w:uiPriority w:val="99"/>
    <w:pPr>
      <w:widowControl/>
    </w:pPr>
    <w:rPr>
      <w:rFonts w:ascii="Calibri" w:hAnsi="Calibri"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昆明市直属党政机关单位</Company>
  <Pages>15</Pages>
  <Words>6584</Words>
  <Characters>7045</Characters>
  <Lines>39</Lines>
  <Paragraphs>11</Paragraphs>
  <TotalTime>11</TotalTime>
  <ScaleCrop>false</ScaleCrop>
  <LinksUpToDate>false</LinksUpToDate>
  <CharactersWithSpaces>7091</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2022-09-28T05:55:00Z</dcterms:created>
  <dc:creator>张琴</dc:creator>
  <cp:lastModifiedBy>Administrator</cp:lastModifiedBy>
  <dcterms:modified xsi:type="dcterms:W3CDTF">2022-10-18T05:19:37Z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ABC17A21F7DE4B518A6C7333F8D51CA2</vt:lpwstr>
  </property>
  <property fmtid="{D5CDD505-2E9C-101B-9397-08002B2CF9AE}" pid="3" name="KSOProductBuildVer">
    <vt:lpwstr>2052-11.1.0.12598</vt:lpwstr>
  </property>
</Properties>
</file>