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398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57"/>
        <w:gridCol w:w="1198"/>
        <w:gridCol w:w="1579"/>
        <w:gridCol w:w="1542"/>
        <w:gridCol w:w="486"/>
        <w:gridCol w:w="1027"/>
        <w:gridCol w:w="771"/>
        <w:gridCol w:w="770"/>
        <w:gridCol w:w="4487"/>
        <w:gridCol w:w="653"/>
        <w:gridCol w:w="91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60" w:hRule="atLeast"/>
          <w:tblHeader/>
        </w:trPr>
        <w:tc>
          <w:tcPr>
            <w:tcW w:w="13988" w:type="dxa"/>
            <w:gridSpan w:val="11"/>
            <w:tcBorders>
              <w:top w:val="nil"/>
              <w:left w:val="nil"/>
              <w:bottom w:val="single" w:color="000000" w:sz="8"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ascii="方正小标宋_GBK" w:hAnsi="方正小标宋_GBK" w:eastAsia="方正小标宋_GBK" w:cs="方正小标宋_GBK"/>
                <w:i w:val="0"/>
                <w:color w:val="000000"/>
                <w:sz w:val="40"/>
                <w:szCs w:val="40"/>
                <w:u w:val="none"/>
              </w:rPr>
            </w:pPr>
            <w:r>
              <w:rPr>
                <w:rFonts w:hint="eastAsia" w:ascii="方正小标宋_GBK" w:hAnsi="方正小标宋_GBK" w:eastAsia="方正小标宋_GBK" w:cs="方正小标宋_GBK"/>
                <w:i w:val="0"/>
                <w:color w:val="000000"/>
                <w:kern w:val="0"/>
                <w:sz w:val="40"/>
                <w:szCs w:val="40"/>
                <w:u w:val="none"/>
                <w:lang w:val="en-US" w:eastAsia="zh-CN" w:bidi="ar"/>
              </w:rPr>
              <w:t>昆明市西山区人力资源和社会保障市场监管领域随机抽查事项清单（第二版）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54" w:hRule="atLeast"/>
          <w:tblHeader/>
        </w:trPr>
        <w:tc>
          <w:tcPr>
            <w:tcW w:w="557" w:type="dxa"/>
            <w:vMerge w:val="restart"/>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ascii="方正黑体_GBK" w:hAnsi="方正黑体_GBK" w:eastAsia="方正黑体_GBK" w:cs="方正黑体_GBK"/>
                <w:b/>
                <w:bCs/>
                <w:i w:val="0"/>
                <w:color w:val="000000"/>
                <w:sz w:val="22"/>
                <w:szCs w:val="22"/>
                <w:u w:val="none"/>
              </w:rPr>
            </w:pPr>
            <w:r>
              <w:rPr>
                <w:rFonts w:hint="default" w:ascii="方正黑体_GBK" w:hAnsi="方正黑体_GBK" w:eastAsia="方正黑体_GBK" w:cs="方正黑体_GBK"/>
                <w:b/>
                <w:bCs/>
                <w:i w:val="0"/>
                <w:color w:val="000000"/>
                <w:kern w:val="0"/>
                <w:sz w:val="22"/>
                <w:szCs w:val="22"/>
                <w:u w:val="none"/>
                <w:lang w:val="en-US" w:eastAsia="zh-CN" w:bidi="ar"/>
              </w:rPr>
              <w:t>序号</w:t>
            </w:r>
          </w:p>
        </w:tc>
        <w:tc>
          <w:tcPr>
            <w:tcW w:w="1198" w:type="dxa"/>
            <w:vMerge w:val="restart"/>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方正黑体_GBK" w:hAnsi="方正黑体_GBK" w:eastAsia="方正黑体_GBK" w:cs="方正黑体_GBK"/>
                <w:b/>
                <w:bCs/>
                <w:i w:val="0"/>
                <w:color w:val="000000"/>
                <w:sz w:val="22"/>
                <w:szCs w:val="22"/>
                <w:u w:val="none"/>
              </w:rPr>
            </w:pPr>
            <w:r>
              <w:rPr>
                <w:rFonts w:hint="default" w:ascii="方正黑体_GBK" w:hAnsi="方正黑体_GBK" w:eastAsia="方正黑体_GBK" w:cs="方正黑体_GBK"/>
                <w:b/>
                <w:bCs/>
                <w:i w:val="0"/>
                <w:color w:val="000000"/>
                <w:kern w:val="0"/>
                <w:sz w:val="22"/>
                <w:szCs w:val="22"/>
                <w:u w:val="none"/>
                <w:lang w:val="en-US" w:eastAsia="zh-CN" w:bidi="ar"/>
              </w:rPr>
              <w:t>部门</w:t>
            </w:r>
          </w:p>
        </w:tc>
        <w:tc>
          <w:tcPr>
            <w:tcW w:w="3121" w:type="dxa"/>
            <w:gridSpan w:val="2"/>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方正黑体_GBK" w:hAnsi="方正黑体_GBK" w:eastAsia="方正黑体_GBK" w:cs="方正黑体_GBK"/>
                <w:b/>
                <w:bCs/>
                <w:i w:val="0"/>
                <w:color w:val="000000"/>
                <w:sz w:val="22"/>
                <w:szCs w:val="22"/>
                <w:u w:val="none"/>
              </w:rPr>
            </w:pPr>
            <w:r>
              <w:rPr>
                <w:rFonts w:hint="default" w:ascii="方正黑体_GBK" w:hAnsi="方正黑体_GBK" w:eastAsia="方正黑体_GBK" w:cs="方正黑体_GBK"/>
                <w:b/>
                <w:bCs/>
                <w:i w:val="0"/>
                <w:color w:val="000000"/>
                <w:kern w:val="0"/>
                <w:sz w:val="22"/>
                <w:szCs w:val="22"/>
                <w:u w:val="none"/>
                <w:lang w:val="en-US" w:eastAsia="zh-CN" w:bidi="ar"/>
              </w:rPr>
              <w:t>抽查项目</w:t>
            </w:r>
          </w:p>
        </w:tc>
        <w:tc>
          <w:tcPr>
            <w:tcW w:w="486" w:type="dxa"/>
            <w:vMerge w:val="restart"/>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方正黑体_GBK" w:hAnsi="方正黑体_GBK" w:eastAsia="方正黑体_GBK" w:cs="方正黑体_GBK"/>
                <w:b/>
                <w:bCs/>
                <w:i w:val="0"/>
                <w:color w:val="000000"/>
                <w:sz w:val="22"/>
                <w:szCs w:val="22"/>
                <w:u w:val="none"/>
              </w:rPr>
            </w:pPr>
            <w:r>
              <w:rPr>
                <w:rFonts w:hint="default" w:ascii="方正黑体_GBK" w:hAnsi="方正黑体_GBK" w:eastAsia="方正黑体_GBK" w:cs="方正黑体_GBK"/>
                <w:b/>
                <w:bCs/>
                <w:i w:val="0"/>
                <w:color w:val="000000"/>
                <w:kern w:val="0"/>
                <w:sz w:val="22"/>
                <w:szCs w:val="22"/>
                <w:u w:val="none"/>
                <w:lang w:val="en-US" w:eastAsia="zh-CN" w:bidi="ar"/>
              </w:rPr>
              <w:t>事项类别</w:t>
            </w:r>
          </w:p>
        </w:tc>
        <w:tc>
          <w:tcPr>
            <w:tcW w:w="1027" w:type="dxa"/>
            <w:vMerge w:val="restart"/>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方正黑体_GBK" w:hAnsi="方正黑体_GBK" w:eastAsia="方正黑体_GBK" w:cs="方正黑体_GBK"/>
                <w:b/>
                <w:bCs/>
                <w:i w:val="0"/>
                <w:color w:val="000000"/>
                <w:sz w:val="22"/>
                <w:szCs w:val="22"/>
                <w:u w:val="none"/>
              </w:rPr>
            </w:pPr>
            <w:r>
              <w:rPr>
                <w:rFonts w:hint="default" w:ascii="方正黑体_GBK" w:hAnsi="方正黑体_GBK" w:eastAsia="方正黑体_GBK" w:cs="方正黑体_GBK"/>
                <w:b/>
                <w:bCs/>
                <w:i w:val="0"/>
                <w:color w:val="000000"/>
                <w:kern w:val="0"/>
                <w:sz w:val="22"/>
                <w:szCs w:val="22"/>
                <w:u w:val="none"/>
                <w:lang w:val="en-US" w:eastAsia="zh-CN" w:bidi="ar"/>
              </w:rPr>
              <w:t>检查对象</w:t>
            </w:r>
          </w:p>
        </w:tc>
        <w:tc>
          <w:tcPr>
            <w:tcW w:w="771" w:type="dxa"/>
            <w:vMerge w:val="restart"/>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方正黑体_GBK" w:hAnsi="方正黑体_GBK" w:eastAsia="方正黑体_GBK" w:cs="方正黑体_GBK"/>
                <w:b/>
                <w:bCs/>
                <w:i w:val="0"/>
                <w:color w:val="000000"/>
                <w:sz w:val="22"/>
                <w:szCs w:val="22"/>
                <w:u w:val="none"/>
              </w:rPr>
            </w:pPr>
            <w:r>
              <w:rPr>
                <w:rFonts w:hint="default" w:ascii="方正黑体_GBK" w:hAnsi="方正黑体_GBK" w:eastAsia="方正黑体_GBK" w:cs="方正黑体_GBK"/>
                <w:b/>
                <w:bCs/>
                <w:i w:val="0"/>
                <w:color w:val="000000"/>
                <w:kern w:val="0"/>
                <w:sz w:val="22"/>
                <w:szCs w:val="22"/>
                <w:u w:val="none"/>
                <w:lang w:val="en-US" w:eastAsia="zh-CN" w:bidi="ar"/>
              </w:rPr>
              <w:t>检查方式</w:t>
            </w:r>
          </w:p>
        </w:tc>
        <w:tc>
          <w:tcPr>
            <w:tcW w:w="770" w:type="dxa"/>
            <w:vMerge w:val="restart"/>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方正黑体_GBK" w:hAnsi="方正黑体_GBK" w:eastAsia="方正黑体_GBK" w:cs="方正黑体_GBK"/>
                <w:b/>
                <w:bCs/>
                <w:i w:val="0"/>
                <w:color w:val="000000"/>
                <w:sz w:val="22"/>
                <w:szCs w:val="22"/>
                <w:u w:val="none"/>
              </w:rPr>
            </w:pPr>
            <w:r>
              <w:rPr>
                <w:rFonts w:hint="default" w:ascii="方正黑体_GBK" w:hAnsi="方正黑体_GBK" w:eastAsia="方正黑体_GBK" w:cs="方正黑体_GBK"/>
                <w:b/>
                <w:bCs/>
                <w:i w:val="0"/>
                <w:color w:val="000000"/>
                <w:kern w:val="0"/>
                <w:sz w:val="22"/>
                <w:szCs w:val="22"/>
                <w:u w:val="none"/>
                <w:lang w:val="en-US" w:eastAsia="zh-CN" w:bidi="ar"/>
              </w:rPr>
              <w:t>检查主体</w:t>
            </w:r>
          </w:p>
        </w:tc>
        <w:tc>
          <w:tcPr>
            <w:tcW w:w="4487" w:type="dxa"/>
            <w:vMerge w:val="restart"/>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方正黑体_GBK" w:hAnsi="方正黑体_GBK" w:eastAsia="方正黑体_GBK" w:cs="方正黑体_GBK"/>
                <w:b/>
                <w:bCs/>
                <w:i w:val="0"/>
                <w:color w:val="000000"/>
                <w:sz w:val="22"/>
                <w:szCs w:val="22"/>
                <w:u w:val="none"/>
              </w:rPr>
            </w:pPr>
            <w:r>
              <w:rPr>
                <w:rFonts w:hint="default" w:ascii="方正黑体_GBK" w:hAnsi="方正黑体_GBK" w:eastAsia="方正黑体_GBK" w:cs="方正黑体_GBK"/>
                <w:b/>
                <w:bCs/>
                <w:i w:val="0"/>
                <w:color w:val="000000"/>
                <w:kern w:val="0"/>
                <w:sz w:val="22"/>
                <w:szCs w:val="22"/>
                <w:u w:val="none"/>
                <w:lang w:val="en-US" w:eastAsia="zh-CN" w:bidi="ar"/>
              </w:rPr>
              <w:t>检查依据</w:t>
            </w:r>
          </w:p>
        </w:tc>
        <w:tc>
          <w:tcPr>
            <w:tcW w:w="653" w:type="dxa"/>
            <w:vMerge w:val="restart"/>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方正黑体_GBK" w:hAnsi="方正黑体_GBK" w:eastAsia="方正黑体_GBK" w:cs="方正黑体_GBK"/>
                <w:b/>
                <w:bCs/>
                <w:i w:val="0"/>
                <w:color w:val="000000"/>
                <w:sz w:val="22"/>
                <w:szCs w:val="22"/>
                <w:u w:val="none"/>
              </w:rPr>
            </w:pPr>
            <w:r>
              <w:rPr>
                <w:rFonts w:hint="default" w:ascii="方正黑体_GBK" w:hAnsi="方正黑体_GBK" w:eastAsia="方正黑体_GBK" w:cs="方正黑体_GBK"/>
                <w:b/>
                <w:bCs/>
                <w:i w:val="0"/>
                <w:color w:val="000000"/>
                <w:kern w:val="0"/>
                <w:sz w:val="22"/>
                <w:szCs w:val="22"/>
                <w:u w:val="none"/>
                <w:lang w:val="en-US" w:eastAsia="zh-CN" w:bidi="ar"/>
              </w:rPr>
              <w:t>适用区域</w:t>
            </w:r>
          </w:p>
        </w:tc>
        <w:tc>
          <w:tcPr>
            <w:tcW w:w="918" w:type="dxa"/>
            <w:vMerge w:val="restart"/>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方正黑体_GBK" w:hAnsi="方正黑体_GBK" w:eastAsia="方正黑体_GBK" w:cs="方正黑体_GBK"/>
                <w:b/>
                <w:bCs/>
                <w:i w:val="0"/>
                <w:color w:val="000000"/>
                <w:sz w:val="22"/>
                <w:szCs w:val="22"/>
                <w:u w:val="none"/>
              </w:rPr>
            </w:pPr>
            <w:r>
              <w:rPr>
                <w:rFonts w:hint="default" w:ascii="方正黑体_GBK" w:hAnsi="方正黑体_GBK" w:eastAsia="方正黑体_GBK" w:cs="方正黑体_GBK"/>
                <w:b/>
                <w:bCs/>
                <w:i w:val="0"/>
                <w:color w:val="000000"/>
                <w:kern w:val="0"/>
                <w:sz w:val="22"/>
                <w:szCs w:val="22"/>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5" w:hRule="atLeast"/>
          <w:tblHeader/>
        </w:trPr>
        <w:tc>
          <w:tcPr>
            <w:tcW w:w="557"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default" w:ascii="方正黑体_GBK" w:hAnsi="方正黑体_GBK" w:eastAsia="方正黑体_GBK" w:cs="方正黑体_GBK"/>
                <w:i w:val="0"/>
                <w:color w:val="000000"/>
                <w:sz w:val="22"/>
                <w:szCs w:val="22"/>
                <w:u w:val="none"/>
              </w:rPr>
            </w:pPr>
          </w:p>
        </w:tc>
        <w:tc>
          <w:tcPr>
            <w:tcW w:w="1198" w:type="dxa"/>
            <w:vMerge w:val="continue"/>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jc w:val="center"/>
              <w:rPr>
                <w:rFonts w:hint="default" w:ascii="方正黑体_GBK" w:hAnsi="方正黑体_GBK" w:eastAsia="方正黑体_GBK" w:cs="方正黑体_GBK"/>
                <w:i w:val="0"/>
                <w:color w:val="000000"/>
                <w:sz w:val="22"/>
                <w:szCs w:val="22"/>
                <w:u w:val="none"/>
              </w:rPr>
            </w:pPr>
          </w:p>
        </w:tc>
        <w:tc>
          <w:tcPr>
            <w:tcW w:w="1579"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方正黑体_GBK" w:hAnsi="方正黑体_GBK" w:eastAsia="方正黑体_GBK" w:cs="方正黑体_GBK"/>
                <w:b/>
                <w:bCs/>
                <w:i w:val="0"/>
                <w:color w:val="000000"/>
                <w:sz w:val="22"/>
                <w:szCs w:val="22"/>
                <w:u w:val="none"/>
              </w:rPr>
            </w:pPr>
            <w:r>
              <w:rPr>
                <w:rFonts w:hint="default" w:ascii="方正黑体_GBK" w:hAnsi="方正黑体_GBK" w:eastAsia="方正黑体_GBK" w:cs="方正黑体_GBK"/>
                <w:b/>
                <w:bCs/>
                <w:i w:val="0"/>
                <w:color w:val="000000"/>
                <w:kern w:val="0"/>
                <w:sz w:val="22"/>
                <w:szCs w:val="22"/>
                <w:u w:val="none"/>
                <w:lang w:val="en-US" w:eastAsia="zh-CN" w:bidi="ar"/>
              </w:rPr>
              <w:t>抽查类别</w:t>
            </w: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方正黑体_GBK" w:hAnsi="方正黑体_GBK" w:eastAsia="方正黑体_GBK" w:cs="方正黑体_GBK"/>
                <w:b/>
                <w:bCs/>
                <w:i w:val="0"/>
                <w:color w:val="000000"/>
                <w:sz w:val="22"/>
                <w:szCs w:val="22"/>
                <w:u w:val="none"/>
              </w:rPr>
            </w:pPr>
            <w:r>
              <w:rPr>
                <w:rFonts w:hint="default" w:ascii="方正黑体_GBK" w:hAnsi="方正黑体_GBK" w:eastAsia="方正黑体_GBK" w:cs="方正黑体_GBK"/>
                <w:b/>
                <w:bCs/>
                <w:i w:val="0"/>
                <w:color w:val="000000"/>
                <w:kern w:val="0"/>
                <w:sz w:val="22"/>
                <w:szCs w:val="22"/>
                <w:u w:val="none"/>
                <w:lang w:val="en-US" w:eastAsia="zh-CN" w:bidi="ar"/>
              </w:rPr>
              <w:t>抽查事项</w:t>
            </w:r>
          </w:p>
        </w:tc>
        <w:tc>
          <w:tcPr>
            <w:tcW w:w="486" w:type="dxa"/>
            <w:vMerge w:val="continue"/>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jc w:val="center"/>
              <w:rPr>
                <w:rFonts w:hint="default" w:ascii="方正黑体_GBK" w:hAnsi="方正黑体_GBK" w:eastAsia="方正黑体_GBK" w:cs="方正黑体_GBK"/>
                <w:i w:val="0"/>
                <w:color w:val="000000"/>
                <w:sz w:val="22"/>
                <w:szCs w:val="22"/>
                <w:u w:val="none"/>
              </w:rPr>
            </w:pPr>
          </w:p>
        </w:tc>
        <w:tc>
          <w:tcPr>
            <w:tcW w:w="1027" w:type="dxa"/>
            <w:vMerge w:val="continue"/>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jc w:val="center"/>
              <w:rPr>
                <w:rFonts w:hint="default" w:ascii="方正黑体_GBK" w:hAnsi="方正黑体_GBK" w:eastAsia="方正黑体_GBK" w:cs="方正黑体_GBK"/>
                <w:i w:val="0"/>
                <w:color w:val="000000"/>
                <w:sz w:val="22"/>
                <w:szCs w:val="22"/>
                <w:u w:val="none"/>
              </w:rPr>
            </w:pPr>
          </w:p>
        </w:tc>
        <w:tc>
          <w:tcPr>
            <w:tcW w:w="771" w:type="dxa"/>
            <w:vMerge w:val="continue"/>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jc w:val="center"/>
              <w:rPr>
                <w:rFonts w:hint="default" w:ascii="方正黑体_GBK" w:hAnsi="方正黑体_GBK" w:eastAsia="方正黑体_GBK" w:cs="方正黑体_GBK"/>
                <w:i w:val="0"/>
                <w:color w:val="000000"/>
                <w:sz w:val="22"/>
                <w:szCs w:val="22"/>
                <w:u w:val="none"/>
              </w:rPr>
            </w:pPr>
          </w:p>
        </w:tc>
        <w:tc>
          <w:tcPr>
            <w:tcW w:w="770" w:type="dxa"/>
            <w:vMerge w:val="continue"/>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jc w:val="center"/>
              <w:rPr>
                <w:rFonts w:hint="default" w:ascii="方正黑体_GBK" w:hAnsi="方正黑体_GBK" w:eastAsia="方正黑体_GBK" w:cs="方正黑体_GBK"/>
                <w:i w:val="0"/>
                <w:color w:val="000000"/>
                <w:sz w:val="22"/>
                <w:szCs w:val="22"/>
                <w:u w:val="none"/>
              </w:rPr>
            </w:pPr>
          </w:p>
        </w:tc>
        <w:tc>
          <w:tcPr>
            <w:tcW w:w="4487" w:type="dxa"/>
            <w:vMerge w:val="continue"/>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jc w:val="center"/>
              <w:rPr>
                <w:rFonts w:hint="default" w:ascii="方正黑体_GBK" w:hAnsi="方正黑体_GBK" w:eastAsia="方正黑体_GBK" w:cs="方正黑体_GBK"/>
                <w:i w:val="0"/>
                <w:color w:val="000000"/>
                <w:sz w:val="22"/>
                <w:szCs w:val="22"/>
                <w:u w:val="none"/>
              </w:rPr>
            </w:pPr>
          </w:p>
        </w:tc>
        <w:tc>
          <w:tcPr>
            <w:tcW w:w="653" w:type="dxa"/>
            <w:vMerge w:val="continue"/>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jc w:val="center"/>
              <w:rPr>
                <w:rFonts w:hint="default" w:ascii="方正黑体_GBK" w:hAnsi="方正黑体_GBK" w:eastAsia="方正黑体_GBK" w:cs="方正黑体_GBK"/>
                <w:i w:val="0"/>
                <w:color w:val="000000"/>
                <w:sz w:val="22"/>
                <w:szCs w:val="22"/>
                <w:u w:val="none"/>
              </w:rPr>
            </w:pPr>
          </w:p>
        </w:tc>
        <w:tc>
          <w:tcPr>
            <w:tcW w:w="918" w:type="dxa"/>
            <w:vMerge w:val="continue"/>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jc w:val="center"/>
              <w:rPr>
                <w:rFonts w:hint="default" w:ascii="方正黑体_GBK" w:hAnsi="方正黑体_GBK" w:eastAsia="方正黑体_GBK" w:cs="方正黑体_GBK"/>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870" w:hRule="atLeast"/>
        </w:trPr>
        <w:tc>
          <w:tcPr>
            <w:tcW w:w="557" w:type="dxa"/>
            <w:tcBorders>
              <w:top w:val="nil"/>
              <w:left w:val="single" w:color="000000" w:sz="8" w:space="0"/>
              <w:bottom w:val="single" w:color="000000" w:sz="8"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rPr>
            </w:pPr>
            <w:r>
              <w:rPr>
                <w:rFonts w:hint="eastAsia" w:ascii="宋体" w:hAnsi="宋体" w:cs="宋体"/>
                <w:i w:val="0"/>
                <w:color w:val="000000"/>
                <w:kern w:val="0"/>
                <w:sz w:val="20"/>
                <w:szCs w:val="20"/>
                <w:u w:val="none"/>
                <w:lang w:val="en-US" w:eastAsia="zh-CN" w:bidi="ar"/>
              </w:rPr>
              <w:t>1</w:t>
            </w:r>
          </w:p>
        </w:tc>
        <w:tc>
          <w:tcPr>
            <w:tcW w:w="1198"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79" w:type="dxa"/>
            <w:vMerge w:val="restart"/>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职业教育</w:t>
            </w: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对未经批准擅自举办中外合作职业技能培训办学项目，或者以不正当手段骗取中外合作办学项目批准书的检查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用人单位</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外合作职业技能培训办学管理办法》（2006年7月19日劳动和社会保障部令第27号）第五十三条：违反本办法的规定，未经批准擅自举办中外合作职业技能培训办学项目，或者以不正当手段骗取中外合作办学项目批准书的，由劳动保障行政部门责令举办该项目的中国教育机构限期改正、退还向学生收取的费用，并处以1万元以下罚款。</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546" w:hRule="atLeast"/>
        </w:trPr>
        <w:tc>
          <w:tcPr>
            <w:tcW w:w="557" w:type="dxa"/>
            <w:tcBorders>
              <w:top w:val="nil"/>
              <w:left w:val="single" w:color="000000" w:sz="8" w:space="0"/>
              <w:bottom w:val="single" w:color="000000" w:sz="8"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rPr>
            </w:pPr>
            <w:r>
              <w:rPr>
                <w:rFonts w:hint="eastAsia" w:ascii="宋体" w:hAnsi="宋体" w:cs="宋体"/>
                <w:i w:val="0"/>
                <w:color w:val="000000"/>
                <w:kern w:val="0"/>
                <w:sz w:val="20"/>
                <w:szCs w:val="20"/>
                <w:u w:val="none"/>
                <w:lang w:val="en-US" w:eastAsia="zh-CN" w:bidi="ar"/>
              </w:rPr>
              <w:t>2</w:t>
            </w:r>
          </w:p>
        </w:tc>
        <w:tc>
          <w:tcPr>
            <w:tcW w:w="1198"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79" w:type="dxa"/>
            <w:vMerge w:val="continue"/>
            <w:tcBorders>
              <w:top w:val="nil"/>
              <w:left w:val="nil"/>
              <w:bottom w:val="nil"/>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对中外合作职业技能培训办学项目发布虚假招生简章或者招生广告，骗取钱财的检查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中外合作职业技能培训机构</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外合作职业技能培训办学管理办法》（2006年7月19日劳动和社会保障部令第27号）第五十五条：中外合作职业技能培训办学项目发布虚假招生简章或者招生广告，骗取钱财的，由劳动保障行政部门责令举办该项目的中国教育机构退还收取的费用后，没收剩余违法所得，并处以违法所得3倍以下且总额3万元以下的罚款。</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205" w:hRule="atLeast"/>
        </w:trPr>
        <w:tc>
          <w:tcPr>
            <w:tcW w:w="557" w:type="dxa"/>
            <w:tcBorders>
              <w:top w:val="nil"/>
              <w:left w:val="single" w:color="000000" w:sz="8" w:space="0"/>
              <w:bottom w:val="single" w:color="000000" w:sz="8"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rPr>
            </w:pPr>
            <w:r>
              <w:rPr>
                <w:rFonts w:hint="eastAsia" w:ascii="宋体" w:hAnsi="宋体" w:cs="宋体"/>
                <w:i w:val="0"/>
                <w:color w:val="000000"/>
                <w:kern w:val="0"/>
                <w:sz w:val="20"/>
                <w:szCs w:val="20"/>
                <w:u w:val="none"/>
                <w:lang w:val="en-US" w:eastAsia="zh-CN" w:bidi="ar"/>
              </w:rPr>
              <w:t>3</w:t>
            </w:r>
          </w:p>
        </w:tc>
        <w:tc>
          <w:tcPr>
            <w:tcW w:w="1198" w:type="dxa"/>
            <w:vMerge w:val="restart"/>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区人力资源和社会保障局（16类126项）</w:t>
            </w:r>
          </w:p>
        </w:tc>
        <w:tc>
          <w:tcPr>
            <w:tcW w:w="1579" w:type="dxa"/>
            <w:vMerge w:val="restart"/>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职业教育</w:t>
            </w: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对未经批准擅自设立中外合作办学机构，或以不正当手段骗取中外合作办学许可证的检查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中外合作职业技能培训机构</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华人民共和国中外合作办学条例》（国务院令第372）第五十一条：“违反本条例的规定，未经批准擅自设立中外合作办学机构，或者以不正当手段骗取中外合作办学许可证的，由教育行政部门、劳动行政部门按照职责分工予以取缔或者会同公安机关予以取缔，责令退还向学生收取的费用，并处以10万元以下的罚款。”</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374" w:hRule="atLeast"/>
        </w:trPr>
        <w:tc>
          <w:tcPr>
            <w:tcW w:w="557" w:type="dxa"/>
            <w:tcBorders>
              <w:top w:val="nil"/>
              <w:left w:val="single" w:color="000000" w:sz="8" w:space="0"/>
              <w:bottom w:val="single" w:color="000000" w:sz="8"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rPr>
            </w:pPr>
            <w:r>
              <w:rPr>
                <w:rFonts w:hint="eastAsia" w:ascii="宋体" w:hAnsi="宋体" w:cs="宋体"/>
                <w:i w:val="0"/>
                <w:color w:val="000000"/>
                <w:kern w:val="0"/>
                <w:sz w:val="20"/>
                <w:szCs w:val="20"/>
                <w:u w:val="none"/>
                <w:lang w:val="en-US" w:eastAsia="zh-CN" w:bidi="ar"/>
              </w:rPr>
              <w:t>4</w:t>
            </w:r>
          </w:p>
        </w:tc>
        <w:tc>
          <w:tcPr>
            <w:tcW w:w="1198"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79"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对在中外合作办学机构筹备设立期间招收学生的检查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中外合作办学机构</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华人民共和国中外合作办学条例》（国务院令第372第五十二条：“违反本条例的规定，在中外合作办学机构筹备设立期间招收学生的，由教育行政部门、劳动行政部门按照职责分工责令停止招生，责令退还向学生收取的费用，并处以10万元以下的罚款；情节严重，拒不停止招生的，由审批机关撤销筹备设立批准书。”</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794" w:hRule="atLeast"/>
        </w:trPr>
        <w:tc>
          <w:tcPr>
            <w:tcW w:w="557" w:type="dxa"/>
            <w:tcBorders>
              <w:top w:val="nil"/>
              <w:left w:val="single" w:color="000000" w:sz="8" w:space="0"/>
              <w:bottom w:val="single" w:color="000000" w:sz="8"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rPr>
            </w:pPr>
            <w:r>
              <w:rPr>
                <w:rFonts w:hint="eastAsia" w:ascii="宋体" w:hAnsi="宋体" w:cs="宋体"/>
                <w:i w:val="0"/>
                <w:color w:val="000000"/>
                <w:kern w:val="0"/>
                <w:sz w:val="20"/>
                <w:szCs w:val="20"/>
                <w:u w:val="none"/>
                <w:lang w:val="en-US" w:eastAsia="zh-CN" w:bidi="ar"/>
              </w:rPr>
              <w:t>5</w:t>
            </w:r>
          </w:p>
        </w:tc>
        <w:tc>
          <w:tcPr>
            <w:tcW w:w="1198"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79"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对中外合作办学者虚假出资或在中外合作办学机构成立后抽逃出资的检查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中外合作办学机构</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华人民共和国中外合作办学条例》（国务院令第372号）第五十三条：“中外合作办学者虚假出资或者在中外合作办学机构成立后抽逃出资的，由教育行政部门、劳动行政部门按照职责分工责令限期改正；逾期不改正的，由教育行政部门、劳动行政部门按照职责分工处以虚假出资金额或者抽逃出资金额2倍以下的罚款。”</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34" w:hRule="atLeast"/>
        </w:trPr>
        <w:tc>
          <w:tcPr>
            <w:tcW w:w="557" w:type="dxa"/>
            <w:tcBorders>
              <w:top w:val="nil"/>
              <w:left w:val="single" w:color="000000" w:sz="8" w:space="0"/>
              <w:bottom w:val="single" w:color="000000" w:sz="8"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rPr>
            </w:pPr>
            <w:r>
              <w:rPr>
                <w:rFonts w:hint="eastAsia" w:ascii="宋体" w:hAnsi="宋体" w:cs="宋体"/>
                <w:i w:val="0"/>
                <w:color w:val="000000"/>
                <w:kern w:val="0"/>
                <w:sz w:val="20"/>
                <w:szCs w:val="20"/>
                <w:u w:val="none"/>
                <w:lang w:val="en-US" w:eastAsia="zh-CN" w:bidi="ar"/>
              </w:rPr>
              <w:t>6</w:t>
            </w:r>
          </w:p>
        </w:tc>
        <w:tc>
          <w:tcPr>
            <w:tcW w:w="1198" w:type="dxa"/>
            <w:vMerge w:val="restart"/>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区人力资源和社会保障局（16类126项）</w:t>
            </w:r>
          </w:p>
        </w:tc>
        <w:tc>
          <w:tcPr>
            <w:tcW w:w="1579" w:type="dxa"/>
            <w:vMerge w:val="restart"/>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职业教育</w:t>
            </w: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对违反中外合作办学规定发布虚假招生简章，骗取钱财的检查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中外合作办学机构</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华人民共和国中外合作办学条例》（国务院令第372号第五十七条：“违反本条例的规定，发布虚假招生简章，骗取钱财的，由教育行政部门、劳动行政部门按照职责分工，责令限期改正并予以警告；有违法所得的，退还所收费用后没收违法所得，并可处以10万元以下的罚款；情节严重的，责令停止招生、吊销中外合作办学许可证；构成犯罪的，依照刑法关于诈骗罪或者其他罪的规定，依法追究刑事责任。中外合作办学机构发布虚假招生广告的，依照《中华人民共和国广告法》的有关规定追究其法律责任。”</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05" w:hRule="atLeast"/>
        </w:trPr>
        <w:tc>
          <w:tcPr>
            <w:tcW w:w="557" w:type="dxa"/>
            <w:tcBorders>
              <w:top w:val="nil"/>
              <w:left w:val="single" w:color="000000" w:sz="8" w:space="0"/>
              <w:bottom w:val="single" w:color="000000" w:sz="8"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rPr>
            </w:pPr>
            <w:r>
              <w:rPr>
                <w:rFonts w:hint="eastAsia" w:ascii="宋体" w:hAnsi="宋体" w:cs="宋体"/>
                <w:i w:val="0"/>
                <w:color w:val="000000"/>
                <w:kern w:val="0"/>
                <w:sz w:val="20"/>
                <w:szCs w:val="20"/>
                <w:u w:val="none"/>
                <w:lang w:val="en-US" w:eastAsia="zh-CN" w:bidi="ar"/>
              </w:rPr>
              <w:t>7</w:t>
            </w:r>
          </w:p>
        </w:tc>
        <w:tc>
          <w:tcPr>
            <w:tcW w:w="1198"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79" w:type="dxa"/>
            <w:vMerge w:val="continue"/>
            <w:tcBorders>
              <w:top w:val="nil"/>
              <w:left w:val="nil"/>
              <w:bottom w:val="nil"/>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对用人单位违反有关规定发放职业培训证书和职业资格证书的检查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用人单位</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云南省劳动监察条例》（1998年11月27日云南省第九届人民代表大会常务委员会第六次会议通过）第二十四条：“用人单位有下列行为之一的，责令限期改正，对用人单位处以200元以上1000元以下的罚款；对法定代表人和直接责任人处以100元以上500元以下的罚款：（四）违反有关规定发放职业培训证书和职业资格证书的。”</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536" w:hRule="atLeast"/>
        </w:trPr>
        <w:tc>
          <w:tcPr>
            <w:tcW w:w="557" w:type="dxa"/>
            <w:tcBorders>
              <w:top w:val="nil"/>
              <w:left w:val="single" w:color="000000" w:sz="8" w:space="0"/>
              <w:bottom w:val="single" w:color="000000" w:sz="8"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eastAsia="zh-CN"/>
              </w:rPr>
            </w:pPr>
            <w:r>
              <w:rPr>
                <w:rFonts w:hint="eastAsia" w:ascii="宋体" w:hAnsi="宋体" w:cs="宋体"/>
                <w:i w:val="0"/>
                <w:color w:val="000000"/>
                <w:sz w:val="20"/>
                <w:szCs w:val="20"/>
                <w:u w:val="none"/>
                <w:lang w:val="en-US" w:eastAsia="zh-CN"/>
              </w:rPr>
              <w:t>8</w:t>
            </w:r>
          </w:p>
        </w:tc>
        <w:tc>
          <w:tcPr>
            <w:tcW w:w="1198" w:type="dxa"/>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区人力资源和社会保障局（16类126项）</w:t>
            </w:r>
          </w:p>
        </w:tc>
        <w:tc>
          <w:tcPr>
            <w:tcW w:w="1579"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职业教育</w:t>
            </w: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中外合作职业技能培训机构设立、分立、合并、变更及终止的监管（非经营性）</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中外合作职业技能培训机构</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华人民共和国中外合作办学条例》（2003年3月1日国务院令第372号，2013年7月18日予以修改）第十二条：……申请设立实施职业技能培训的中外合作办学机构，由拟设立机构所在地的省、自治区、直辖市人民政府劳动行政部门审批。第四十二条 ：中外合作办学机构的分立、合并，在进行财务清算后，由该机构理事会、董事会或者联合管理委员会报审批机关批准。第四十三条：中外合作办学机构合作办学者的变更，应当由合作办学者提出，在进行财务清算后，经该机构理事会、董事会或者联合管理委员会同意，报审批机关核准，并办理相应的变更手续。中外合作办学机构住所、法定代表人的变更，应当经审批机关核准，并办理相应的变更手续。中外合作办学机构校长或者主要行政负责人的变更，应当及时办理变更手续。第四十四条：中外合作办学机构名称、层次、类别的变更，由该机构理事会、董事会或者联合管理委员会报审批机关批准。第四十五条：中外合作办学机构有下列情形之一的，应当终止：（一）根据章程规定要求终止，并经审批机关批准的；（二）被吊销中外合作办学许可证的；（三）因资不抵债无法继续办学，并经审批机关批准的。第五十九条：香港特别行政区、澳门特别行政区和台湾地区的教育机构与内地教育机构合作办学的，参照本条例的规定执行。</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735" w:hRule="atLeast"/>
        </w:trPr>
        <w:tc>
          <w:tcPr>
            <w:tcW w:w="557"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rPr>
            </w:pPr>
            <w:r>
              <w:rPr>
                <w:rFonts w:hint="eastAsia" w:ascii="宋体" w:hAnsi="宋体" w:cs="宋体"/>
                <w:i w:val="0"/>
                <w:color w:val="000000"/>
                <w:kern w:val="0"/>
                <w:sz w:val="20"/>
                <w:szCs w:val="20"/>
                <w:u w:val="none"/>
                <w:lang w:val="en-US" w:eastAsia="zh-CN" w:bidi="ar"/>
              </w:rPr>
              <w:t>9</w:t>
            </w:r>
          </w:p>
        </w:tc>
        <w:tc>
          <w:tcPr>
            <w:tcW w:w="1198" w:type="dxa"/>
            <w:vMerge w:val="restart"/>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区人力资源和社会保障局（16类126项）</w:t>
            </w:r>
          </w:p>
        </w:tc>
        <w:tc>
          <w:tcPr>
            <w:tcW w:w="1579" w:type="dxa"/>
            <w:vMerge w:val="restart"/>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职业教育</w:t>
            </w: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对中外合作职业技能培训项目的监管</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中外合作职业技能培训项目</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外合作职业技能培训办学管理办法》（2006年7月26日劳动和社会保障部令第27号，2015年4月30日予以修改）第四十三条：有下列情形之一的，中外合作职业技能培训办学项目终止：（一）根据合作协议要求终止，并经审批机关批准的；（二）中外合作办学者有一方被依法吊销办学资格的；（三）被吊销中外合作办学项目批准书的。</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94" w:hRule="atLeast"/>
        </w:trPr>
        <w:tc>
          <w:tcPr>
            <w:tcW w:w="557"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FF0000"/>
                <w:sz w:val="20"/>
                <w:szCs w:val="20"/>
                <w:u w:val="none"/>
                <w:lang w:val="en-US"/>
              </w:rPr>
            </w:pPr>
            <w:r>
              <w:rPr>
                <w:rFonts w:hint="eastAsia" w:ascii="宋体" w:hAnsi="宋体" w:cs="宋体"/>
                <w:i w:val="0"/>
                <w:color w:val="FF0000"/>
                <w:kern w:val="0"/>
                <w:sz w:val="20"/>
                <w:szCs w:val="20"/>
                <w:u w:val="none"/>
                <w:lang w:val="en-US" w:eastAsia="zh-CN" w:bidi="ar"/>
              </w:rPr>
              <w:t>10</w:t>
            </w:r>
          </w:p>
        </w:tc>
        <w:tc>
          <w:tcPr>
            <w:tcW w:w="1198"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FF0000"/>
                <w:sz w:val="20"/>
                <w:szCs w:val="20"/>
                <w:u w:val="none"/>
              </w:rPr>
            </w:pPr>
          </w:p>
        </w:tc>
        <w:tc>
          <w:tcPr>
            <w:tcW w:w="1579" w:type="dxa"/>
            <w:vMerge w:val="continue"/>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FF0000"/>
                <w:sz w:val="20"/>
                <w:szCs w:val="20"/>
                <w:u w:val="none"/>
              </w:rPr>
            </w:pP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FF0000"/>
                <w:sz w:val="20"/>
                <w:szCs w:val="20"/>
                <w:u w:val="none"/>
              </w:rPr>
            </w:pPr>
            <w:r>
              <w:rPr>
                <w:rFonts w:hint="eastAsia" w:ascii="宋体" w:hAnsi="宋体" w:eastAsia="宋体" w:cs="宋体"/>
                <w:i w:val="0"/>
                <w:color w:val="FF0000"/>
                <w:kern w:val="0"/>
                <w:sz w:val="20"/>
                <w:szCs w:val="20"/>
                <w:u w:val="none"/>
                <w:lang w:val="en-US" w:eastAsia="zh-CN" w:bidi="ar"/>
              </w:rPr>
              <w:t>对普通技工学校、高级技工学校从事教育活动的监管</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FF0000"/>
                <w:sz w:val="20"/>
                <w:szCs w:val="20"/>
                <w:u w:val="none"/>
              </w:rPr>
            </w:pPr>
            <w:r>
              <w:rPr>
                <w:rFonts w:hint="eastAsia" w:ascii="宋体" w:hAnsi="宋体" w:eastAsia="宋体" w:cs="宋体"/>
                <w:i w:val="0"/>
                <w:color w:val="FF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FF0000"/>
                <w:sz w:val="20"/>
                <w:szCs w:val="20"/>
                <w:u w:val="none"/>
              </w:rPr>
            </w:pPr>
            <w:r>
              <w:rPr>
                <w:rFonts w:hint="eastAsia" w:ascii="宋体" w:hAnsi="宋体" w:eastAsia="宋体" w:cs="宋体"/>
                <w:i w:val="0"/>
                <w:color w:val="FF0000"/>
                <w:kern w:val="0"/>
                <w:sz w:val="20"/>
                <w:szCs w:val="20"/>
                <w:u w:val="none"/>
                <w:lang w:val="en-US" w:eastAsia="zh-CN" w:bidi="ar"/>
              </w:rPr>
              <w:t>普通技工学校、高级技工学校</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FF0000"/>
                <w:sz w:val="20"/>
                <w:szCs w:val="20"/>
                <w:u w:val="none"/>
              </w:rPr>
            </w:pPr>
            <w:r>
              <w:rPr>
                <w:rFonts w:hint="eastAsia" w:ascii="宋体" w:hAnsi="宋体" w:eastAsia="宋体" w:cs="宋体"/>
                <w:i w:val="0"/>
                <w:color w:val="FF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FF0000"/>
                <w:sz w:val="20"/>
                <w:szCs w:val="20"/>
                <w:u w:val="none"/>
              </w:rPr>
            </w:pPr>
            <w:r>
              <w:rPr>
                <w:rFonts w:hint="eastAsia" w:ascii="宋体" w:hAnsi="宋体" w:eastAsia="宋体" w:cs="宋体"/>
                <w:i w:val="0"/>
                <w:color w:val="FF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FF0000"/>
                <w:sz w:val="20"/>
                <w:szCs w:val="20"/>
                <w:u w:val="none"/>
              </w:rPr>
            </w:pPr>
            <w:r>
              <w:rPr>
                <w:rFonts w:hint="eastAsia" w:ascii="宋体" w:hAnsi="宋体" w:eastAsia="宋体" w:cs="宋体"/>
                <w:i w:val="0"/>
                <w:color w:val="FF0000"/>
                <w:kern w:val="0"/>
                <w:sz w:val="20"/>
                <w:szCs w:val="20"/>
                <w:u w:val="none"/>
                <w:lang w:val="en-US" w:eastAsia="zh-CN" w:bidi="ar"/>
              </w:rPr>
              <w:t>《中华人民共和国职业教育法》第二章、第三章、第四章第十二条至第三十七条</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FF0000"/>
                <w:sz w:val="20"/>
                <w:szCs w:val="20"/>
                <w:u w:val="none"/>
              </w:rPr>
            </w:pPr>
            <w:r>
              <w:rPr>
                <w:rFonts w:hint="eastAsia" w:ascii="宋体" w:hAnsi="宋体" w:eastAsia="宋体" w:cs="宋体"/>
                <w:i w:val="0"/>
                <w:color w:val="FF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FF0000"/>
                <w:sz w:val="20"/>
                <w:szCs w:val="20"/>
                <w:u w:val="none"/>
              </w:rPr>
            </w:pPr>
            <w:r>
              <w:rPr>
                <w:rFonts w:hint="eastAsia" w:ascii="宋体" w:hAnsi="宋体" w:eastAsia="宋体" w:cs="宋体"/>
                <w:i w:val="0"/>
                <w:color w:val="FF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81" w:hRule="atLeast"/>
        </w:trPr>
        <w:tc>
          <w:tcPr>
            <w:tcW w:w="557"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rPr>
            </w:pPr>
            <w:r>
              <w:rPr>
                <w:rFonts w:hint="eastAsia" w:ascii="宋体" w:hAnsi="宋体" w:cs="宋体"/>
                <w:i w:val="0"/>
                <w:color w:val="000000"/>
                <w:kern w:val="0"/>
                <w:sz w:val="20"/>
                <w:szCs w:val="20"/>
                <w:u w:val="none"/>
                <w:lang w:val="en-US" w:eastAsia="zh-CN" w:bidi="ar"/>
              </w:rPr>
              <w:t>11</w:t>
            </w:r>
          </w:p>
        </w:tc>
        <w:tc>
          <w:tcPr>
            <w:tcW w:w="1198"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79" w:type="dxa"/>
            <w:vMerge w:val="continue"/>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对民办职业培训学校设立、分立、合并、变更及终止的监管</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民办职业培训学校</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《中华人民共和国民办教育促进法》（2002年12月28日主席令第80号，2013年6月29日予以修改）第十一条：……举办实施以职业技能为主的职业资格培训、职业技能培训的民办学校，由</w:t>
            </w:r>
            <w:r>
              <w:rPr>
                <w:rFonts w:hint="eastAsia" w:ascii="宋体" w:hAnsi="宋体" w:cs="宋体"/>
                <w:i w:val="0"/>
                <w:color w:val="000000"/>
                <w:kern w:val="0"/>
                <w:sz w:val="20"/>
                <w:szCs w:val="20"/>
                <w:u w:val="none"/>
                <w:lang w:val="en-US" w:eastAsia="zh-CN" w:bidi="ar"/>
              </w:rPr>
              <w:t>县级</w:t>
            </w:r>
            <w:r>
              <w:rPr>
                <w:rFonts w:hint="eastAsia" w:ascii="宋体" w:hAnsi="宋体" w:eastAsia="宋体" w:cs="宋体"/>
                <w:i w:val="0"/>
                <w:color w:val="000000"/>
                <w:kern w:val="0"/>
                <w:sz w:val="20"/>
                <w:szCs w:val="20"/>
                <w:u w:val="none"/>
                <w:lang w:val="en-US" w:eastAsia="zh-CN" w:bidi="ar"/>
              </w:rPr>
              <w:t>人民政府劳动和社会保障行政部门按照国家规定的权限审批，并抄送同级教育行政部门备案。第五十三条：民办学校的分立、合并，在进行财务清算后，由学校理事会或者董事会报审批机关批准。第五十四条：民办学校举办者的变更，须由举办者提出，在进行财务清算后，经学校理事会或者董事会同意，报审批机关核准。第五十五条：民办学校名称、层次、类别的变更，由学校理事会或者董事会报审批机关批准。</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625" w:hRule="atLeast"/>
        </w:trPr>
        <w:tc>
          <w:tcPr>
            <w:tcW w:w="557" w:type="dxa"/>
            <w:vMerge w:val="restart"/>
            <w:tcBorders>
              <w:top w:val="nil"/>
              <w:left w:val="single" w:color="000000" w:sz="8" w:space="0"/>
              <w:bottom w:val="single" w:color="000000" w:sz="8"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rPr>
            </w:pPr>
            <w:r>
              <w:rPr>
                <w:rFonts w:hint="eastAsia" w:ascii="宋体" w:hAnsi="宋体" w:cs="宋体"/>
                <w:i w:val="0"/>
                <w:color w:val="000000"/>
                <w:kern w:val="0"/>
                <w:sz w:val="20"/>
                <w:szCs w:val="20"/>
                <w:u w:val="none"/>
                <w:lang w:val="en-US" w:eastAsia="zh-CN" w:bidi="ar"/>
              </w:rPr>
              <w:t>12</w:t>
            </w:r>
          </w:p>
        </w:tc>
        <w:tc>
          <w:tcPr>
            <w:tcW w:w="1198" w:type="dxa"/>
            <w:vMerge w:val="restart"/>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区人力资源和社会保障局（16类126项）</w:t>
            </w:r>
          </w:p>
        </w:tc>
        <w:tc>
          <w:tcPr>
            <w:tcW w:w="1579" w:type="dxa"/>
            <w:vMerge w:val="restart"/>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职业教育</w:t>
            </w:r>
          </w:p>
        </w:tc>
        <w:tc>
          <w:tcPr>
            <w:tcW w:w="1542" w:type="dxa"/>
            <w:vMerge w:val="restart"/>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对民办学校、民办职业培训学校的监管</w:t>
            </w:r>
          </w:p>
        </w:tc>
        <w:tc>
          <w:tcPr>
            <w:tcW w:w="486" w:type="dxa"/>
            <w:vMerge w:val="restart"/>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vMerge w:val="restart"/>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民办学校、民办职业培训学校</w:t>
            </w:r>
          </w:p>
        </w:tc>
        <w:tc>
          <w:tcPr>
            <w:tcW w:w="771" w:type="dxa"/>
            <w:vMerge w:val="restart"/>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实地核查书面检查</w:t>
            </w:r>
          </w:p>
        </w:tc>
        <w:tc>
          <w:tcPr>
            <w:tcW w:w="770" w:type="dxa"/>
            <w:vMerge w:val="restart"/>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人力资源和社会保障部门</w:t>
            </w:r>
          </w:p>
        </w:tc>
        <w:tc>
          <w:tcPr>
            <w:tcW w:w="4487"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《中华人民共和国民办教育促进法》第六十二条民办学校有下列行为之一的，由</w:t>
            </w:r>
            <w:r>
              <w:rPr>
                <w:rFonts w:hint="eastAsia" w:ascii="宋体" w:hAnsi="宋体" w:cs="宋体"/>
                <w:i w:val="0"/>
                <w:color w:val="000000"/>
                <w:kern w:val="0"/>
                <w:sz w:val="20"/>
                <w:szCs w:val="20"/>
                <w:u w:val="none"/>
                <w:lang w:val="en-US" w:eastAsia="zh-CN" w:bidi="ar"/>
              </w:rPr>
              <w:t>县级</w:t>
            </w:r>
            <w:r>
              <w:rPr>
                <w:rFonts w:hint="eastAsia" w:ascii="宋体" w:hAnsi="宋体" w:eastAsia="宋体" w:cs="宋体"/>
                <w:i w:val="0"/>
                <w:color w:val="000000"/>
                <w:kern w:val="0"/>
                <w:sz w:val="20"/>
                <w:szCs w:val="20"/>
                <w:u w:val="none"/>
                <w:lang w:val="en-US" w:eastAsia="zh-CN" w:bidi="ar"/>
              </w:rPr>
              <w:t>人民政府教育行政部门、人力资源社会保障行政部门或者其他有关部门责令限期改正，并予以警告；有违法所得的，退还所收费用后没收违法所得；情节严重的，责令停止招生、吊销办学许可证；构成犯罪的，依法追究刑事责任。</w:t>
            </w:r>
          </w:p>
        </w:tc>
        <w:tc>
          <w:tcPr>
            <w:tcW w:w="653" w:type="dxa"/>
            <w:vMerge w:val="restart"/>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vMerge w:val="restart"/>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625" w:hRule="atLeast"/>
        </w:trPr>
        <w:tc>
          <w:tcPr>
            <w:tcW w:w="557" w:type="dxa"/>
            <w:vMerge w:val="continue"/>
            <w:tcBorders>
              <w:top w:val="nil"/>
              <w:left w:val="single" w:color="000000" w:sz="8" w:space="0"/>
              <w:bottom w:val="single" w:color="000000" w:sz="8" w:space="0"/>
              <w:right w:val="nil"/>
            </w:tcBorders>
            <w:noWrap w:val="0"/>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198"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79" w:type="dxa"/>
            <w:vMerge w:val="continue"/>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42"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486"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027"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771"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770"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云南省民办职业培训学校管理办法》第三十六条（一）对未经人力资源和社会保障行政部门批准，从事职业资格培训、职业技能培训的组织和个人，由人力资源和社会保障行政部门会同有关行政部门依照国家有关规定查处取缔。（二）教学条件明显不能满足教学要求，教育教学质量低下，未及时采取措施的，限期改正或撤销办学资格。</w:t>
            </w:r>
          </w:p>
        </w:tc>
        <w:tc>
          <w:tcPr>
            <w:tcW w:w="653"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918"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221" w:hRule="atLeast"/>
        </w:trPr>
        <w:tc>
          <w:tcPr>
            <w:tcW w:w="557" w:type="dxa"/>
            <w:tcBorders>
              <w:top w:val="nil"/>
              <w:left w:val="single" w:color="000000" w:sz="8" w:space="0"/>
              <w:bottom w:val="single" w:color="000000" w:sz="8"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rPr>
            </w:pPr>
            <w:r>
              <w:rPr>
                <w:rFonts w:hint="eastAsia" w:ascii="宋体" w:hAnsi="宋体" w:cs="宋体"/>
                <w:i w:val="0"/>
                <w:color w:val="000000"/>
                <w:kern w:val="0"/>
                <w:sz w:val="20"/>
                <w:szCs w:val="20"/>
                <w:u w:val="none"/>
                <w:lang w:val="en-US" w:eastAsia="zh-CN" w:bidi="ar"/>
              </w:rPr>
              <w:t>13</w:t>
            </w:r>
          </w:p>
        </w:tc>
        <w:tc>
          <w:tcPr>
            <w:tcW w:w="1198"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79" w:type="dxa"/>
            <w:vMerge w:val="continue"/>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对职业技能鉴定机构未取得职业技能鉴定许可或超出职业技能鉴定许可范围进行职业技能鉴定的检查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职业技能鉴定机构</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云南省职业技能鉴定管理条例》（2002年11月29日云南省第九届人民代表大会常务委员会第三十一次会议通过）第二十条：“未取得职业技能鉴定许可证或者超出职业技能鉴定许可证范围进行职业技能鉴定的，由县以上劳动保障行政部门责令停止违法行为，宣布鉴定结果无效，退还申请鉴定人员交纳的费用，并处一千元以上五千元以下罚款。”</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350" w:hRule="atLeast"/>
        </w:trPr>
        <w:tc>
          <w:tcPr>
            <w:tcW w:w="557" w:type="dxa"/>
            <w:vMerge w:val="restart"/>
            <w:tcBorders>
              <w:top w:val="nil"/>
              <w:left w:val="single" w:color="000000" w:sz="8" w:space="0"/>
              <w:bottom w:val="single" w:color="000000" w:sz="8"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rPr>
            </w:pPr>
            <w:r>
              <w:rPr>
                <w:rFonts w:hint="eastAsia" w:ascii="宋体" w:hAnsi="宋体" w:cs="宋体"/>
                <w:i w:val="0"/>
                <w:color w:val="000000"/>
                <w:kern w:val="0"/>
                <w:sz w:val="20"/>
                <w:szCs w:val="20"/>
                <w:u w:val="none"/>
                <w:lang w:val="en-US" w:eastAsia="zh-CN" w:bidi="ar"/>
              </w:rPr>
              <w:t>14</w:t>
            </w:r>
          </w:p>
        </w:tc>
        <w:tc>
          <w:tcPr>
            <w:tcW w:w="1198" w:type="dxa"/>
            <w:vMerge w:val="restart"/>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区人力资源和社会保障局（16类126项）</w:t>
            </w:r>
          </w:p>
        </w:tc>
        <w:tc>
          <w:tcPr>
            <w:tcW w:w="1579" w:type="dxa"/>
            <w:vMerge w:val="restart"/>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职业教育</w:t>
            </w:r>
          </w:p>
        </w:tc>
        <w:tc>
          <w:tcPr>
            <w:tcW w:w="1542" w:type="dxa"/>
            <w:vMerge w:val="restart"/>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对未取得《中华人民共和国社会力量办学许可证》、《中华人民共和国民办学校办学许可证》或使用无效许可证从事职业培训活动的检查</w:t>
            </w:r>
          </w:p>
        </w:tc>
        <w:tc>
          <w:tcPr>
            <w:tcW w:w="486" w:type="dxa"/>
            <w:vMerge w:val="restart"/>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vMerge w:val="restart"/>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用人单位</w:t>
            </w:r>
          </w:p>
        </w:tc>
        <w:tc>
          <w:tcPr>
            <w:tcW w:w="771" w:type="dxa"/>
            <w:vMerge w:val="restart"/>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vMerge w:val="restart"/>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人力资源社会保障部门</w:t>
            </w:r>
          </w:p>
        </w:tc>
        <w:tc>
          <w:tcPr>
            <w:tcW w:w="4487"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《云南省劳动就业条例》（经过2010年5月28日云南省第十一届人民代表大会常务委员会第十七次会议通过 2010年5月28日云南省第十一届人民代表大会常务委员会公告第24号公布，自公布之日起施行的《云南省人民代表大会常务委员会关于修改部分地方性法规的决定》修正）第二十七条第一款：“未取得《中华人民共和国社会力量办学许可证》或者使用无效许可证从事职业培训活动的，由劳动保障部门依法取缔，没收违法所得，对单位或者直接责任人处2万元以上10万元以下的罚款。构成犯罪的，依法追究刑事责任。”</w:t>
            </w:r>
          </w:p>
        </w:tc>
        <w:tc>
          <w:tcPr>
            <w:tcW w:w="653" w:type="dxa"/>
            <w:vMerge w:val="restart"/>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vMerge w:val="restart"/>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350" w:hRule="atLeast"/>
        </w:trPr>
        <w:tc>
          <w:tcPr>
            <w:tcW w:w="557" w:type="dxa"/>
            <w:vMerge w:val="continue"/>
            <w:tcBorders>
              <w:top w:val="nil"/>
              <w:left w:val="single" w:color="000000" w:sz="8" w:space="0"/>
              <w:bottom w:val="single" w:color="000000" w:sz="8" w:space="0"/>
              <w:right w:val="nil"/>
            </w:tcBorders>
            <w:noWrap w:val="0"/>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198"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79"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42"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486"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027"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771"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770"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4487"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《中华人民共和国民办教育促进法》第六十二条民办学校有下列行为之一的，由</w:t>
            </w:r>
            <w:r>
              <w:rPr>
                <w:rFonts w:hint="eastAsia" w:ascii="宋体" w:hAnsi="宋体" w:cs="宋体"/>
                <w:i w:val="0"/>
                <w:color w:val="000000"/>
                <w:kern w:val="0"/>
                <w:sz w:val="20"/>
                <w:szCs w:val="20"/>
                <w:u w:val="none"/>
                <w:lang w:val="en-US" w:eastAsia="zh-CN" w:bidi="ar"/>
              </w:rPr>
              <w:t>县级</w:t>
            </w:r>
            <w:r>
              <w:rPr>
                <w:rFonts w:hint="eastAsia" w:ascii="宋体" w:hAnsi="宋体" w:eastAsia="宋体" w:cs="宋体"/>
                <w:i w:val="0"/>
                <w:color w:val="000000"/>
                <w:kern w:val="0"/>
                <w:sz w:val="20"/>
                <w:szCs w:val="20"/>
                <w:u w:val="none"/>
                <w:lang w:val="en-US" w:eastAsia="zh-CN" w:bidi="ar"/>
              </w:rPr>
              <w:t>人民政府教育行政部门、人力资源社会保障行政部门或者其他有关部门责令限期改正，并予以警告；有违法所得的，退还所收费用后没收违法所得；情节严重的，责令停止招生、吊销办学许可证；构成犯罪的，依法追究刑事责任。</w:t>
            </w:r>
          </w:p>
        </w:tc>
        <w:tc>
          <w:tcPr>
            <w:tcW w:w="653"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918"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350" w:hRule="atLeast"/>
        </w:trPr>
        <w:tc>
          <w:tcPr>
            <w:tcW w:w="557" w:type="dxa"/>
            <w:vMerge w:val="continue"/>
            <w:tcBorders>
              <w:top w:val="nil"/>
              <w:left w:val="single" w:color="000000" w:sz="8" w:space="0"/>
              <w:bottom w:val="single" w:color="000000" w:sz="8" w:space="0"/>
              <w:right w:val="nil"/>
            </w:tcBorders>
            <w:noWrap w:val="0"/>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198" w:type="dxa"/>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79"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42"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486"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027"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771"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770"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云南省民办职业培训学校管理办法》第三十六条（一）对未经人力资源和社会保障行政部门批准，从事职业资格培训、职业技能培训的组织和个人，由人力资源和社会保障行政部门会同有关行政部门依照国家有关规定查处取缔。（二）教学条件明显不能满足教学要求，教育教学质量低下，未及时采取措施的，限期改正或撤销办学资格。</w:t>
            </w:r>
          </w:p>
        </w:tc>
        <w:tc>
          <w:tcPr>
            <w:tcW w:w="653"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918"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975" w:hRule="atLeast"/>
        </w:trPr>
        <w:tc>
          <w:tcPr>
            <w:tcW w:w="557" w:type="dxa"/>
            <w:tcBorders>
              <w:top w:val="nil"/>
              <w:left w:val="single" w:color="000000" w:sz="8" w:space="0"/>
              <w:bottom w:val="single" w:color="000000" w:sz="8"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rPr>
            </w:pPr>
            <w:r>
              <w:rPr>
                <w:rFonts w:hint="eastAsia" w:ascii="宋体" w:hAnsi="宋体" w:cs="宋体"/>
                <w:i w:val="0"/>
                <w:color w:val="000000"/>
                <w:kern w:val="0"/>
                <w:sz w:val="20"/>
                <w:szCs w:val="20"/>
                <w:u w:val="none"/>
                <w:lang w:val="en-US" w:eastAsia="zh-CN" w:bidi="ar"/>
              </w:rPr>
              <w:t>15</w:t>
            </w:r>
          </w:p>
        </w:tc>
        <w:tc>
          <w:tcPr>
            <w:tcW w:w="1198" w:type="dxa"/>
            <w:vMerge w:val="restart"/>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区人力资源和社会保障局（16类126项）</w:t>
            </w:r>
          </w:p>
        </w:tc>
        <w:tc>
          <w:tcPr>
            <w:tcW w:w="1579"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职业技能考核鉴定</w:t>
            </w: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对职业技能鉴定机构在鉴定工作中弄虚作假的检查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职业技能鉴定机构</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云南省职业技能鉴定管理条例》（2002年11月29日云南省第九届人民代表大会常务委员会第三十一次会议通过）第二十一条：“职业技能鉴定机构在鉴定工作中弄虚作假的，其鉴定结果无效，由县以上劳动保障行政部门责令改正，并对职业技能鉴定机构处一万元以上五万元以下罚款，对直接负责的主管人员和其他直接责任人员处一千元以上五千元以下罚款；拒不改正的，由发证机关吊销职业技能鉴定许可证。”</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755" w:hRule="atLeast"/>
        </w:trPr>
        <w:tc>
          <w:tcPr>
            <w:tcW w:w="557" w:type="dxa"/>
            <w:tcBorders>
              <w:top w:val="nil"/>
              <w:left w:val="single" w:color="000000" w:sz="8" w:space="0"/>
              <w:bottom w:val="single" w:color="000000" w:sz="8"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rPr>
            </w:pPr>
            <w:r>
              <w:rPr>
                <w:rFonts w:hint="eastAsia" w:ascii="宋体" w:hAnsi="宋体" w:cs="宋体"/>
                <w:i w:val="0"/>
                <w:color w:val="000000"/>
                <w:kern w:val="0"/>
                <w:sz w:val="20"/>
                <w:szCs w:val="20"/>
                <w:u w:val="none"/>
                <w:lang w:val="en-US" w:eastAsia="zh-CN" w:bidi="ar"/>
              </w:rPr>
              <w:t>16</w:t>
            </w:r>
            <w:bookmarkStart w:id="0" w:name="_GoBack"/>
            <w:bookmarkEnd w:id="0"/>
          </w:p>
        </w:tc>
        <w:tc>
          <w:tcPr>
            <w:tcW w:w="1198" w:type="dxa"/>
            <w:vMerge w:val="continue"/>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79"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职业教育</w:t>
            </w: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对用人单位伪造、变造、买卖职业资格证书的检查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用人单位</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云南省职业技能鉴定管理条例》（2002年11月29日云南省第九届人民代表大会常务委员会第三十一次会议通过）第二十四条：“伪造、变造、买卖职业资格证书的，由县以上劳动保障行政部门没收违法所得，并处违法所得一倍以上五倍以下罚款；无违法所得的，处一千元以上五千元以下罚款；构成犯罪的，依法追究刑事责任。”</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Arial Unicode MS"/>
    <w:panose1 w:val="03000509000000000000"/>
    <w:charset w:val="86"/>
    <w:family w:val="auto"/>
    <w:pitch w:val="default"/>
    <w:sig w:usb0="00000000" w:usb1="00000000" w:usb2="00000000" w:usb3="00000000" w:csb0="00040000" w:csb1="00000000"/>
  </w:font>
  <w:font w:name="方正黑体_GBK">
    <w:altName w:val="微软雅黑"/>
    <w:panose1 w:val="00000000000000000000"/>
    <w:charset w:val="00"/>
    <w:family w:val="auto"/>
    <w:pitch w:val="default"/>
    <w:sig w:usb0="00000000" w:usb1="00000000" w:usb2="00000000" w:usb3="00000000" w:csb0="00040001"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5F6C17"/>
    <w:rsid w:val="051F69A7"/>
    <w:rsid w:val="0D1A2DA7"/>
    <w:rsid w:val="3D4A215B"/>
    <w:rsid w:val="425A0DB4"/>
    <w:rsid w:val="6124507F"/>
    <w:rsid w:val="78D93A62"/>
    <w:rsid w:val="7F5F6C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 w:type="character" w:customStyle="1" w:styleId="4">
    <w:name w:val="font41"/>
    <w:basedOn w:val="3"/>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昆明市西山区党政机关单位</Company>
  <Pages>1</Pages>
  <Words>0</Words>
  <Characters>0</Characters>
  <Lines>0</Lines>
  <Paragraphs>0</Paragraphs>
  <TotalTime>16</TotalTime>
  <ScaleCrop>false</ScaleCrop>
  <LinksUpToDate>false</LinksUpToDate>
  <CharactersWithSpaces>0</CharactersWithSpaces>
  <Application>WPS Office_11.8.6.8722_F1E327BC-269C-435d-A152-05C5408002CA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2021-09-01T02:27:00Z</dcterms:created>
  <dc:creator>jybz</dc:creator>
  <cp:lastModifiedBy>jybz</cp:lastModifiedBy>
  <dcterms:modified xsi:type="dcterms:W3CDTF">2022-03-16T06:25:22Z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2052-11.8.6.8722</vt:lpwstr>
  </property>
</Properties>
</file>