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400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25"/>
        <w:gridCol w:w="32"/>
        <w:gridCol w:w="1198"/>
        <w:gridCol w:w="1579"/>
        <w:gridCol w:w="1542"/>
        <w:gridCol w:w="486"/>
        <w:gridCol w:w="1027"/>
        <w:gridCol w:w="771"/>
        <w:gridCol w:w="770"/>
        <w:gridCol w:w="4487"/>
        <w:gridCol w:w="653"/>
        <w:gridCol w:w="918"/>
        <w:gridCol w:w="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4" w:type="dxa"/>
          <w:trHeight w:val="660" w:hRule="atLeast"/>
          <w:tblHeader/>
        </w:trPr>
        <w:tc>
          <w:tcPr>
            <w:tcW w:w="13988" w:type="dxa"/>
            <w:gridSpan w:val="12"/>
            <w:tcBorders>
              <w:top w:val="nil"/>
              <w:left w:val="nil"/>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ascii="方正小标宋_GBK" w:hAnsi="方正小标宋_GBK" w:eastAsia="方正小标宋_GBK" w:cs="方正小标宋_GBK"/>
                <w:i w:val="0"/>
                <w:color w:val="000000"/>
                <w:sz w:val="40"/>
                <w:szCs w:val="40"/>
                <w:u w:val="none"/>
              </w:rPr>
            </w:pPr>
            <w:r>
              <w:rPr>
                <w:rFonts w:hint="eastAsia" w:ascii="方正小标宋_GBK" w:hAnsi="方正小标宋_GBK" w:eastAsia="方正小标宋_GBK" w:cs="方正小标宋_GBK"/>
                <w:i w:val="0"/>
                <w:color w:val="000000"/>
                <w:kern w:val="0"/>
                <w:sz w:val="40"/>
                <w:szCs w:val="40"/>
                <w:u w:val="none"/>
                <w:lang w:val="en-US" w:eastAsia="zh-CN" w:bidi="ar"/>
              </w:rPr>
              <w:t>昆明市西山区人力资源和社会保障市场监管领域随机抽查事项清单（第二版）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4" w:type="dxa"/>
          <w:trHeight w:val="354" w:hRule="atLeast"/>
          <w:tblHeader/>
        </w:trPr>
        <w:tc>
          <w:tcPr>
            <w:tcW w:w="557" w:type="dxa"/>
            <w:gridSpan w:val="2"/>
            <w:vMerge w:val="restart"/>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序号</w:t>
            </w:r>
          </w:p>
        </w:tc>
        <w:tc>
          <w:tcPr>
            <w:tcW w:w="1198"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部门</w:t>
            </w:r>
          </w:p>
        </w:tc>
        <w:tc>
          <w:tcPr>
            <w:tcW w:w="3121" w:type="dxa"/>
            <w:gridSpan w:val="2"/>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抽查项目</w:t>
            </w:r>
          </w:p>
        </w:tc>
        <w:tc>
          <w:tcPr>
            <w:tcW w:w="486"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事项类别</w:t>
            </w:r>
          </w:p>
        </w:tc>
        <w:tc>
          <w:tcPr>
            <w:tcW w:w="1027"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检查对象</w:t>
            </w:r>
          </w:p>
        </w:tc>
        <w:tc>
          <w:tcPr>
            <w:tcW w:w="771"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检查方式</w:t>
            </w:r>
          </w:p>
        </w:tc>
        <w:tc>
          <w:tcPr>
            <w:tcW w:w="770"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检查主体</w:t>
            </w:r>
          </w:p>
        </w:tc>
        <w:tc>
          <w:tcPr>
            <w:tcW w:w="4487"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检查依据</w:t>
            </w:r>
          </w:p>
        </w:tc>
        <w:tc>
          <w:tcPr>
            <w:tcW w:w="653"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适用区域</w:t>
            </w:r>
          </w:p>
        </w:tc>
        <w:tc>
          <w:tcPr>
            <w:tcW w:w="918" w:type="dxa"/>
            <w:vMerge w:val="restart"/>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4" w:type="dxa"/>
          <w:trHeight w:val="405" w:hRule="atLeast"/>
          <w:tblHeader/>
        </w:trPr>
        <w:tc>
          <w:tcPr>
            <w:tcW w:w="557" w:type="dxa"/>
            <w:gridSpan w:val="2"/>
            <w:vMerge w:val="continue"/>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1198"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抽查类别</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方正黑体_GBK" w:hAnsi="方正黑体_GBK" w:eastAsia="方正黑体_GBK" w:cs="方正黑体_GBK"/>
                <w:b/>
                <w:bCs/>
                <w:i w:val="0"/>
                <w:color w:val="000000"/>
                <w:sz w:val="22"/>
                <w:szCs w:val="22"/>
                <w:u w:val="none"/>
              </w:rPr>
            </w:pPr>
            <w:r>
              <w:rPr>
                <w:rFonts w:hint="default" w:ascii="方正黑体_GBK" w:hAnsi="方正黑体_GBK" w:eastAsia="方正黑体_GBK" w:cs="方正黑体_GBK"/>
                <w:b/>
                <w:bCs/>
                <w:i w:val="0"/>
                <w:color w:val="000000"/>
                <w:kern w:val="0"/>
                <w:sz w:val="22"/>
                <w:szCs w:val="22"/>
                <w:u w:val="none"/>
                <w:lang w:val="en-US" w:eastAsia="zh-CN" w:bidi="ar"/>
              </w:rPr>
              <w:t>抽查事项</w:t>
            </w:r>
          </w:p>
        </w:tc>
        <w:tc>
          <w:tcPr>
            <w:tcW w:w="486"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1027"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771"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770"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4487"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653"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c>
          <w:tcPr>
            <w:tcW w:w="918" w:type="dxa"/>
            <w:vMerge w:val="continue"/>
            <w:tcBorders>
              <w:top w:val="single" w:color="000000" w:sz="8" w:space="0"/>
              <w:left w:val="nil"/>
              <w:bottom w:val="single" w:color="000000" w:sz="8" w:space="0"/>
              <w:right w:val="single" w:color="000000" w:sz="8" w:space="0"/>
            </w:tcBorders>
            <w:noWrap w:val="0"/>
            <w:tcMar>
              <w:top w:w="15" w:type="dxa"/>
              <w:left w:w="15" w:type="dxa"/>
              <w:right w:w="15" w:type="dxa"/>
            </w:tcMar>
            <w:vAlign w:val="center"/>
          </w:tcPr>
          <w:p>
            <w:pPr>
              <w:jc w:val="center"/>
              <w:rPr>
                <w:rFonts w:hint="default" w:ascii="方正黑体_GBK" w:hAnsi="方正黑体_GBK" w:eastAsia="方正黑体_GBK" w:cs="方正黑体_GBK"/>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4" w:type="dxa"/>
          <w:trHeight w:val="3241" w:hRule="atLeast"/>
        </w:trPr>
        <w:tc>
          <w:tcPr>
            <w:tcW w:w="557" w:type="dxa"/>
            <w:gridSpan w:val="2"/>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w:t>
            </w:r>
          </w:p>
        </w:tc>
        <w:tc>
          <w:tcPr>
            <w:tcW w:w="1198" w:type="dxa"/>
            <w:vMerge w:val="continue"/>
            <w:tcBorders>
              <w:top w:val="nil"/>
              <w:left w:val="single" w:color="000000" w:sz="8" w:space="0"/>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工时休假</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对违反法律、法规规定或者未经劳动者同意，安排劳动者延长工作时间的的检查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劳动监察条例》（1998年11月27日云南省第九届人民代表大会常务委员会第六次会议通过）第二十六条：除法律、法规规定的特殊情况外，用人单位违反工作时间和休息休假制度规定的，责令改正并按有关规定给予劳动者经济补偿。拒不改正的，处以罚款：（一）违反法律、法规规定或者未经劳动者同意，安排劳动者延长工作时间的，按每人超出工作时间一小时处以10元以上50元以下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4" w:type="dxa"/>
          <w:trHeight w:val="3276" w:hRule="atLeast"/>
        </w:trPr>
        <w:tc>
          <w:tcPr>
            <w:tcW w:w="557" w:type="dxa"/>
            <w:gridSpan w:val="2"/>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w:t>
            </w:r>
          </w:p>
        </w:tc>
        <w:tc>
          <w:tcPr>
            <w:tcW w:w="119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工时休假</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对用人单位不能依法保证劳动者休息休假（包括少数民族节假日）或未报经劳动保障部门批准实行其他工作制度和休息办法的检查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劳动监察条例》（1998年11月27日云南省第九届人民代表大会常务委员会第六次会议通过）第二十六条：除法律、法规规定的特殊情况外，用人单位违反工作时间和休息休假制度规定的，责令改正并按有关规定给予劳动者经济补偿。拒不改正的，处以罚款：（二）不能依法保证劳动者休息休假（包括少数民族节假日）或者未报经劳动保障部门批准实行其他工作制度和休息办法的，处以1000元以上3000元以下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4" w:type="dxa"/>
          <w:trHeight w:val="1625" w:hRule="atLeast"/>
        </w:trPr>
        <w:tc>
          <w:tcPr>
            <w:tcW w:w="557" w:type="dxa"/>
            <w:gridSpan w:val="2"/>
            <w:vMerge w:val="restart"/>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3</w:t>
            </w: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对用人单位实行不定时工作制和综合计算工作制情况的检查</w:t>
            </w:r>
          </w:p>
        </w:tc>
        <w:tc>
          <w:tcPr>
            <w:tcW w:w="486"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《劳动法》第三十九条：企业因生产特点不能实行本法第三十六条、第三十八条规定的，经劳动行政部门批准，可以实行其他工作和休息办法。</w:t>
            </w:r>
          </w:p>
        </w:tc>
        <w:tc>
          <w:tcPr>
            <w:tcW w:w="653"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4" w:type="dxa"/>
          <w:trHeight w:val="1625" w:hRule="atLeast"/>
        </w:trPr>
        <w:tc>
          <w:tcPr>
            <w:tcW w:w="557" w:type="dxa"/>
            <w:gridSpan w:val="2"/>
            <w:vMerge w:val="continue"/>
            <w:tcBorders>
              <w:top w:val="nil"/>
              <w:left w:val="single" w:color="000000" w:sz="8" w:space="0"/>
              <w:bottom w:val="single" w:color="000000" w:sz="8" w:space="0"/>
              <w:right w:val="nil"/>
            </w:tcBorders>
            <w:noWrap w:val="0"/>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486"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027"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771"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770"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《关于企业实行不定时工作制和综合计算工时工作制的审批办法》（劳部发〔1994〕503号）</w:t>
            </w:r>
          </w:p>
        </w:tc>
        <w:tc>
          <w:tcPr>
            <w:tcW w:w="653"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91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14" w:type="dxa"/>
          <w:trHeight w:val="2851" w:hRule="atLeast"/>
        </w:trPr>
        <w:tc>
          <w:tcPr>
            <w:tcW w:w="557" w:type="dxa"/>
            <w:gridSpan w:val="2"/>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4</w:t>
            </w:r>
          </w:p>
        </w:tc>
        <w:tc>
          <w:tcPr>
            <w:tcW w:w="1198"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规章制度</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对用人单位直接涉及劳动者切身利益的规章制度违反法律、法规规定的检查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人民共和国劳动合同法》（2007年6月29日第十届全国人民代表大会常务委员会第二十八次会议通过，2007年6月29日中华人民共和国主席令第65号公布，2012年12月28日根据全《国人民代表大会常务委员会关于修改&lt;中华人民共和国劳动合同法&gt;的决定》修订）第八十条：用人单位直接涉及劳动者切身利益的规章制度违反法律、法规规定的，由劳动行政部门责令改正，给予警告；给劳动者造成损害的，应当承担赔偿责任。</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74" w:hRule="atLeast"/>
        </w:trPr>
        <w:tc>
          <w:tcPr>
            <w:tcW w:w="525"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5</w:t>
            </w:r>
          </w:p>
        </w:tc>
        <w:tc>
          <w:tcPr>
            <w:tcW w:w="1230" w:type="dxa"/>
            <w:gridSpan w:val="2"/>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妨碍行政执法</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对用人单位不提供或不如实提供签订或履行集体合同所需真实情况和资料的检查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集体合同条例》（2001年9月20日云南省第九届人民代表大会常务委员会第二十四次会议通过）第二十六条：“企业违反本条例规定，有下列情形之一的，由劳动保障行政部门责令限期改正，逾期不改的，处二千元以上一万元以下罚款；对直接负责的主管人员和其他直接责任人员处一千元以上五千元以下的罚款：（三）不提供或者不如实提供签订或者履行集体合同所需真实情况和资料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32"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16" w:hRule="atLeast"/>
        </w:trPr>
        <w:tc>
          <w:tcPr>
            <w:tcW w:w="525"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6</w:t>
            </w:r>
          </w:p>
        </w:tc>
        <w:tc>
          <w:tcPr>
            <w:tcW w:w="1230" w:type="dxa"/>
            <w:gridSpan w:val="2"/>
            <w:vMerge w:val="continue"/>
            <w:tcBorders>
              <w:top w:val="nil"/>
              <w:left w:val="nil"/>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妨碍行政执法</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对企业不提供与工资集体协商有关信息资料或者提供虚假信息资料的检查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企业工资集体协商条例》（2012年3月31日云南省第十一届人民代表大会常务委员会第三十次会议通过）第三十九条企业违反本条例规定，有下列情形之一的，由人力资源和社会保障行政部门责令改正，并处5000元以上2万元以下罚款；引发群体性事件，造成严重后果的，由有关部门依法追究相关责任人责任：（二）不提供与工资集体协商有关信息资料或者提供虚假信息资料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32"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55" w:hRule="atLeast"/>
        </w:trPr>
        <w:tc>
          <w:tcPr>
            <w:tcW w:w="525"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7</w:t>
            </w:r>
          </w:p>
        </w:tc>
        <w:tc>
          <w:tcPr>
            <w:tcW w:w="1230" w:type="dxa"/>
            <w:gridSpan w:val="2"/>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妨碍行政执法</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对建设单位或者非建设领域用人单位拒不执行限期责令改正决定或者拒不履行增存工资保证金处理决定的检查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农民工工资支付保障规定》（云南省人民政府令第166号）第二十二条：建设单位或者非建设领域用人单位违反本规定，未在规定期限内向农民工工资保证金账户存入、补足农民工工资保证金的，由人力资源社会保障部门责令限期改正；逾期未改正的，责令其增存1%工程款或者1个月工资总额的农民工工资保证金；拒不改正或者拒不履行增存工资保证金处理决定的，依照《劳动保障监察条例》第三十条规定予以处罚。</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32" w:type="dxa"/>
            <w:gridSpan w:val="2"/>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bl>
    <w:p>
      <w:pPr>
        <w:keepNext w:val="0"/>
        <w:keepLines w:val="0"/>
        <w:widowControl/>
        <w:suppressLineNumbers w:val="0"/>
        <w:jc w:val="both"/>
        <w:textAlignment w:val="center"/>
        <w:rPr>
          <w:rFonts w:hint="eastAsia" w:ascii="方正小标宋_GBK" w:hAnsi="方正小标宋_GBK" w:eastAsia="方正小标宋_GBK" w:cs="方正小标宋_GBK"/>
          <w:i w:val="0"/>
          <w:color w:val="000000"/>
          <w:kern w:val="0"/>
          <w:sz w:val="40"/>
          <w:szCs w:val="40"/>
          <w:u w:val="none"/>
          <w:lang w:val="en-US" w:eastAsia="zh-CN" w:bidi="ar"/>
        </w:rPr>
      </w:pPr>
    </w:p>
    <w:tbl>
      <w:tblPr>
        <w:tblStyle w:val="2"/>
        <w:tblW w:w="139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57"/>
        <w:gridCol w:w="1198"/>
        <w:gridCol w:w="1579"/>
        <w:gridCol w:w="1542"/>
        <w:gridCol w:w="486"/>
        <w:gridCol w:w="1027"/>
        <w:gridCol w:w="771"/>
        <w:gridCol w:w="770"/>
        <w:gridCol w:w="4487"/>
        <w:gridCol w:w="653"/>
        <w:gridCol w:w="9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897"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8</w:t>
            </w:r>
          </w:p>
        </w:tc>
        <w:tc>
          <w:tcPr>
            <w:tcW w:w="1198" w:type="dxa"/>
            <w:vMerge w:val="restart"/>
            <w:tcBorders>
              <w:top w:val="single" w:color="000000" w:sz="8" w:space="0"/>
              <w:left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女职工特殊劳动保护</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对用人单位安排女职工从事矿山井下劳动、国家规定的第四级体力劳动强度的劳动或其他禁忌从事劳动的检查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保障监察条例》（国务院令第423号）第二十三条：“用人单位有下列行为之一的，由劳动保障行政部门责令改正，按照受侵害的劳动者每人1000元以上5000元以下的标准计算，处以罚款：（一）安排女职工从事矿山井下劳动、国家规定的第四级体力劳动强度的劳动或者其他禁忌从事的劳动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37"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9</w:t>
            </w:r>
          </w:p>
        </w:tc>
        <w:tc>
          <w:tcPr>
            <w:tcW w:w="1198"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对用人单位安排女职工在经期从事高处、低温、冷水作业或国家规定的第三级体力劳动强度劳动的检查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保障监察条例》（国务院令第423号）第二十三条：“用人单位有下列行为之一的，由劳动保障行政部门责令改正，按照受侵害的劳动者每人1000元以上5000元以下的标准计算，处以罚款：（二）安排女职工在经期从事高处、低温、冷水作业或者国家规定的第三级体力劳动强度的劳动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30"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10</w:t>
            </w:r>
          </w:p>
        </w:tc>
        <w:tc>
          <w:tcPr>
            <w:tcW w:w="119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女职工特殊劳动保护</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对用人单位安排女职工在孕期从事国家规定的第三级体力劳动强度的劳动或孕期禁忌从事劳动的检查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保障监察条例》（国务院令第423号）第二十三条：“用人单位有下列行为之一的，由劳动保障行政部门责令改正，按照受侵害的劳动者每人1000元以上5000元以下的标准计算，处以罚款：（三）安排女职工在怀孕期间从事国家规定的第三级体力劳动强度的劳动或者孕期禁忌从事的劳动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121"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11</w:t>
            </w: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对用人单位安排怀孕7个月以上的女职工夜班劳动或延长其工作时间的检查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保障监察条例》（国务院令第423号）第二十三条：“用人单位有下列行为之一的，由劳动保障行政部门责令改正，按照受侵害的劳动者每人1000元以上5000元以下的标准计算，处以罚款：（四）安排怀孕7个月以上的女职工夜班劳动或者延长其工作时间的。”</w:t>
            </w:r>
            <w:r>
              <w:rPr>
                <w:rStyle w:val="4"/>
                <w:lang w:val="en-US" w:eastAsia="zh-CN" w:bidi="ar"/>
              </w:rPr>
              <w:t xml:space="preserve"> </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156"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12</w:t>
            </w: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对用人单位给女职工生育享受产假少于90天的检查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保障监察条例》（国务院令第423号）第二十三条：“用人单位有下列行为之一的，由劳动保障行政部门责令改正，按照受侵害的劳动者每人1000元以上5000元以下的标准计算，处以罚款：（五）女职工生育享受产假少于90天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76"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13</w:t>
            </w:r>
          </w:p>
        </w:tc>
        <w:tc>
          <w:tcPr>
            <w:tcW w:w="119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女职工特殊劳动保护</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对用人单位安排女职工在哺乳未满１周岁婴儿期间从事国家规定的第三级体力劳动强度或哺乳期禁忌从事的其他劳动，以及延长其工作时间或安排夜班劳动的检查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保障监察条例》（国务院令第423号）第二十三条：“用人单位有下列行为之一的，由劳动保障行政部门责令改正，按照受侵害的劳动者每人1000元以上5000元以下的标准计算，处以罚款：（六）安排女职工在哺乳未满１周岁的婴儿期间从事国家规定的第三级体力劳动强度的劳动或者哺乳期禁忌从事的其他劳动，以及延长其工作时间或者安排其夜班劳动的。”</w:t>
            </w:r>
            <w:r>
              <w:rPr>
                <w:rStyle w:val="4"/>
                <w:lang w:val="en-US" w:eastAsia="zh-CN" w:bidi="ar"/>
              </w:rPr>
              <w:t xml:space="preserve"> </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51"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14</w:t>
            </w: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对用人单位违反女职工劳动保护特别规定的检查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《女职工劳动保护特别规定》（国务院令第619号）第十三条：用人单位违反本规定第六条第二款、第七条、第九条第一款规定的，由</w:t>
            </w:r>
            <w:r>
              <w:rPr>
                <w:rFonts w:hint="eastAsia" w:ascii="宋体" w:hAnsi="宋体" w:cs="宋体"/>
                <w:i w:val="0"/>
                <w:color w:val="000000"/>
                <w:kern w:val="0"/>
                <w:sz w:val="20"/>
                <w:szCs w:val="20"/>
                <w:u w:val="none"/>
                <w:lang w:val="en-US" w:eastAsia="zh-CN" w:bidi="ar"/>
              </w:rPr>
              <w:t>县级</w:t>
            </w:r>
            <w:r>
              <w:rPr>
                <w:rFonts w:hint="eastAsia" w:ascii="宋体" w:hAnsi="宋体" w:eastAsia="宋体" w:cs="宋体"/>
                <w:i w:val="0"/>
                <w:color w:val="000000"/>
                <w:kern w:val="0"/>
                <w:sz w:val="20"/>
                <w:szCs w:val="20"/>
                <w:u w:val="none"/>
                <w:lang w:val="en-US" w:eastAsia="zh-CN" w:bidi="ar"/>
              </w:rPr>
              <w:t>人民政府人力资源社会保障行政部门责令限期改正，按照受侵害女职工每人1000元以上5000元以下的标准计算，处以罚款。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71"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15</w:t>
            </w:r>
          </w:p>
        </w:tc>
        <w:tc>
          <w:tcPr>
            <w:tcW w:w="1198" w:type="dxa"/>
            <w:vMerge w:val="restart"/>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禁止使用童工</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对用人单位使用童工的检查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禁止使用童工规定》（国务院令第364号）第六条：用人单位使用童工的，由劳动保障行政部门按照每使用一名童工每月处5000元罚款的标准给予处罚；在使用有毒物品的作业场所使用童工的，按照《使用有毒物品作业场所劳动保护条例》规定的罚款幅度，或者按照每使用一名童工每月处5000元罚款的标准，从重处罚。劳动保障行政部门并应当责令用人单位限期将童工送回原居住地交其父母或者其他监护人，所需交通和食宿费用全部由用人单位承担。 用人单位经劳动保障行政部门依照前款规定责令限期改正，逾期仍不将童工送交其父母或者其他监护人的，从责令限期改正之日起，由劳动保障行政部门按照每使用一名童工每月处1万元罚款的标准处罚，并由工商行政管理部门吊销其营业执照或者由民政部门撤销民办非企业单位登记；用人单位是国家机关、事业单位的，由有关单位依法对直接负责的主管人员和其他直接责任人员给予降级或者撤职的行政处分或者纪律处分。</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41"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16</w:t>
            </w:r>
          </w:p>
        </w:tc>
        <w:tc>
          <w:tcPr>
            <w:tcW w:w="1198" w:type="dxa"/>
            <w:vMerge w:val="continue"/>
            <w:tcBorders>
              <w:top w:val="nil"/>
              <w:left w:val="nil"/>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对单位、个人或者职业中介机构为不满16周岁的未成年人介绍就业的检查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禁止使用童工规定》（国务院令第364号）第七条：单位或者个人为不满16周岁的未成年人介绍就业的，由劳动保障行政部门按照每介绍一人处5000元罚款的标准给予处罚；职业中介机构为不满16周岁的未成年人介绍就业的，并由劳动保障行政部门吊销其职业介绍许可证。</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66"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17</w:t>
            </w:r>
          </w:p>
        </w:tc>
        <w:tc>
          <w:tcPr>
            <w:tcW w:w="1198"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禁止使用童工</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对用人单位未按照禁止使用童工规定保存录用登记材料，或者伪造录用登记材料的检查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《禁止使用童工规定》（国务院令第364号）第八条：用人单位未按照本规定第四条的规定保存录用登记材料，或者伪造录用登记材料的，由劳动保障行政部门处1万元的罚款。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31"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18</w:t>
            </w:r>
          </w:p>
        </w:tc>
        <w:tc>
          <w:tcPr>
            <w:tcW w:w="1198"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对无营业执照、被依法吊销营业执照的单位以及未依法登记、备案的单位使用童工或者介绍童工就业的检查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禁止使用童工规定》（国务院令第364号）第九条：无营业执照、被依法吊销营业执照的单位以及未依法登记、备案的单位使用童工或者介绍童工就业的，依照本规定第六条、第七条、第八条规定的标准加一倍罚款，该非法单位由有关的行政主管部门予以取缔。</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31"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19</w:t>
            </w:r>
          </w:p>
        </w:tc>
        <w:tc>
          <w:tcPr>
            <w:tcW w:w="1198"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未成年工特殊劳动保护</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对用人单位安排未成年工从事矿山井下、有毒有害、国家规定的第四级体力劳动强度的劳动或其他禁忌从事劳动的检查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劳动保障监察条例》（国务院令第423号）第二十三条：“用人单位有下列行为之一的，由劳动保障行政部门责令改正，按照受侵害的劳动者每人1000元以上5000元以下的标准计算，处以罚款：（七）安排未成年工从事矿山井下、有毒有害、国家规定的第四级体力劳动强度的劳动或者其他禁忌从事的劳动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31"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20</w:t>
            </w:r>
          </w:p>
        </w:tc>
        <w:tc>
          <w:tcPr>
            <w:tcW w:w="1198"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对用人单位未对未成年工定期进行健康检查的检查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劳动保障监察条例》（国务院令第423号）第二十三条：“用人单位有下列行为之一的，由劳动保障行政部门责令改正，按照受侵害的劳动者每人1000元以上5000元以下的标准计算，处以罚款：（八）未对未成年工定期进行健康检查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0"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21</w:t>
            </w:r>
          </w:p>
        </w:tc>
        <w:tc>
          <w:tcPr>
            <w:tcW w:w="1198" w:type="dxa"/>
            <w:tcBorders>
              <w:top w:val="nil"/>
              <w:left w:val="single" w:color="000000" w:sz="8" w:space="0"/>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特殊劳动保护</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对用人单位违反国家规定，侵害女职工和未成年工、残疾职工合法权益的检查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《云南省劳动监察条例》（1998年11月27日云南省第九届人民代表大会常务委员会第六次会议通过）第二十八条 用人单位违反国家规定，侵害女职工和未成年工、残疾职工合法权益的，责令限期改正，并按每侵害一名职工处以1000元以上3000元以下罚款。</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0"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22</w:t>
            </w:r>
          </w:p>
        </w:tc>
        <w:tc>
          <w:tcPr>
            <w:tcW w:w="1198" w:type="dxa"/>
            <w:vMerge w:val="restart"/>
            <w:tcBorders>
              <w:top w:val="nil"/>
              <w:left w:val="single" w:color="000000" w:sz="8" w:space="0"/>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kern w:val="0"/>
                <w:sz w:val="20"/>
                <w:szCs w:val="20"/>
                <w:u w:val="none"/>
                <w:lang w:val="en-US" w:eastAsia="zh-CN" w:bidi="ar"/>
              </w:rPr>
            </w:pPr>
          </w:p>
        </w:tc>
        <w:tc>
          <w:tcPr>
            <w:tcW w:w="1579" w:type="dxa"/>
            <w:vMerge w:val="restart"/>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妨碍行政执法</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对用人单位无理抗拒、阻挠劳动保障行政部门实施劳动保障监察的检查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劳动保障监察条例》（国务院令第423号）第三十条：“有下列行为之一的，由劳动保障行政部门责令改正；对有第（一）项、第（二）项或者第（三）项规定的行为的，处2000元以上2万元以下的罚款：（一）无理抗拒、阻挠劳动保障行政部门依照本条例的规定实施劳动保障监察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0"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23</w:t>
            </w:r>
          </w:p>
        </w:tc>
        <w:tc>
          <w:tcPr>
            <w:tcW w:w="1198" w:type="dxa"/>
            <w:vMerge w:val="continue"/>
            <w:tcBorders>
              <w:top w:val="nil"/>
              <w:left w:val="single" w:color="000000" w:sz="8" w:space="0"/>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kern w:val="0"/>
                <w:sz w:val="20"/>
                <w:szCs w:val="20"/>
                <w:u w:val="none"/>
                <w:lang w:val="en-US" w:eastAsia="zh-CN" w:bidi="ar"/>
              </w:rPr>
            </w:pPr>
          </w:p>
        </w:tc>
        <w:tc>
          <w:tcPr>
            <w:tcW w:w="1579" w:type="dxa"/>
            <w:vMerge w:val="continue"/>
            <w:tcBorders>
              <w:top w:val="nil"/>
              <w:left w:val="nil"/>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kern w:val="0"/>
                <w:sz w:val="20"/>
                <w:szCs w:val="20"/>
                <w:u w:val="none"/>
                <w:lang w:val="en-US" w:eastAsia="zh-CN" w:bidi="ar"/>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对用人单位不按照劳动保障行政部门的要求报送书面材料，隐瞒事实真相，出具伪证或隐匿、毁灭证据的检查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劳动保障监察条例》（国务院令第423号）第三十条：“有下列行为之一的，由劳动保障行政部门责令改正；对有第（一）项、第（二）项或者第（三）项规定的行为的，处2000元以上2万元以下的罚款：（二）不按照劳动保障行政部门的要求报送书面材料，隐瞒事实真相，出具伪证或者隐匿、毁灭证据的。”</w:t>
            </w:r>
            <w:r>
              <w:rPr>
                <w:rStyle w:val="4"/>
                <w:lang w:val="en-US" w:eastAsia="zh-CN" w:bidi="ar"/>
              </w:rPr>
              <w:t xml:space="preserve"> </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0"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24</w:t>
            </w:r>
          </w:p>
        </w:tc>
        <w:tc>
          <w:tcPr>
            <w:tcW w:w="1198" w:type="dxa"/>
            <w:vMerge w:val="restart"/>
            <w:tcBorders>
              <w:top w:val="nil"/>
              <w:left w:val="single" w:color="000000" w:sz="8" w:space="0"/>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vMerge w:val="restart"/>
            <w:tcBorders>
              <w:top w:val="nil"/>
              <w:left w:val="nil"/>
              <w:bottom w:val="nil"/>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妨碍行政执法</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对用人单位经劳动保障行政部门责令改正拒不改正，或拒不履行劳动保障行政部门的行政处理决定的检查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保障监察条例》（国务院令第423号）第三十条：“有下列行为之一的，由劳动保障行政部门责令改正；对有第（一）项、第（二）项或者第（三）项规定的行为的，处2000元以上2万元以下的罚款：（三）经劳动保障行政部门责令改正拒不改正，或者拒不履行劳动保障行政部门的行政处理决定的。”</w:t>
            </w:r>
            <w:r>
              <w:rPr>
                <w:rStyle w:val="4"/>
                <w:lang w:val="en-US" w:eastAsia="zh-CN" w:bidi="ar"/>
              </w:rPr>
              <w:t xml:space="preserve"> </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85"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25</w:t>
            </w:r>
          </w:p>
        </w:tc>
        <w:tc>
          <w:tcPr>
            <w:tcW w:w="1198" w:type="dxa"/>
            <w:vMerge w:val="continue"/>
            <w:tcBorders>
              <w:top w:val="nil"/>
              <w:left w:val="single" w:color="000000" w:sz="8" w:space="0"/>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对用人单位不按规定参加劳动执法年审的检查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劳动监察条例》（1998年11月27日云南省第九届人民代表大会常务委员会第六次会议通过）第二十九条：“用人单位有下列（一）（二）项行为之一的，责令改正，并可处以500元以上5000元以下的罚款；情节严重构成犯罪的，依法追究责任人的刑事责任：（二）不按规定参加劳动执法年审的。”</w:t>
            </w:r>
            <w:r>
              <w:rPr>
                <w:rStyle w:val="4"/>
                <w:lang w:val="en-US" w:eastAsia="zh-CN" w:bidi="ar"/>
              </w:rPr>
              <w:t xml:space="preserve"> </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797"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26</w:t>
            </w:r>
          </w:p>
        </w:tc>
        <w:tc>
          <w:tcPr>
            <w:tcW w:w="1198" w:type="dxa"/>
            <w:vMerge w:val="continue"/>
            <w:tcBorders>
              <w:top w:val="nil"/>
              <w:left w:val="single" w:color="000000" w:sz="8" w:space="0"/>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vMerge w:val="continue"/>
            <w:tcBorders>
              <w:top w:val="nil"/>
              <w:left w:val="nil"/>
              <w:bottom w:val="nil"/>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逾期不执行劳动监察询问通知书的检查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《云南省劳动监察条例》（1998年11月27日云南省第九届人民代表大会常务委员会第六次会议通过）第二十九条 用人单位有下列（一）（二）项行为之一的，责令改正，并可处以500元以上5000元以下的罚款；情节严重构成犯罪的，依法追究责任人的刑事责任：（一）逾期不执行劳动保障行政部门下达的劳动监察询问通知书和责令整改指令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20"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27</w:t>
            </w:r>
          </w:p>
        </w:tc>
        <w:tc>
          <w:tcPr>
            <w:tcW w:w="119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区人力资源和社会保障局（16类126项）</w:t>
            </w: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妨碍行政执法</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对用人单位打击报复举报人、控告人、证人和劳动监察人员的检查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省劳动监察条例》（1998年11月27日云南省第九届人民代表大会常务委员会第六次会议通过）第二十九条：“用人单位有下列（三）至（五）项行为之一的，并可处1000元以上10000元以下的罚款；情节严重构成犯罪的，依法追究责任人的刑事责任：（五）打击报复举报人、控告人、证人和劳动监察人员的。”</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35" w:hRule="atLeast"/>
        </w:trPr>
        <w:tc>
          <w:tcPr>
            <w:tcW w:w="557" w:type="dxa"/>
            <w:tcBorders>
              <w:top w:val="nil"/>
              <w:left w:val="single" w:color="000000" w:sz="8" w:space="0"/>
              <w:bottom w:val="single" w:color="000000" w:sz="8"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cs="宋体"/>
                <w:i w:val="0"/>
                <w:color w:val="000000"/>
                <w:kern w:val="0"/>
                <w:sz w:val="20"/>
                <w:szCs w:val="20"/>
                <w:u w:val="none"/>
                <w:lang w:val="en-US" w:eastAsia="zh-CN" w:bidi="ar"/>
              </w:rPr>
              <w:t>28</w:t>
            </w:r>
            <w:bookmarkStart w:id="0" w:name="_GoBack"/>
            <w:bookmarkEnd w:id="0"/>
          </w:p>
        </w:tc>
        <w:tc>
          <w:tcPr>
            <w:tcW w:w="1198" w:type="dxa"/>
            <w:tcBorders>
              <w:top w:val="nil"/>
              <w:left w:val="single" w:color="000000" w:sz="8" w:space="0"/>
              <w:bottom w:val="single" w:color="000000" w:sz="8" w:space="0"/>
              <w:right w:val="single" w:color="000000" w:sz="8" w:space="0"/>
            </w:tcBorders>
            <w:noWrap w:val="0"/>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79"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劳动保障</w:t>
            </w:r>
          </w:p>
        </w:tc>
        <w:tc>
          <w:tcPr>
            <w:tcW w:w="1542"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对用人单位遵守劳动保障法律、法规情况进行监督检查</w:t>
            </w:r>
          </w:p>
        </w:tc>
        <w:tc>
          <w:tcPr>
            <w:tcW w:w="486"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一般检查事项</w:t>
            </w:r>
          </w:p>
        </w:tc>
        <w:tc>
          <w:tcPr>
            <w:tcW w:w="102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用人单位</w:t>
            </w:r>
          </w:p>
        </w:tc>
        <w:tc>
          <w:tcPr>
            <w:tcW w:w="771"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实地检查、书面检查</w:t>
            </w:r>
          </w:p>
        </w:tc>
        <w:tc>
          <w:tcPr>
            <w:tcW w:w="770"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人力资源社会保障部门</w:t>
            </w:r>
          </w:p>
        </w:tc>
        <w:tc>
          <w:tcPr>
            <w:tcW w:w="4487"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《劳动法》第八十五条：“</w:t>
            </w:r>
            <w:r>
              <w:rPr>
                <w:rFonts w:hint="eastAsia" w:ascii="宋体" w:hAnsi="宋体" w:cs="宋体"/>
                <w:i w:val="0"/>
                <w:color w:val="000000"/>
                <w:kern w:val="0"/>
                <w:sz w:val="20"/>
                <w:szCs w:val="20"/>
                <w:u w:val="none"/>
                <w:lang w:val="en-US" w:eastAsia="zh-CN" w:bidi="ar"/>
              </w:rPr>
              <w:t>县级县级</w:t>
            </w:r>
            <w:r>
              <w:rPr>
                <w:rFonts w:hint="eastAsia" w:ascii="宋体" w:hAnsi="宋体" w:eastAsia="宋体" w:cs="宋体"/>
                <w:i w:val="0"/>
                <w:color w:val="000000"/>
                <w:kern w:val="0"/>
                <w:sz w:val="20"/>
                <w:szCs w:val="20"/>
                <w:u w:val="none"/>
                <w:lang w:val="en-US" w:eastAsia="zh-CN" w:bidi="ar"/>
              </w:rPr>
              <w:t>人民政府劳动行政部门依法对用人单位遵守劳动法律、法规的情况进行监督检查，对违反劳动法律、法规的行为有权制止，并责令改正。”</w:t>
            </w:r>
          </w:p>
        </w:tc>
        <w:tc>
          <w:tcPr>
            <w:tcW w:w="653"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西山区</w:t>
            </w:r>
          </w:p>
        </w:tc>
        <w:tc>
          <w:tcPr>
            <w:tcW w:w="918" w:type="dxa"/>
            <w:tcBorders>
              <w:top w:val="nil"/>
              <w:left w:val="nil"/>
              <w:bottom w:val="single" w:color="000000" w:sz="8" w:space="0"/>
              <w:right w:val="single" w:color="000000" w:sz="8"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县级监管</w:t>
            </w:r>
          </w:p>
        </w:tc>
      </w:tr>
    </w:tbl>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3000509000000000000"/>
    <w:charset w:val="86"/>
    <w:family w:val="auto"/>
    <w:pitch w:val="default"/>
    <w:sig w:usb0="00000000" w:usb1="00000000" w:usb2="00000000" w:usb3="00000000" w:csb0="00040000" w:csb1="00000000"/>
  </w:font>
  <w:font w:name="方正黑体_GBK">
    <w:altName w:val="微软雅黑"/>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5F6C17"/>
    <w:rsid w:val="0D1A2DA7"/>
    <w:rsid w:val="3DD46378"/>
    <w:rsid w:val="425A0DB4"/>
    <w:rsid w:val="43672237"/>
    <w:rsid w:val="4F6A4C04"/>
    <w:rsid w:val="6124507F"/>
    <w:rsid w:val="7F5F6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character" w:customStyle="1" w:styleId="4">
    <w:name w:val="font41"/>
    <w:basedOn w:val="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昆明市西山区党政机关单位</Company>
  <Pages>1</Pages>
  <Words>0</Words>
  <Characters>0</Characters>
  <Lines>0</Lines>
  <Paragraphs>0</Paragraphs>
  <TotalTime>2</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2021-09-01T02:27:00Z</dcterms:created>
  <dc:creator>jybz</dc:creator>
  <cp:lastModifiedBy>jybz</cp:lastModifiedBy>
  <dcterms:modified xsi:type="dcterms:W3CDTF">2022-03-16T06:34:05Z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