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tblLayout w:type="fixed"/>
        <w:tblCellMar>
          <w:top w:w="0" w:type="dxa"/>
          <w:left w:w="0" w:type="dxa"/>
          <w:bottom w:w="0" w:type="dxa"/>
          <w:right w:w="0" w:type="dxa"/>
        </w:tblCellMar>
      </w:tblPr>
      <w:tblGrid>
        <w:gridCol w:w="557"/>
        <w:gridCol w:w="1198"/>
        <w:gridCol w:w="1579"/>
        <w:gridCol w:w="1542"/>
        <w:gridCol w:w="486"/>
        <w:gridCol w:w="1027"/>
        <w:gridCol w:w="771"/>
        <w:gridCol w:w="770"/>
        <w:gridCol w:w="4487"/>
        <w:gridCol w:w="653"/>
        <w:gridCol w:w="918"/>
      </w:tblGrid>
      <w:tr>
        <w:tblPrEx>
          <w:tblLayout w:type="fixed"/>
          <w:tblCellMar>
            <w:top w:w="0" w:type="dxa"/>
            <w:left w:w="0" w:type="dxa"/>
            <w:bottom w:w="0" w:type="dxa"/>
            <w:right w:w="0" w:type="dxa"/>
          </w:tblCellMar>
        </w:tblPrEx>
        <w:trPr>
          <w:trHeight w:val="660" w:hRule="atLeast"/>
          <w:tblHeader/>
        </w:trPr>
        <w:tc>
          <w:tcPr>
            <w:tcW w:w="13988" w:type="dxa"/>
            <w:gridSpan w:val="11"/>
            <w:tcBorders>
              <w:top w:val="nil"/>
              <w:left w:val="nil"/>
              <w:bottom w:val="single" w:color="000000" w:sz="8" w:space="0"/>
              <w:right w:val="nil"/>
            </w:tcBorders>
            <w:tcMar>
              <w:top w:w="15" w:type="dxa"/>
              <w:left w:w="15" w:type="dxa"/>
              <w:right w:w="15" w:type="dxa"/>
            </w:tcMar>
            <w:vAlign w:val="center"/>
          </w:tcPr>
          <w:p>
            <w:pPr>
              <w:widowControl/>
              <w:jc w:val="center"/>
              <w:textAlignment w:val="center"/>
              <w:rPr>
                <w:rFonts w:ascii="方正小标宋_GBK" w:hAnsi="方正小标宋_GBK" w:eastAsia="方正小标宋_GBK" w:cs="方正小标宋_GBK"/>
                <w:color w:val="000000"/>
                <w:sz w:val="40"/>
                <w:szCs w:val="40"/>
              </w:rPr>
            </w:pPr>
            <w:r>
              <w:rPr>
                <w:rFonts w:hint="eastAsia" w:ascii="方正小标宋_GBK" w:hAnsi="方正小标宋_GBK" w:eastAsia="方正小标宋_GBK" w:cs="方正小标宋_GBK"/>
                <w:color w:val="000000"/>
                <w:kern w:val="0"/>
                <w:sz w:val="40"/>
                <w:szCs w:val="40"/>
                <w:lang w:bidi="ar"/>
              </w:rPr>
              <w:t>昆明市西山区人力资源和社会保障市场监管领域随机抽查事项清单（第二版）</w:t>
            </w:r>
          </w:p>
        </w:tc>
      </w:tr>
      <w:tr>
        <w:tblPrEx>
          <w:tblLayout w:type="fixed"/>
          <w:tblCellMar>
            <w:top w:w="0" w:type="dxa"/>
            <w:left w:w="0" w:type="dxa"/>
            <w:bottom w:w="0" w:type="dxa"/>
            <w:right w:w="0" w:type="dxa"/>
          </w:tblCellMar>
        </w:tblPrEx>
        <w:trPr>
          <w:trHeight w:val="354" w:hRule="atLeast"/>
          <w:tblHeader/>
        </w:trPr>
        <w:tc>
          <w:tcPr>
            <w:tcW w:w="557" w:type="dxa"/>
            <w:vMerge w:val="restart"/>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方正黑体_GBK" w:hAnsi="方正黑体_GBK" w:eastAsia="方正黑体_GBK" w:cs="方正黑体_GBK"/>
                <w:b/>
                <w:bCs/>
                <w:color w:val="000000"/>
                <w:sz w:val="22"/>
                <w:szCs w:val="22"/>
              </w:rPr>
            </w:pPr>
            <w:r>
              <w:rPr>
                <w:rFonts w:ascii="方正黑体_GBK" w:hAnsi="方正黑体_GBK" w:eastAsia="方正黑体_GBK" w:cs="方正黑体_GBK"/>
                <w:b/>
                <w:bCs/>
                <w:color w:val="000000"/>
                <w:kern w:val="0"/>
                <w:sz w:val="22"/>
                <w:szCs w:val="22"/>
                <w:lang w:bidi="ar"/>
              </w:rPr>
              <w:t>序号</w:t>
            </w:r>
          </w:p>
        </w:tc>
        <w:tc>
          <w:tcPr>
            <w:tcW w:w="1198"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方正黑体_GBK" w:hAnsi="方正黑体_GBK" w:eastAsia="方正黑体_GBK" w:cs="方正黑体_GBK"/>
                <w:b/>
                <w:bCs/>
                <w:color w:val="000000"/>
                <w:sz w:val="22"/>
                <w:szCs w:val="22"/>
              </w:rPr>
            </w:pPr>
            <w:r>
              <w:rPr>
                <w:rFonts w:ascii="方正黑体_GBK" w:hAnsi="方正黑体_GBK" w:eastAsia="方正黑体_GBK" w:cs="方正黑体_GBK"/>
                <w:b/>
                <w:bCs/>
                <w:color w:val="000000"/>
                <w:kern w:val="0"/>
                <w:sz w:val="22"/>
                <w:szCs w:val="22"/>
                <w:lang w:bidi="ar"/>
              </w:rPr>
              <w:t>部门</w:t>
            </w:r>
          </w:p>
        </w:tc>
        <w:tc>
          <w:tcPr>
            <w:tcW w:w="3121" w:type="dxa"/>
            <w:gridSpan w:val="2"/>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方正黑体_GBK" w:hAnsi="方正黑体_GBK" w:eastAsia="方正黑体_GBK" w:cs="方正黑体_GBK"/>
                <w:b/>
                <w:bCs/>
                <w:color w:val="000000"/>
                <w:sz w:val="22"/>
                <w:szCs w:val="22"/>
              </w:rPr>
            </w:pPr>
            <w:r>
              <w:rPr>
                <w:rFonts w:ascii="方正黑体_GBK" w:hAnsi="方正黑体_GBK" w:eastAsia="方正黑体_GBK" w:cs="方正黑体_GBK"/>
                <w:b/>
                <w:bCs/>
                <w:color w:val="000000"/>
                <w:kern w:val="0"/>
                <w:sz w:val="22"/>
                <w:szCs w:val="22"/>
                <w:lang w:bidi="ar"/>
              </w:rPr>
              <w:t>抽查项目</w:t>
            </w:r>
          </w:p>
        </w:tc>
        <w:tc>
          <w:tcPr>
            <w:tcW w:w="486"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方正黑体_GBK" w:hAnsi="方正黑体_GBK" w:eastAsia="方正黑体_GBK" w:cs="方正黑体_GBK"/>
                <w:b/>
                <w:bCs/>
                <w:color w:val="000000"/>
                <w:sz w:val="22"/>
                <w:szCs w:val="22"/>
              </w:rPr>
            </w:pPr>
            <w:r>
              <w:rPr>
                <w:rFonts w:ascii="方正黑体_GBK" w:hAnsi="方正黑体_GBK" w:eastAsia="方正黑体_GBK" w:cs="方正黑体_GBK"/>
                <w:b/>
                <w:bCs/>
                <w:color w:val="000000"/>
                <w:kern w:val="0"/>
                <w:sz w:val="22"/>
                <w:szCs w:val="22"/>
                <w:lang w:bidi="ar"/>
              </w:rPr>
              <w:t>事项类别</w:t>
            </w:r>
          </w:p>
        </w:tc>
        <w:tc>
          <w:tcPr>
            <w:tcW w:w="1027"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方正黑体_GBK" w:hAnsi="方正黑体_GBK" w:eastAsia="方正黑体_GBK" w:cs="方正黑体_GBK"/>
                <w:b/>
                <w:bCs/>
                <w:color w:val="000000"/>
                <w:sz w:val="22"/>
                <w:szCs w:val="22"/>
              </w:rPr>
            </w:pPr>
            <w:r>
              <w:rPr>
                <w:rFonts w:ascii="方正黑体_GBK" w:hAnsi="方正黑体_GBK" w:eastAsia="方正黑体_GBK" w:cs="方正黑体_GBK"/>
                <w:b/>
                <w:bCs/>
                <w:color w:val="000000"/>
                <w:kern w:val="0"/>
                <w:sz w:val="22"/>
                <w:szCs w:val="22"/>
                <w:lang w:bidi="ar"/>
              </w:rPr>
              <w:t>检查对象</w:t>
            </w:r>
          </w:p>
        </w:tc>
        <w:tc>
          <w:tcPr>
            <w:tcW w:w="771"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方正黑体_GBK" w:hAnsi="方正黑体_GBK" w:eastAsia="方正黑体_GBK" w:cs="方正黑体_GBK"/>
                <w:b/>
                <w:bCs/>
                <w:color w:val="000000"/>
                <w:sz w:val="22"/>
                <w:szCs w:val="22"/>
              </w:rPr>
            </w:pPr>
            <w:r>
              <w:rPr>
                <w:rFonts w:ascii="方正黑体_GBK" w:hAnsi="方正黑体_GBK" w:eastAsia="方正黑体_GBK" w:cs="方正黑体_GBK"/>
                <w:b/>
                <w:bCs/>
                <w:color w:val="000000"/>
                <w:kern w:val="0"/>
                <w:sz w:val="22"/>
                <w:szCs w:val="22"/>
                <w:lang w:bidi="ar"/>
              </w:rPr>
              <w:t>检查方式</w:t>
            </w:r>
          </w:p>
        </w:tc>
        <w:tc>
          <w:tcPr>
            <w:tcW w:w="770"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方正黑体_GBK" w:hAnsi="方正黑体_GBK" w:eastAsia="方正黑体_GBK" w:cs="方正黑体_GBK"/>
                <w:b/>
                <w:bCs/>
                <w:color w:val="000000"/>
                <w:sz w:val="22"/>
                <w:szCs w:val="22"/>
              </w:rPr>
            </w:pPr>
            <w:r>
              <w:rPr>
                <w:rFonts w:ascii="方正黑体_GBK" w:hAnsi="方正黑体_GBK" w:eastAsia="方正黑体_GBK" w:cs="方正黑体_GBK"/>
                <w:b/>
                <w:bCs/>
                <w:color w:val="000000"/>
                <w:kern w:val="0"/>
                <w:sz w:val="22"/>
                <w:szCs w:val="22"/>
                <w:lang w:bidi="ar"/>
              </w:rPr>
              <w:t>检查主体</w:t>
            </w:r>
          </w:p>
        </w:tc>
        <w:tc>
          <w:tcPr>
            <w:tcW w:w="4487"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方正黑体_GBK" w:hAnsi="方正黑体_GBK" w:eastAsia="方正黑体_GBK" w:cs="方正黑体_GBK"/>
                <w:b/>
                <w:bCs/>
                <w:color w:val="000000"/>
                <w:sz w:val="22"/>
                <w:szCs w:val="22"/>
              </w:rPr>
            </w:pPr>
            <w:r>
              <w:rPr>
                <w:rFonts w:ascii="方正黑体_GBK" w:hAnsi="方正黑体_GBK" w:eastAsia="方正黑体_GBK" w:cs="方正黑体_GBK"/>
                <w:b/>
                <w:bCs/>
                <w:color w:val="000000"/>
                <w:kern w:val="0"/>
                <w:sz w:val="22"/>
                <w:szCs w:val="22"/>
                <w:lang w:bidi="ar"/>
              </w:rPr>
              <w:t>检查依据</w:t>
            </w:r>
          </w:p>
        </w:tc>
        <w:tc>
          <w:tcPr>
            <w:tcW w:w="653"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方正黑体_GBK" w:hAnsi="方正黑体_GBK" w:eastAsia="方正黑体_GBK" w:cs="方正黑体_GBK"/>
                <w:b/>
                <w:bCs/>
                <w:color w:val="000000"/>
                <w:sz w:val="22"/>
                <w:szCs w:val="22"/>
              </w:rPr>
            </w:pPr>
            <w:r>
              <w:rPr>
                <w:rFonts w:ascii="方正黑体_GBK" w:hAnsi="方正黑体_GBK" w:eastAsia="方正黑体_GBK" w:cs="方正黑体_GBK"/>
                <w:b/>
                <w:bCs/>
                <w:color w:val="000000"/>
                <w:kern w:val="0"/>
                <w:sz w:val="22"/>
                <w:szCs w:val="22"/>
                <w:lang w:bidi="ar"/>
              </w:rPr>
              <w:t>适用区域</w:t>
            </w:r>
          </w:p>
        </w:tc>
        <w:tc>
          <w:tcPr>
            <w:tcW w:w="918" w:type="dxa"/>
            <w:vMerge w:val="restart"/>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方正黑体_GBK" w:hAnsi="方正黑体_GBK" w:eastAsia="方正黑体_GBK" w:cs="方正黑体_GBK"/>
                <w:b/>
                <w:bCs/>
                <w:color w:val="000000"/>
                <w:sz w:val="22"/>
                <w:szCs w:val="22"/>
              </w:rPr>
            </w:pPr>
            <w:r>
              <w:rPr>
                <w:rFonts w:ascii="方正黑体_GBK" w:hAnsi="方正黑体_GBK" w:eastAsia="方正黑体_GBK" w:cs="方正黑体_GBK"/>
                <w:b/>
                <w:bCs/>
                <w:color w:val="000000"/>
                <w:kern w:val="0"/>
                <w:sz w:val="22"/>
                <w:szCs w:val="22"/>
                <w:lang w:bidi="ar"/>
              </w:rPr>
              <w:t>备注</w:t>
            </w:r>
          </w:p>
        </w:tc>
      </w:tr>
      <w:tr>
        <w:tblPrEx>
          <w:tblLayout w:type="fixed"/>
          <w:tblCellMar>
            <w:top w:w="0" w:type="dxa"/>
            <w:left w:w="0" w:type="dxa"/>
            <w:bottom w:w="0" w:type="dxa"/>
            <w:right w:w="0" w:type="dxa"/>
          </w:tblCellMar>
        </w:tblPrEx>
        <w:trPr>
          <w:trHeight w:val="405" w:hRule="atLeast"/>
          <w:tblHeader/>
        </w:trPr>
        <w:tc>
          <w:tcPr>
            <w:tcW w:w="557" w:type="dxa"/>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center"/>
              <w:rPr>
                <w:rFonts w:ascii="方正黑体_GBK" w:hAnsi="方正黑体_GBK" w:eastAsia="方正黑体_GBK" w:cs="方正黑体_GBK"/>
                <w:color w:val="000000"/>
                <w:sz w:val="22"/>
                <w:szCs w:val="22"/>
              </w:rPr>
            </w:pPr>
          </w:p>
        </w:tc>
        <w:tc>
          <w:tcPr>
            <w:tcW w:w="1198"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jc w:val="center"/>
              <w:rPr>
                <w:rFonts w:ascii="方正黑体_GBK" w:hAnsi="方正黑体_GBK" w:eastAsia="方正黑体_GBK" w:cs="方正黑体_GBK"/>
                <w:color w:val="000000"/>
                <w:sz w:val="22"/>
                <w:szCs w:val="22"/>
              </w:rPr>
            </w:pPr>
          </w:p>
        </w:tc>
        <w:tc>
          <w:tcPr>
            <w:tcW w:w="1579" w:type="dxa"/>
            <w:tcBorders>
              <w:top w:val="nil"/>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方正黑体_GBK" w:hAnsi="方正黑体_GBK" w:eastAsia="方正黑体_GBK" w:cs="方正黑体_GBK"/>
                <w:b/>
                <w:bCs/>
                <w:color w:val="000000"/>
                <w:sz w:val="22"/>
                <w:szCs w:val="22"/>
              </w:rPr>
            </w:pPr>
            <w:r>
              <w:rPr>
                <w:rFonts w:ascii="方正黑体_GBK" w:hAnsi="方正黑体_GBK" w:eastAsia="方正黑体_GBK" w:cs="方正黑体_GBK"/>
                <w:b/>
                <w:bCs/>
                <w:color w:val="000000"/>
                <w:kern w:val="0"/>
                <w:sz w:val="22"/>
                <w:szCs w:val="22"/>
                <w:lang w:bidi="ar"/>
              </w:rPr>
              <w:t>抽查类别</w:t>
            </w:r>
          </w:p>
        </w:tc>
        <w:tc>
          <w:tcPr>
            <w:tcW w:w="1542" w:type="dxa"/>
            <w:tcBorders>
              <w:top w:val="nil"/>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方正黑体_GBK" w:hAnsi="方正黑体_GBK" w:eastAsia="方正黑体_GBK" w:cs="方正黑体_GBK"/>
                <w:b/>
                <w:bCs/>
                <w:color w:val="000000"/>
                <w:sz w:val="22"/>
                <w:szCs w:val="22"/>
              </w:rPr>
            </w:pPr>
            <w:r>
              <w:rPr>
                <w:rFonts w:ascii="方正黑体_GBK" w:hAnsi="方正黑体_GBK" w:eastAsia="方正黑体_GBK" w:cs="方正黑体_GBK"/>
                <w:b/>
                <w:bCs/>
                <w:color w:val="000000"/>
                <w:kern w:val="0"/>
                <w:sz w:val="22"/>
                <w:szCs w:val="22"/>
                <w:lang w:bidi="ar"/>
              </w:rPr>
              <w:t>抽查事项</w:t>
            </w:r>
          </w:p>
        </w:tc>
        <w:tc>
          <w:tcPr>
            <w:tcW w:w="486"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jc w:val="center"/>
              <w:rPr>
                <w:rFonts w:ascii="方正黑体_GBK" w:hAnsi="方正黑体_GBK" w:eastAsia="方正黑体_GBK" w:cs="方正黑体_GBK"/>
                <w:color w:val="000000"/>
                <w:sz w:val="22"/>
                <w:szCs w:val="22"/>
              </w:rPr>
            </w:pPr>
          </w:p>
        </w:tc>
        <w:tc>
          <w:tcPr>
            <w:tcW w:w="1027"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jc w:val="center"/>
              <w:rPr>
                <w:rFonts w:ascii="方正黑体_GBK" w:hAnsi="方正黑体_GBK" w:eastAsia="方正黑体_GBK" w:cs="方正黑体_GBK"/>
                <w:color w:val="000000"/>
                <w:sz w:val="22"/>
                <w:szCs w:val="22"/>
              </w:rPr>
            </w:pPr>
          </w:p>
        </w:tc>
        <w:tc>
          <w:tcPr>
            <w:tcW w:w="771"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jc w:val="center"/>
              <w:rPr>
                <w:rFonts w:ascii="方正黑体_GBK" w:hAnsi="方正黑体_GBK" w:eastAsia="方正黑体_GBK" w:cs="方正黑体_GBK"/>
                <w:color w:val="000000"/>
                <w:sz w:val="22"/>
                <w:szCs w:val="22"/>
              </w:rPr>
            </w:pPr>
          </w:p>
        </w:tc>
        <w:tc>
          <w:tcPr>
            <w:tcW w:w="770"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jc w:val="center"/>
              <w:rPr>
                <w:rFonts w:ascii="方正黑体_GBK" w:hAnsi="方正黑体_GBK" w:eastAsia="方正黑体_GBK" w:cs="方正黑体_GBK"/>
                <w:color w:val="000000"/>
                <w:sz w:val="22"/>
                <w:szCs w:val="22"/>
              </w:rPr>
            </w:pPr>
          </w:p>
        </w:tc>
        <w:tc>
          <w:tcPr>
            <w:tcW w:w="4487"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jc w:val="center"/>
              <w:rPr>
                <w:rFonts w:ascii="方正黑体_GBK" w:hAnsi="方正黑体_GBK" w:eastAsia="方正黑体_GBK" w:cs="方正黑体_GBK"/>
                <w:color w:val="000000"/>
                <w:sz w:val="22"/>
                <w:szCs w:val="22"/>
              </w:rPr>
            </w:pPr>
          </w:p>
        </w:tc>
        <w:tc>
          <w:tcPr>
            <w:tcW w:w="653"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jc w:val="center"/>
              <w:rPr>
                <w:rFonts w:ascii="方正黑体_GBK" w:hAnsi="方正黑体_GBK" w:eastAsia="方正黑体_GBK" w:cs="方正黑体_GBK"/>
                <w:color w:val="000000"/>
                <w:sz w:val="22"/>
                <w:szCs w:val="22"/>
              </w:rPr>
            </w:pPr>
          </w:p>
        </w:tc>
        <w:tc>
          <w:tcPr>
            <w:tcW w:w="918" w:type="dxa"/>
            <w:vMerge w:val="continue"/>
            <w:tcBorders>
              <w:top w:val="single" w:color="000000" w:sz="8" w:space="0"/>
              <w:left w:val="nil"/>
              <w:bottom w:val="single" w:color="000000" w:sz="8" w:space="0"/>
              <w:right w:val="single" w:color="000000" w:sz="8" w:space="0"/>
            </w:tcBorders>
            <w:tcMar>
              <w:top w:w="15" w:type="dxa"/>
              <w:left w:w="15" w:type="dxa"/>
              <w:right w:w="15" w:type="dxa"/>
            </w:tcMar>
            <w:vAlign w:val="center"/>
          </w:tcPr>
          <w:p>
            <w:pPr>
              <w:jc w:val="center"/>
              <w:rPr>
                <w:rFonts w:ascii="方正黑体_GBK" w:hAnsi="方正黑体_GBK" w:eastAsia="方正黑体_GBK" w:cs="方正黑体_GBK"/>
                <w:color w:val="000000"/>
                <w:sz w:val="22"/>
                <w:szCs w:val="22"/>
              </w:rPr>
            </w:pPr>
          </w:p>
        </w:tc>
      </w:tr>
      <w:tr>
        <w:tblPrEx>
          <w:tblLayout w:type="fixed"/>
          <w:tblCellMar>
            <w:top w:w="0" w:type="dxa"/>
            <w:left w:w="0" w:type="dxa"/>
            <w:bottom w:w="0" w:type="dxa"/>
            <w:right w:w="0" w:type="dxa"/>
          </w:tblCellMar>
        </w:tblPrEx>
        <w:trPr>
          <w:trHeight w:val="2275" w:hRule="atLeast"/>
        </w:trPr>
        <w:tc>
          <w:tcPr>
            <w:tcW w:w="557" w:type="dxa"/>
            <w:tcBorders>
              <w:top w:val="nil"/>
              <w:left w:val="single" w:color="000000" w:sz="8" w:space="0"/>
              <w:bottom w:val="single" w:color="000000" w:sz="8" w:space="0"/>
              <w:right w:val="nil"/>
            </w:tcBorders>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val="en-US" w:eastAsia="zh-CN" w:bidi="ar"/>
              </w:rPr>
              <w:t>1</w:t>
            </w:r>
          </w:p>
        </w:tc>
        <w:tc>
          <w:tcPr>
            <w:tcW w:w="1198" w:type="dxa"/>
            <w:vMerge w:val="continue"/>
            <w:tcBorders>
              <w:top w:val="nil"/>
              <w:left w:val="single" w:color="000000" w:sz="8" w:space="0"/>
              <w:bottom w:val="single" w:color="000000" w:sz="8" w:space="0"/>
              <w:right w:val="single" w:color="000000" w:sz="8" w:space="0"/>
            </w:tcBorders>
            <w:tcMar>
              <w:top w:w="15" w:type="dxa"/>
              <w:left w:w="15" w:type="dxa"/>
              <w:right w:w="15" w:type="dxa"/>
            </w:tcMar>
            <w:vAlign w:val="center"/>
          </w:tcPr>
          <w:p>
            <w:pPr>
              <w:jc w:val="left"/>
              <w:rPr>
                <w:rFonts w:ascii="宋体" w:hAnsi="宋体" w:cs="宋体"/>
                <w:color w:val="000000"/>
                <w:sz w:val="20"/>
                <w:szCs w:val="20"/>
              </w:rPr>
            </w:pPr>
          </w:p>
        </w:tc>
        <w:tc>
          <w:tcPr>
            <w:tcW w:w="1579" w:type="dxa"/>
            <w:tcBorders>
              <w:top w:val="nil"/>
              <w:left w:val="nil"/>
              <w:bottom w:val="single" w:color="000000" w:sz="8" w:space="0"/>
              <w:right w:val="single" w:color="000000" w:sz="8" w:space="0"/>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职业年金</w:t>
            </w:r>
          </w:p>
        </w:tc>
        <w:tc>
          <w:tcPr>
            <w:tcW w:w="1542" w:type="dxa"/>
            <w:tcBorders>
              <w:top w:val="nil"/>
              <w:left w:val="nil"/>
              <w:bottom w:val="single" w:color="000000" w:sz="8" w:space="0"/>
              <w:right w:val="single" w:color="000000" w:sz="8" w:space="0"/>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对违反《企业年金办法》规定的检查</w:t>
            </w:r>
          </w:p>
        </w:tc>
        <w:tc>
          <w:tcPr>
            <w:tcW w:w="486" w:type="dxa"/>
            <w:tcBorders>
              <w:top w:val="nil"/>
              <w:left w:val="nil"/>
              <w:bottom w:val="single" w:color="000000" w:sz="8" w:space="0"/>
              <w:right w:val="single" w:color="000000" w:sz="8" w:space="0"/>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一般检查事项</w:t>
            </w:r>
          </w:p>
        </w:tc>
        <w:tc>
          <w:tcPr>
            <w:tcW w:w="1027" w:type="dxa"/>
            <w:tcBorders>
              <w:top w:val="nil"/>
              <w:left w:val="nil"/>
              <w:bottom w:val="single" w:color="000000" w:sz="8" w:space="0"/>
              <w:right w:val="single" w:color="000000" w:sz="8" w:space="0"/>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用人单位</w:t>
            </w:r>
          </w:p>
        </w:tc>
        <w:tc>
          <w:tcPr>
            <w:tcW w:w="771" w:type="dxa"/>
            <w:tcBorders>
              <w:top w:val="nil"/>
              <w:left w:val="nil"/>
              <w:bottom w:val="single" w:color="000000" w:sz="8" w:space="0"/>
              <w:right w:val="single" w:color="000000" w:sz="8" w:space="0"/>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实地检查、书面检查</w:t>
            </w:r>
          </w:p>
        </w:tc>
        <w:tc>
          <w:tcPr>
            <w:tcW w:w="770" w:type="dxa"/>
            <w:tcBorders>
              <w:top w:val="nil"/>
              <w:left w:val="nil"/>
              <w:bottom w:val="single" w:color="000000" w:sz="8" w:space="0"/>
              <w:right w:val="single" w:color="000000" w:sz="8" w:space="0"/>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人力资源社会保障部门</w:t>
            </w:r>
          </w:p>
        </w:tc>
        <w:tc>
          <w:tcPr>
            <w:tcW w:w="4487" w:type="dxa"/>
            <w:tcBorders>
              <w:top w:val="nil"/>
              <w:left w:val="nil"/>
              <w:bottom w:val="single" w:color="000000" w:sz="8" w:space="0"/>
              <w:right w:val="single" w:color="000000" w:sz="8" w:space="0"/>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《企业年金办法》（已经2016年12月20日人社部第114次部务会审议通过，财政部审议通过，并于2017年12月18日公布。自2018年2月1日起施行中华人民共和国人力资源和社会保障部 中华人民共和国财政部令第36号）第二十九条 县级人民政府人力资源社会保障行政部门负责对本办法的执行情况进行监督检查。对违反本办法的，由人力资源社会保障行政部门予以警告，责令改正。</w:t>
            </w:r>
          </w:p>
        </w:tc>
        <w:tc>
          <w:tcPr>
            <w:tcW w:w="653" w:type="dxa"/>
            <w:tcBorders>
              <w:top w:val="nil"/>
              <w:left w:val="nil"/>
              <w:bottom w:val="single" w:color="000000" w:sz="8" w:space="0"/>
              <w:right w:val="single" w:color="000000" w:sz="8" w:space="0"/>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西山区</w:t>
            </w:r>
          </w:p>
        </w:tc>
        <w:tc>
          <w:tcPr>
            <w:tcW w:w="918" w:type="dxa"/>
            <w:tcBorders>
              <w:top w:val="nil"/>
              <w:left w:val="nil"/>
              <w:bottom w:val="single" w:color="000000" w:sz="8" w:space="0"/>
              <w:right w:val="single" w:color="000000" w:sz="8" w:space="0"/>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县级监管</w:t>
            </w:r>
          </w:p>
        </w:tc>
      </w:tr>
    </w:tbl>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5F6C17"/>
    <w:rsid w:val="000D5CB4"/>
    <w:rsid w:val="009C469F"/>
    <w:rsid w:val="009D2457"/>
    <w:rsid w:val="0D1A2DA7"/>
    <w:rsid w:val="18ED07BC"/>
    <w:rsid w:val="320F009C"/>
    <w:rsid w:val="425A0DB4"/>
    <w:rsid w:val="6124507F"/>
    <w:rsid w:val="781B2EF5"/>
    <w:rsid w:val="7F5F6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Layout w:type="fixed"/>
      <w:tblCellMar>
        <w:top w:w="0" w:type="dxa"/>
        <w:left w:w="108" w:type="dxa"/>
        <w:bottom w:w="0" w:type="dxa"/>
        <w:right w:w="108" w:type="dxa"/>
      </w:tblCellMar>
    </w:tblPr>
  </w:style>
  <w:style w:type="character" w:customStyle="1" w:styleId="4">
    <w:name w:val="font41"/>
    <w:basedOn w:val="3"/>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昆明市西山区党政机关单位</Company>
  <Pages>1</Pages>
  <Words>90</Words>
  <Characters>515</Characters>
  <Lines>4</Lines>
  <Paragraphs>1</Paragraphs>
  <TotalTime>29</TotalTime>
  <ScaleCrop>false</ScaleCrop>
  <LinksUpToDate>false</LinksUpToDate>
  <CharactersWithSpaces>604</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2021-09-01T02:27:00Z</dcterms:created>
  <dc:creator>jybz</dc:creator>
  <cp:lastModifiedBy>jybz</cp:lastModifiedBy>
  <dcterms:modified xsi:type="dcterms:W3CDTF">2022-03-31T06:25:44Z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