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</w:rPr>
        <w:t>3月30日，昆明市应对新型冠状病毒感染肺炎疫情工作领导小组指挥部发布</w:t>
      </w:r>
      <w:r>
        <w:rPr>
          <w:rStyle w:val="6"/>
          <w:rFonts w:hint="eastAsia" w:ascii="仿宋_GB2312" w:hAnsi="仿宋_GB2312" w:eastAsia="仿宋_GB2312" w:cs="仿宋_GB2312"/>
          <w:color w:val="007AAA"/>
          <w:spacing w:val="8"/>
          <w:sz w:val="32"/>
          <w:szCs w:val="32"/>
        </w:rPr>
        <w:t>“关于加强重点涉疫地区来（返）昆人员排查管理工作的通告”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</w:rPr>
        <w:t>。详情如下↓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222222"/>
          <w:spacing w:val="8"/>
          <w:sz w:val="26"/>
          <w:szCs w:val="26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关于加强重点涉疫地区来（返）昆人员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排查管理工作的通告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</w:pPr>
      <w:r>
        <w:t>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当前，国内疫情呈点多、面广、频发态势，部分地区疫情仍在发展，外溢风险较高，尤其近日我市已发现多起外地来（返）昆人员确诊感染新冠肺炎。为切实做好“外防输入”有关工作，现通告如下：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一、所有来（返）昆人员均应注册“云南健康码”。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二、所有来（返）昆人员抵昆时须持48小时内核酸检测阴性证明，入昆后24小时内再完成1次核酸检测。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“通信大数据行程卡”带有“*”标记的入（返）昆人员，一律赋“黄码”，实施7天居家健康监测，期间进行2次核酸检测（第1、7天），居家健康监测期结束且2次核酸检测均为阴性的自动转为“绿码”。无居家健康监测条件的，由属地社区采取有效管控和防范措施，降低省外输入病例引发本地传播扩散风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来自上海、吉林等重点涉疫地区的人员，一律赋“黄码”并集中隔离观察7天+居家健康监测7天，期间进行5次核酸检测（第1、4、7、10、14天）。无居家健康监测条件的，由属地社区采取有效管控和防范措施，降低省外输入病例引发本地传播扩散风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14天内有上海、吉林等重点涉疫地区及中、高风险地区旅居史的人员，应主动向所在社区报备，按照本通告第三、第四条要求“实施7天居家健康监测”或“集中隔离观察7天+居家健康监测7天”，并进行相应核酸检测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机场、火车站、客运站、宾馆、酒店、商场、超市、农贸市场、餐馆、网吧、KTV、酒吧等公共场所，以及出租车、网约车、公交车、地铁等公共交通工具，要加强查验“云南健康码”和“通信大数据行程卡”，一旦发现“红码”、“黄码”或“通信大数据行程卡”带有“*”标记的，应立即向当地疫情防控指挥部报告或拨打110报警电话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七、全力支持全国各重点涉疫地区防控工作，我市人员非必要不赴中高风险地区。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八、以上通告内容，即日起实施，后续我们将根据各地疫情防控态势进行动态调整。如遇特殊情况，可及时向所在社区反映，经社区审核后报属地疾控中心处置。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24小时咨询电话：0871—12345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附件：昆明市各县（市）区、开发（度假）区疫情防控指挥部咨询电话</w:t>
      </w:r>
    </w:p>
    <w:p>
      <w:pPr>
        <w:pStyle w:val="3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昆明市应对新型冠状病毒感染肺炎疫情</w:t>
      </w:r>
    </w:p>
    <w:p>
      <w:pPr>
        <w:pStyle w:val="3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工作领导小组指挥部</w:t>
      </w:r>
    </w:p>
    <w:p>
      <w:pPr>
        <w:pStyle w:val="3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2022年3月30日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222222"/>
          <w:spacing w:val="8"/>
          <w:sz w:val="26"/>
          <w:szCs w:val="26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222222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222222"/>
          <w:spacing w:val="8"/>
          <w:sz w:val="26"/>
          <w:szCs w:val="26"/>
        </w:rPr>
        <w:drawing>
          <wp:inline distT="0" distB="0" distL="0" distR="0">
            <wp:extent cx="5782945" cy="5741035"/>
            <wp:effectExtent l="0" t="0" r="8255" b="12065"/>
            <wp:docPr id="1" name="图片 1" descr="图片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574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92F"/>
    <w:rsid w:val="006E6909"/>
    <w:rsid w:val="0077192F"/>
    <w:rsid w:val="6ED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149</Words>
  <Characters>850</Characters>
  <Lines>7</Lines>
  <Paragraphs>1</Paragraphs>
  <TotalTime>13</TotalTime>
  <ScaleCrop>false</ScaleCrop>
  <LinksUpToDate>false</LinksUpToDate>
  <CharactersWithSpaces>998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2022-03-30T09:20:00Z</dcterms:created>
  <dc:creator>杜卫霄</dc:creator>
  <cp:lastModifiedBy>user</cp:lastModifiedBy>
  <dcterms:modified xsi:type="dcterms:W3CDTF">2022-03-30T09:34:50Z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