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spacing w:line="720" w:lineRule="auto"/>
        <w:ind w:right="-2"/>
        <w:jc w:val="center"/>
        <w:rPr>
          <w:rFonts w:ascii="黑体" w:hAnsi="黑体" w:eastAsia="黑体"/>
          <w:b/>
          <w:bCs/>
          <w:snapToGrid/>
          <w:kern w:val="2"/>
          <w:sz w:val="48"/>
          <w:szCs w:val="48"/>
        </w:rPr>
      </w:pPr>
      <w:r>
        <w:rPr>
          <w:rFonts w:hint="eastAsia" w:ascii="黑体" w:hAnsi="黑体" w:eastAsia="黑体"/>
          <w:b/>
          <w:bCs/>
          <w:snapToGrid/>
          <w:kern w:val="2"/>
          <w:sz w:val="48"/>
          <w:szCs w:val="48"/>
        </w:rPr>
        <w:t>政务服务中心数据平台建设</w:t>
      </w:r>
    </w:p>
    <w:p/>
    <w:p/>
    <w:p/>
    <w:p/>
    <w:p/>
    <w:p/>
    <w:p/>
    <w:p/>
    <w:p/>
    <w:p/>
    <w:p>
      <w:pPr>
        <w:widowControl/>
        <w:spacing w:line="720" w:lineRule="auto"/>
        <w:jc w:val="center"/>
        <w:rPr>
          <w:rFonts w:ascii="Times New Roman" w:hAnsi="Times New Roman" w:eastAsia="黑体"/>
          <w:b/>
          <w:snapToGrid/>
          <w:kern w:val="0"/>
          <w:sz w:val="72"/>
          <w:szCs w:val="72"/>
        </w:rPr>
      </w:pPr>
      <w:r>
        <w:rPr>
          <w:rFonts w:hint="eastAsia" w:ascii="Times New Roman" w:hAnsi="Times New Roman" w:eastAsia="黑体"/>
          <w:b/>
          <w:snapToGrid/>
          <w:kern w:val="0"/>
          <w:sz w:val="72"/>
          <w:szCs w:val="72"/>
        </w:rPr>
        <w:t>竞争性</w:t>
      </w:r>
      <w:r>
        <w:rPr>
          <w:rFonts w:ascii="Times New Roman" w:hAnsi="Times New Roman" w:eastAsia="黑体"/>
          <w:b/>
          <w:snapToGrid/>
          <w:kern w:val="0"/>
          <w:sz w:val="72"/>
          <w:szCs w:val="72"/>
        </w:rPr>
        <w:t>磋商</w:t>
      </w:r>
      <w:r>
        <w:rPr>
          <w:rFonts w:hint="eastAsia" w:ascii="Times New Roman" w:hAnsi="Times New Roman" w:eastAsia="黑体"/>
          <w:b/>
          <w:snapToGrid/>
          <w:kern w:val="0"/>
          <w:sz w:val="72"/>
          <w:szCs w:val="72"/>
        </w:rPr>
        <w:t>文件</w:t>
      </w:r>
    </w:p>
    <w:p>
      <w:pPr>
        <w:widowControl/>
        <w:spacing w:line="720" w:lineRule="auto"/>
        <w:jc w:val="center"/>
        <w:rPr>
          <w:rFonts w:ascii="Times New Roman" w:hAnsi="Times New Roman" w:eastAsia="黑体"/>
          <w:b/>
          <w:snapToGrid/>
          <w:kern w:val="0"/>
          <w:sz w:val="28"/>
          <w:szCs w:val="28"/>
        </w:rPr>
      </w:pPr>
      <w:r>
        <w:rPr>
          <w:rFonts w:hint="eastAsia" w:ascii="Times New Roman" w:hAnsi="Times New Roman" w:eastAsia="黑体"/>
          <w:b/>
          <w:snapToGrid/>
          <w:kern w:val="0"/>
          <w:sz w:val="28"/>
          <w:szCs w:val="28"/>
        </w:rPr>
        <w:t>项目编号：</w:t>
      </w:r>
      <w:bookmarkStart w:id="0" w:name="_Hlk73187303"/>
      <w:r>
        <w:rPr>
          <w:rFonts w:ascii="Times New Roman" w:hAnsi="Times New Roman" w:eastAsia="黑体"/>
          <w:b/>
          <w:snapToGrid/>
          <w:kern w:val="0"/>
          <w:sz w:val="28"/>
          <w:szCs w:val="28"/>
        </w:rPr>
        <w:t>KCFW-2021-3890</w:t>
      </w:r>
      <w:bookmarkEnd w:id="0"/>
    </w:p>
    <w:p>
      <w:pPr>
        <w:spacing w:line="760" w:lineRule="exact"/>
        <w:jc w:val="center"/>
        <w:rPr>
          <w:rFonts w:hAnsi="宋体"/>
          <w:bCs/>
          <w:szCs w:val="21"/>
        </w:rPr>
      </w:pPr>
    </w:p>
    <w:p>
      <w:pPr>
        <w:spacing w:line="760" w:lineRule="exact"/>
        <w:jc w:val="center"/>
        <w:rPr>
          <w:b/>
          <w:sz w:val="32"/>
          <w:szCs w:val="32"/>
        </w:rPr>
      </w:pPr>
    </w:p>
    <w:p/>
    <w:p/>
    <w:p/>
    <w:p/>
    <w:p/>
    <w:p/>
    <w:p/>
    <w:p/>
    <w:p/>
    <w:p/>
    <w:p>
      <w:pPr>
        <w:widowControl/>
        <w:spacing w:line="480" w:lineRule="auto"/>
        <w:ind w:firstLine="426"/>
        <w:jc w:val="left"/>
        <w:rPr>
          <w:rFonts w:ascii="Times New Roman" w:hAnsi="Times New Roman" w:eastAsia="黑体"/>
          <w:snapToGrid/>
          <w:kern w:val="0"/>
          <w:sz w:val="30"/>
          <w:szCs w:val="30"/>
        </w:rPr>
      </w:pPr>
      <w:r>
        <w:rPr>
          <w:rFonts w:hint="eastAsia" w:ascii="Times New Roman" w:hAnsi="Times New Roman" w:eastAsia="黑体"/>
          <w:snapToGrid/>
          <w:kern w:val="0"/>
          <w:sz w:val="30"/>
          <w:szCs w:val="30"/>
        </w:rPr>
        <w:t>采购人：昆明市西山区政务服务管理局</w:t>
      </w:r>
    </w:p>
    <w:p>
      <w:pPr>
        <w:widowControl/>
        <w:spacing w:line="480" w:lineRule="auto"/>
        <w:ind w:firstLine="426"/>
        <w:jc w:val="left"/>
        <w:rPr>
          <w:rFonts w:ascii="Times New Roman" w:hAnsi="Times New Roman" w:eastAsia="黑体"/>
          <w:snapToGrid/>
          <w:kern w:val="0"/>
          <w:sz w:val="30"/>
          <w:szCs w:val="30"/>
        </w:rPr>
      </w:pPr>
      <w:r>
        <w:rPr>
          <w:rFonts w:hint="eastAsia" w:ascii="Times New Roman" w:hAnsi="Times New Roman" w:eastAsia="黑体"/>
          <w:snapToGrid/>
          <w:kern w:val="0"/>
          <w:sz w:val="30"/>
          <w:szCs w:val="30"/>
        </w:rPr>
        <w:t>采购代理机构：昆明晨晟招标有限责任公司</w:t>
      </w:r>
    </w:p>
    <w:p>
      <w:pPr>
        <w:widowControl/>
        <w:spacing w:line="480" w:lineRule="auto"/>
        <w:ind w:firstLine="426"/>
        <w:jc w:val="left"/>
      </w:pPr>
      <w:r>
        <w:rPr>
          <w:rFonts w:hint="eastAsia" w:ascii="Times New Roman" w:hAnsi="Times New Roman" w:eastAsia="黑体"/>
          <w:snapToGrid/>
          <w:kern w:val="0"/>
          <w:sz w:val="30"/>
          <w:szCs w:val="30"/>
        </w:rPr>
        <w:t>20</w:t>
      </w:r>
      <w:r>
        <w:rPr>
          <w:rFonts w:ascii="Times New Roman" w:hAnsi="Times New Roman" w:eastAsia="黑体"/>
          <w:snapToGrid/>
          <w:kern w:val="0"/>
          <w:sz w:val="30"/>
          <w:szCs w:val="30"/>
        </w:rPr>
        <w:t>21</w:t>
      </w:r>
      <w:r>
        <w:rPr>
          <w:rFonts w:hint="eastAsia" w:ascii="Times New Roman" w:hAnsi="Times New Roman" w:eastAsia="黑体"/>
          <w:snapToGrid/>
          <w:kern w:val="0"/>
          <w:sz w:val="30"/>
          <w:szCs w:val="30"/>
        </w:rPr>
        <w:t>年</w:t>
      </w:r>
      <w:r>
        <w:rPr>
          <w:rFonts w:ascii="Times New Roman" w:hAnsi="Times New Roman" w:eastAsia="黑体"/>
          <w:snapToGrid/>
          <w:kern w:val="0"/>
          <w:sz w:val="30"/>
          <w:szCs w:val="30"/>
        </w:rPr>
        <w:t>05</w:t>
      </w:r>
      <w:r>
        <w:rPr>
          <w:rFonts w:hint="eastAsia" w:ascii="Times New Roman" w:hAnsi="Times New Roman" w:eastAsia="黑体"/>
          <w:snapToGrid/>
          <w:kern w:val="0"/>
          <w:sz w:val="30"/>
          <w:szCs w:val="30"/>
        </w:rPr>
        <w:t>月</w:t>
      </w:r>
    </w:p>
    <w:p>
      <w:pPr>
        <w:widowControl/>
        <w:spacing w:line="360" w:lineRule="auto"/>
        <w:jc w:val="center"/>
        <w:rPr>
          <w:rFonts w:ascii="Times New Roman" w:hAnsi="Times New Roman" w:eastAsia="黑体"/>
          <w:b/>
          <w:snapToGrid/>
          <w:kern w:val="11"/>
          <w:sz w:val="32"/>
          <w:szCs w:val="32"/>
        </w:rPr>
      </w:pPr>
      <w:r>
        <w:rPr>
          <w:rFonts w:hint="eastAsia" w:ascii="Times New Roman" w:hAnsi="Times New Roman" w:eastAsia="黑体"/>
          <w:b/>
          <w:snapToGrid/>
          <w:kern w:val="11"/>
          <w:sz w:val="32"/>
          <w:szCs w:val="32"/>
        </w:rPr>
        <w:t>目  录</w:t>
      </w:r>
    </w:p>
    <w:p>
      <w:pPr>
        <w:pStyle w:val="21"/>
        <w:rPr>
          <w:rFonts w:cstheme="minorBidi"/>
          <w:snapToGrid/>
          <w:kern w:val="2"/>
          <w:lang w:val="en-US" w:eastAsia="zh-CN"/>
        </w:rPr>
      </w:pPr>
      <w:r>
        <w:fldChar w:fldCharType="begin"/>
      </w:r>
      <w:r>
        <w:instrText xml:space="preserve"> TOC \o "1-3" \h \z \u </w:instrText>
      </w:r>
      <w:r>
        <w:fldChar w:fldCharType="separate"/>
      </w:r>
      <w:r>
        <w:fldChar w:fldCharType="begin"/>
      </w:r>
      <w:r>
        <w:instrText xml:space="preserve"> HYPERLINK \l "_Toc72489515" </w:instrText>
      </w:r>
      <w:r>
        <w:fldChar w:fldCharType="separate"/>
      </w:r>
      <w:r>
        <w:rPr>
          <w:rStyle w:val="33"/>
          <w:rFonts w:ascii="宋体" w:hAnsi="宋体" w:eastAsia="宋体"/>
          <w:color w:val="auto"/>
        </w:rPr>
        <w:t>第一章  竞争性磋商公告</w:t>
      </w:r>
      <w:r>
        <w:tab/>
      </w:r>
      <w:r>
        <w:fldChar w:fldCharType="begin"/>
      </w:r>
      <w:r>
        <w:instrText xml:space="preserve"> PAGEREF _Toc72489515 \h </w:instrText>
      </w:r>
      <w:r>
        <w:fldChar w:fldCharType="separate"/>
      </w:r>
      <w:r>
        <w:t>4</w:t>
      </w:r>
      <w:r>
        <w:fldChar w:fldCharType="end"/>
      </w:r>
      <w: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"_Toc72489516" </w:instrText>
      </w:r>
      <w:r>
        <w:fldChar w:fldCharType="separate"/>
      </w:r>
      <w:r>
        <w:rPr>
          <w:rStyle w:val="33"/>
          <w:rFonts w:ascii="宋体" w:hAnsi="宋体" w:eastAsia="宋体"/>
          <w:color w:val="auto"/>
          <w:szCs w:val="21"/>
        </w:rPr>
        <w:t>一、项目基本情况</w:t>
      </w:r>
      <w:r>
        <w:rPr>
          <w:rFonts w:hAnsi="宋体"/>
          <w:szCs w:val="21"/>
        </w:rPr>
        <w:tab/>
      </w:r>
      <w:r>
        <w:rPr>
          <w:rFonts w:hAnsi="宋体"/>
          <w:szCs w:val="21"/>
        </w:rPr>
        <w:fldChar w:fldCharType="begin"/>
      </w:r>
      <w:r>
        <w:rPr>
          <w:rFonts w:hAnsi="宋体"/>
          <w:szCs w:val="21"/>
        </w:rPr>
        <w:instrText xml:space="preserve"> PAGEREF _Toc72489516 \h </w:instrText>
      </w:r>
      <w:r>
        <w:rPr>
          <w:rFonts w:hAnsi="宋体"/>
          <w:szCs w:val="21"/>
        </w:rPr>
        <w:fldChar w:fldCharType="separate"/>
      </w:r>
      <w:r>
        <w:rPr>
          <w:rFonts w:hAnsi="宋体"/>
          <w:szCs w:val="21"/>
        </w:rPr>
        <w:t>4</w:t>
      </w:r>
      <w:r>
        <w:rPr>
          <w:rFonts w:hAnsi="宋体"/>
          <w:szCs w:val="21"/>
        </w:rPr>
        <w:fldChar w:fldCharType="end"/>
      </w:r>
      <w:r>
        <w:rPr>
          <w:rFonts w:hAnsi="宋体"/>
          <w:szCs w:val="21"/>
        </w:rP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"_Toc72489517" </w:instrText>
      </w:r>
      <w:r>
        <w:fldChar w:fldCharType="separate"/>
      </w:r>
      <w:r>
        <w:rPr>
          <w:rStyle w:val="33"/>
          <w:rFonts w:ascii="宋体" w:hAnsi="宋体" w:eastAsia="宋体"/>
          <w:color w:val="auto"/>
          <w:szCs w:val="21"/>
        </w:rPr>
        <w:t>二、申请人的资格要求：</w:t>
      </w:r>
      <w:r>
        <w:rPr>
          <w:rFonts w:hAnsi="宋体"/>
          <w:szCs w:val="21"/>
        </w:rPr>
        <w:tab/>
      </w:r>
      <w:r>
        <w:rPr>
          <w:rFonts w:hAnsi="宋体"/>
          <w:szCs w:val="21"/>
        </w:rPr>
        <w:fldChar w:fldCharType="begin"/>
      </w:r>
      <w:r>
        <w:rPr>
          <w:rFonts w:hAnsi="宋体"/>
          <w:szCs w:val="21"/>
        </w:rPr>
        <w:instrText xml:space="preserve"> PAGEREF _Toc72489517 \h </w:instrText>
      </w:r>
      <w:r>
        <w:rPr>
          <w:rFonts w:hAnsi="宋体"/>
          <w:szCs w:val="21"/>
        </w:rPr>
        <w:fldChar w:fldCharType="separate"/>
      </w:r>
      <w:r>
        <w:rPr>
          <w:rFonts w:hAnsi="宋体"/>
          <w:szCs w:val="21"/>
        </w:rPr>
        <w:t>4</w:t>
      </w:r>
      <w:r>
        <w:rPr>
          <w:rFonts w:hAnsi="宋体"/>
          <w:szCs w:val="21"/>
        </w:rPr>
        <w:fldChar w:fldCharType="end"/>
      </w:r>
      <w:r>
        <w:rPr>
          <w:rFonts w:hAnsi="宋体"/>
          <w:szCs w:val="21"/>
        </w:rP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"_Toc72489518" </w:instrText>
      </w:r>
      <w:r>
        <w:fldChar w:fldCharType="separate"/>
      </w:r>
      <w:r>
        <w:rPr>
          <w:rStyle w:val="33"/>
          <w:rFonts w:ascii="宋体" w:hAnsi="宋体" w:eastAsia="宋体"/>
          <w:color w:val="auto"/>
          <w:szCs w:val="21"/>
        </w:rPr>
        <w:t>三、获取采购文件</w:t>
      </w:r>
      <w:r>
        <w:rPr>
          <w:rFonts w:hAnsi="宋体"/>
          <w:szCs w:val="21"/>
        </w:rPr>
        <w:tab/>
      </w:r>
      <w:r>
        <w:rPr>
          <w:rFonts w:hAnsi="宋体"/>
          <w:szCs w:val="21"/>
        </w:rPr>
        <w:fldChar w:fldCharType="begin"/>
      </w:r>
      <w:r>
        <w:rPr>
          <w:rFonts w:hAnsi="宋体"/>
          <w:szCs w:val="21"/>
        </w:rPr>
        <w:instrText xml:space="preserve"> PAGEREF _Toc72489518 \h </w:instrText>
      </w:r>
      <w:r>
        <w:rPr>
          <w:rFonts w:hAnsi="宋体"/>
          <w:szCs w:val="21"/>
        </w:rPr>
        <w:fldChar w:fldCharType="separate"/>
      </w:r>
      <w:r>
        <w:rPr>
          <w:rFonts w:hAnsi="宋体"/>
          <w:szCs w:val="21"/>
        </w:rPr>
        <w:t>6</w:t>
      </w:r>
      <w:r>
        <w:rPr>
          <w:rFonts w:hAnsi="宋体"/>
          <w:szCs w:val="21"/>
        </w:rPr>
        <w:fldChar w:fldCharType="end"/>
      </w:r>
      <w:r>
        <w:rPr>
          <w:rFonts w:hAnsi="宋体"/>
          <w:szCs w:val="21"/>
        </w:rP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"_Toc72489519" </w:instrText>
      </w:r>
      <w:r>
        <w:fldChar w:fldCharType="separate"/>
      </w:r>
      <w:r>
        <w:rPr>
          <w:rStyle w:val="33"/>
          <w:rFonts w:ascii="宋体" w:hAnsi="宋体" w:eastAsia="宋体"/>
          <w:color w:val="auto"/>
          <w:szCs w:val="21"/>
        </w:rPr>
        <w:t>四、响应文件提交</w:t>
      </w:r>
      <w:r>
        <w:rPr>
          <w:rFonts w:hAnsi="宋体"/>
          <w:szCs w:val="21"/>
        </w:rPr>
        <w:tab/>
      </w:r>
      <w:r>
        <w:rPr>
          <w:rFonts w:hAnsi="宋体"/>
          <w:szCs w:val="21"/>
        </w:rPr>
        <w:fldChar w:fldCharType="begin"/>
      </w:r>
      <w:r>
        <w:rPr>
          <w:rFonts w:hAnsi="宋体"/>
          <w:szCs w:val="21"/>
        </w:rPr>
        <w:instrText xml:space="preserve"> PAGEREF _Toc72489519 \h </w:instrText>
      </w:r>
      <w:r>
        <w:rPr>
          <w:rFonts w:hAnsi="宋体"/>
          <w:szCs w:val="21"/>
        </w:rPr>
        <w:fldChar w:fldCharType="separate"/>
      </w:r>
      <w:r>
        <w:rPr>
          <w:rFonts w:hAnsi="宋体"/>
          <w:szCs w:val="21"/>
        </w:rPr>
        <w:t>6</w:t>
      </w:r>
      <w:r>
        <w:rPr>
          <w:rFonts w:hAnsi="宋体"/>
          <w:szCs w:val="21"/>
        </w:rPr>
        <w:fldChar w:fldCharType="end"/>
      </w:r>
      <w:r>
        <w:rPr>
          <w:rFonts w:hAnsi="宋体"/>
          <w:szCs w:val="21"/>
        </w:rP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"_Toc72489520" </w:instrText>
      </w:r>
      <w:r>
        <w:fldChar w:fldCharType="separate"/>
      </w:r>
      <w:r>
        <w:rPr>
          <w:rStyle w:val="33"/>
          <w:rFonts w:ascii="宋体" w:hAnsi="宋体" w:eastAsia="宋体"/>
          <w:color w:val="auto"/>
          <w:szCs w:val="21"/>
        </w:rPr>
        <w:t>五、开启</w:t>
      </w:r>
      <w:r>
        <w:rPr>
          <w:rFonts w:hAnsi="宋体"/>
          <w:szCs w:val="21"/>
        </w:rPr>
        <w:tab/>
      </w:r>
      <w:r>
        <w:rPr>
          <w:rFonts w:hAnsi="宋体"/>
          <w:szCs w:val="21"/>
        </w:rPr>
        <w:fldChar w:fldCharType="begin"/>
      </w:r>
      <w:r>
        <w:rPr>
          <w:rFonts w:hAnsi="宋体"/>
          <w:szCs w:val="21"/>
        </w:rPr>
        <w:instrText xml:space="preserve"> PAGEREF _Toc72489520 \h </w:instrText>
      </w:r>
      <w:r>
        <w:rPr>
          <w:rFonts w:hAnsi="宋体"/>
          <w:szCs w:val="21"/>
        </w:rPr>
        <w:fldChar w:fldCharType="separate"/>
      </w:r>
      <w:r>
        <w:rPr>
          <w:rFonts w:hAnsi="宋体"/>
          <w:szCs w:val="21"/>
        </w:rPr>
        <w:t>6</w:t>
      </w:r>
      <w:r>
        <w:rPr>
          <w:rFonts w:hAnsi="宋体"/>
          <w:szCs w:val="21"/>
        </w:rPr>
        <w:fldChar w:fldCharType="end"/>
      </w:r>
      <w:r>
        <w:rPr>
          <w:rFonts w:hAnsi="宋体"/>
          <w:szCs w:val="21"/>
        </w:rP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"_Toc72489521" </w:instrText>
      </w:r>
      <w:r>
        <w:fldChar w:fldCharType="separate"/>
      </w:r>
      <w:r>
        <w:rPr>
          <w:rStyle w:val="33"/>
          <w:rFonts w:ascii="宋体" w:hAnsi="宋体" w:eastAsia="宋体"/>
          <w:color w:val="auto"/>
          <w:szCs w:val="21"/>
        </w:rPr>
        <w:t>六、公告期限</w:t>
      </w:r>
      <w:r>
        <w:rPr>
          <w:rFonts w:hAnsi="宋体"/>
          <w:szCs w:val="21"/>
        </w:rPr>
        <w:tab/>
      </w:r>
      <w:r>
        <w:rPr>
          <w:rFonts w:hAnsi="宋体"/>
          <w:szCs w:val="21"/>
        </w:rPr>
        <w:fldChar w:fldCharType="begin"/>
      </w:r>
      <w:r>
        <w:rPr>
          <w:rFonts w:hAnsi="宋体"/>
          <w:szCs w:val="21"/>
        </w:rPr>
        <w:instrText xml:space="preserve"> PAGEREF _Toc72489521 \h </w:instrText>
      </w:r>
      <w:r>
        <w:rPr>
          <w:rFonts w:hAnsi="宋体"/>
          <w:szCs w:val="21"/>
        </w:rPr>
        <w:fldChar w:fldCharType="separate"/>
      </w:r>
      <w:r>
        <w:rPr>
          <w:rFonts w:hAnsi="宋体"/>
          <w:szCs w:val="21"/>
        </w:rPr>
        <w:t>6</w:t>
      </w:r>
      <w:r>
        <w:rPr>
          <w:rFonts w:hAnsi="宋体"/>
          <w:szCs w:val="21"/>
        </w:rPr>
        <w:fldChar w:fldCharType="end"/>
      </w:r>
      <w:r>
        <w:rPr>
          <w:rFonts w:hAnsi="宋体"/>
          <w:szCs w:val="21"/>
        </w:rP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"_Toc72489522" </w:instrText>
      </w:r>
      <w:r>
        <w:fldChar w:fldCharType="separate"/>
      </w:r>
      <w:r>
        <w:rPr>
          <w:rStyle w:val="33"/>
          <w:rFonts w:ascii="宋体" w:hAnsi="宋体" w:eastAsia="宋体"/>
          <w:color w:val="auto"/>
          <w:szCs w:val="21"/>
        </w:rPr>
        <w:t>七、其他补充事宜</w:t>
      </w:r>
      <w:r>
        <w:rPr>
          <w:rFonts w:hAnsi="宋体"/>
          <w:szCs w:val="21"/>
        </w:rPr>
        <w:tab/>
      </w:r>
      <w:r>
        <w:rPr>
          <w:rFonts w:hAnsi="宋体"/>
          <w:szCs w:val="21"/>
        </w:rPr>
        <w:fldChar w:fldCharType="begin"/>
      </w:r>
      <w:r>
        <w:rPr>
          <w:rFonts w:hAnsi="宋体"/>
          <w:szCs w:val="21"/>
        </w:rPr>
        <w:instrText xml:space="preserve"> PAGEREF _Toc72489522 \h </w:instrText>
      </w:r>
      <w:r>
        <w:rPr>
          <w:rFonts w:hAnsi="宋体"/>
          <w:szCs w:val="21"/>
        </w:rPr>
        <w:fldChar w:fldCharType="separate"/>
      </w:r>
      <w:r>
        <w:rPr>
          <w:rFonts w:hAnsi="宋体"/>
          <w:szCs w:val="21"/>
        </w:rPr>
        <w:t>6</w:t>
      </w:r>
      <w:r>
        <w:rPr>
          <w:rFonts w:hAnsi="宋体"/>
          <w:szCs w:val="21"/>
        </w:rPr>
        <w:fldChar w:fldCharType="end"/>
      </w:r>
      <w:r>
        <w:rPr>
          <w:rFonts w:hAnsi="宋体"/>
          <w:szCs w:val="21"/>
        </w:rP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"_Toc72489523" </w:instrText>
      </w:r>
      <w:r>
        <w:fldChar w:fldCharType="separate"/>
      </w:r>
      <w:r>
        <w:rPr>
          <w:rStyle w:val="33"/>
          <w:rFonts w:ascii="宋体" w:hAnsi="宋体" w:eastAsia="宋体"/>
          <w:color w:val="auto"/>
          <w:szCs w:val="21"/>
        </w:rPr>
        <w:t>八、凡对本次采购提出询问，请按以下方式联系。</w:t>
      </w:r>
      <w:r>
        <w:rPr>
          <w:rFonts w:hAnsi="宋体"/>
          <w:szCs w:val="21"/>
        </w:rPr>
        <w:tab/>
      </w:r>
      <w:r>
        <w:rPr>
          <w:rFonts w:hAnsi="宋体"/>
          <w:szCs w:val="21"/>
        </w:rPr>
        <w:fldChar w:fldCharType="begin"/>
      </w:r>
      <w:r>
        <w:rPr>
          <w:rFonts w:hAnsi="宋体"/>
          <w:szCs w:val="21"/>
        </w:rPr>
        <w:instrText xml:space="preserve"> PAGEREF _Toc72489523 \h </w:instrText>
      </w:r>
      <w:r>
        <w:rPr>
          <w:rFonts w:hAnsi="宋体"/>
          <w:szCs w:val="21"/>
        </w:rPr>
        <w:fldChar w:fldCharType="separate"/>
      </w:r>
      <w:r>
        <w:rPr>
          <w:rFonts w:hAnsi="宋体"/>
          <w:szCs w:val="21"/>
        </w:rPr>
        <w:t>7</w:t>
      </w:r>
      <w:r>
        <w:rPr>
          <w:rFonts w:hAnsi="宋体"/>
          <w:szCs w:val="21"/>
        </w:rPr>
        <w:fldChar w:fldCharType="end"/>
      </w:r>
      <w:r>
        <w:rPr>
          <w:rFonts w:hAnsi="宋体"/>
          <w:szCs w:val="21"/>
        </w:rPr>
        <w:fldChar w:fldCharType="end"/>
      </w:r>
    </w:p>
    <w:p>
      <w:pPr>
        <w:pStyle w:val="21"/>
        <w:rPr>
          <w:rFonts w:cstheme="minorBidi"/>
          <w:snapToGrid/>
          <w:kern w:val="2"/>
          <w:lang w:val="en-US" w:eastAsia="zh-CN"/>
        </w:rPr>
      </w:pPr>
      <w:r>
        <w:fldChar w:fldCharType="begin"/>
      </w:r>
      <w:r>
        <w:instrText xml:space="preserve"> HYPERLINK \l "_Toc72489524" </w:instrText>
      </w:r>
      <w:r>
        <w:fldChar w:fldCharType="separate"/>
      </w:r>
      <w:r>
        <w:rPr>
          <w:rStyle w:val="33"/>
          <w:rFonts w:ascii="宋体" w:hAnsi="宋体" w:eastAsia="宋体"/>
          <w:color w:val="auto"/>
        </w:rPr>
        <w:t>第二章  供应商须知</w:t>
      </w:r>
      <w:r>
        <w:tab/>
      </w:r>
      <w:r>
        <w:fldChar w:fldCharType="begin"/>
      </w:r>
      <w:r>
        <w:instrText xml:space="preserve"> PAGEREF _Toc72489524 \h </w:instrText>
      </w:r>
      <w:r>
        <w:fldChar w:fldCharType="separate"/>
      </w:r>
      <w:r>
        <w:t>8</w:t>
      </w:r>
      <w:r>
        <w:fldChar w:fldCharType="end"/>
      </w:r>
      <w: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"_Toc72489525" </w:instrText>
      </w:r>
      <w:r>
        <w:fldChar w:fldCharType="separate"/>
      </w:r>
      <w:r>
        <w:rPr>
          <w:rStyle w:val="33"/>
          <w:rFonts w:ascii="宋体" w:hAnsi="宋体" w:eastAsia="宋体"/>
          <w:color w:val="auto"/>
          <w:szCs w:val="21"/>
        </w:rPr>
        <w:t>供应商须知前附表</w:t>
      </w:r>
      <w:r>
        <w:rPr>
          <w:rFonts w:hAnsi="宋体"/>
          <w:szCs w:val="21"/>
        </w:rPr>
        <w:tab/>
      </w:r>
      <w:r>
        <w:rPr>
          <w:rFonts w:hAnsi="宋体"/>
          <w:szCs w:val="21"/>
        </w:rPr>
        <w:fldChar w:fldCharType="begin"/>
      </w:r>
      <w:r>
        <w:rPr>
          <w:rFonts w:hAnsi="宋体"/>
          <w:szCs w:val="21"/>
        </w:rPr>
        <w:instrText xml:space="preserve"> PAGEREF _Toc72489525 \h </w:instrText>
      </w:r>
      <w:r>
        <w:rPr>
          <w:rFonts w:hAnsi="宋体"/>
          <w:szCs w:val="21"/>
        </w:rPr>
        <w:fldChar w:fldCharType="separate"/>
      </w:r>
      <w:r>
        <w:rPr>
          <w:rFonts w:hAnsi="宋体"/>
          <w:szCs w:val="21"/>
        </w:rPr>
        <w:t>8</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"_Toc72489526" </w:instrText>
      </w:r>
      <w:r>
        <w:fldChar w:fldCharType="separate"/>
      </w:r>
      <w:r>
        <w:rPr>
          <w:rStyle w:val="33"/>
          <w:rFonts w:ascii="宋体" w:hAnsi="宋体" w:eastAsia="宋体"/>
          <w:color w:val="auto"/>
          <w:kern w:val="0"/>
          <w:szCs w:val="21"/>
        </w:rPr>
        <w:t>一、总则</w:t>
      </w:r>
      <w:r>
        <w:rPr>
          <w:rFonts w:hAnsi="宋体"/>
          <w:szCs w:val="21"/>
        </w:rPr>
        <w:tab/>
      </w:r>
      <w:r>
        <w:rPr>
          <w:rFonts w:hAnsi="宋体"/>
          <w:szCs w:val="21"/>
        </w:rPr>
        <w:fldChar w:fldCharType="begin"/>
      </w:r>
      <w:r>
        <w:rPr>
          <w:rFonts w:hAnsi="宋体"/>
          <w:szCs w:val="21"/>
        </w:rPr>
        <w:instrText xml:space="preserve"> PAGEREF _Toc72489526 \h </w:instrText>
      </w:r>
      <w:r>
        <w:rPr>
          <w:rFonts w:hAnsi="宋体"/>
          <w:szCs w:val="21"/>
        </w:rPr>
        <w:fldChar w:fldCharType="separate"/>
      </w:r>
      <w:r>
        <w:rPr>
          <w:rFonts w:hAnsi="宋体"/>
          <w:szCs w:val="21"/>
        </w:rPr>
        <w:t>13</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"_Toc72489536" </w:instrText>
      </w:r>
      <w:r>
        <w:fldChar w:fldCharType="separate"/>
      </w:r>
      <w:r>
        <w:rPr>
          <w:rStyle w:val="33"/>
          <w:rFonts w:ascii="宋体" w:hAnsi="宋体" w:eastAsia="宋体"/>
          <w:color w:val="auto"/>
          <w:kern w:val="0"/>
          <w:szCs w:val="21"/>
        </w:rPr>
        <w:t>二、磋商文件</w:t>
      </w:r>
      <w:r>
        <w:rPr>
          <w:rFonts w:hAnsi="宋体"/>
          <w:szCs w:val="21"/>
        </w:rPr>
        <w:tab/>
      </w:r>
      <w:r>
        <w:rPr>
          <w:rFonts w:hAnsi="宋体"/>
          <w:szCs w:val="21"/>
        </w:rPr>
        <w:fldChar w:fldCharType="begin"/>
      </w:r>
      <w:r>
        <w:rPr>
          <w:rFonts w:hAnsi="宋体"/>
          <w:szCs w:val="21"/>
        </w:rPr>
        <w:instrText xml:space="preserve"> PAGEREF _Toc72489536 \h </w:instrText>
      </w:r>
      <w:r>
        <w:rPr>
          <w:rFonts w:hAnsi="宋体"/>
          <w:szCs w:val="21"/>
        </w:rPr>
        <w:fldChar w:fldCharType="separate"/>
      </w:r>
      <w:r>
        <w:rPr>
          <w:rFonts w:hAnsi="宋体"/>
          <w:szCs w:val="21"/>
        </w:rPr>
        <w:t>15</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"_Toc72489539" </w:instrText>
      </w:r>
      <w:r>
        <w:fldChar w:fldCharType="separate"/>
      </w:r>
      <w:r>
        <w:rPr>
          <w:rStyle w:val="33"/>
          <w:rFonts w:ascii="宋体" w:hAnsi="宋体" w:eastAsia="宋体"/>
          <w:color w:val="auto"/>
          <w:kern w:val="0"/>
          <w:szCs w:val="21"/>
        </w:rPr>
        <w:t>三、响应文件</w:t>
      </w:r>
      <w:r>
        <w:rPr>
          <w:rFonts w:hAnsi="宋体"/>
          <w:szCs w:val="21"/>
        </w:rPr>
        <w:tab/>
      </w:r>
      <w:r>
        <w:rPr>
          <w:rFonts w:hAnsi="宋体"/>
          <w:szCs w:val="21"/>
        </w:rPr>
        <w:fldChar w:fldCharType="begin"/>
      </w:r>
      <w:r>
        <w:rPr>
          <w:rFonts w:hAnsi="宋体"/>
          <w:szCs w:val="21"/>
        </w:rPr>
        <w:instrText xml:space="preserve"> PAGEREF _Toc72489539 \h </w:instrText>
      </w:r>
      <w:r>
        <w:rPr>
          <w:rFonts w:hAnsi="宋体"/>
          <w:szCs w:val="21"/>
        </w:rPr>
        <w:fldChar w:fldCharType="separate"/>
      </w:r>
      <w:r>
        <w:rPr>
          <w:rFonts w:hAnsi="宋体"/>
          <w:szCs w:val="21"/>
        </w:rPr>
        <w:t>16</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"_Toc72489549" </w:instrText>
      </w:r>
      <w:r>
        <w:fldChar w:fldCharType="separate"/>
      </w:r>
      <w:r>
        <w:rPr>
          <w:rStyle w:val="33"/>
          <w:rFonts w:ascii="宋体" w:hAnsi="宋体" w:eastAsia="宋体"/>
          <w:color w:val="auto"/>
          <w:kern w:val="0"/>
          <w:szCs w:val="21"/>
        </w:rPr>
        <w:t>四、提交响应文件</w:t>
      </w:r>
      <w:r>
        <w:rPr>
          <w:rFonts w:hAnsi="宋体"/>
          <w:szCs w:val="21"/>
        </w:rPr>
        <w:tab/>
      </w:r>
      <w:r>
        <w:rPr>
          <w:rFonts w:hAnsi="宋体"/>
          <w:szCs w:val="21"/>
        </w:rPr>
        <w:fldChar w:fldCharType="begin"/>
      </w:r>
      <w:r>
        <w:rPr>
          <w:rFonts w:hAnsi="宋体"/>
          <w:szCs w:val="21"/>
        </w:rPr>
        <w:instrText xml:space="preserve"> PAGEREF _Toc72489549 \h </w:instrText>
      </w:r>
      <w:r>
        <w:rPr>
          <w:rFonts w:hAnsi="宋体"/>
          <w:szCs w:val="21"/>
        </w:rPr>
        <w:fldChar w:fldCharType="separate"/>
      </w:r>
      <w:r>
        <w:rPr>
          <w:rFonts w:hAnsi="宋体"/>
          <w:szCs w:val="21"/>
        </w:rPr>
        <w:t>19</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"_Toc72489553" </w:instrText>
      </w:r>
      <w:r>
        <w:fldChar w:fldCharType="separate"/>
      </w:r>
      <w:r>
        <w:rPr>
          <w:rStyle w:val="33"/>
          <w:rFonts w:ascii="宋体" w:hAnsi="宋体" w:eastAsia="宋体"/>
          <w:color w:val="auto"/>
          <w:kern w:val="0"/>
          <w:szCs w:val="21"/>
        </w:rPr>
        <w:t>五、磋商</w:t>
      </w:r>
      <w:r>
        <w:rPr>
          <w:rFonts w:hAnsi="宋体"/>
          <w:szCs w:val="21"/>
        </w:rPr>
        <w:tab/>
      </w:r>
      <w:r>
        <w:rPr>
          <w:rFonts w:hAnsi="宋体"/>
          <w:szCs w:val="21"/>
        </w:rPr>
        <w:fldChar w:fldCharType="begin"/>
      </w:r>
      <w:r>
        <w:rPr>
          <w:rFonts w:hAnsi="宋体"/>
          <w:szCs w:val="21"/>
        </w:rPr>
        <w:instrText xml:space="preserve"> PAGEREF _Toc72489553 \h </w:instrText>
      </w:r>
      <w:r>
        <w:rPr>
          <w:rFonts w:hAnsi="宋体"/>
          <w:szCs w:val="21"/>
        </w:rPr>
        <w:fldChar w:fldCharType="separate"/>
      </w:r>
      <w:r>
        <w:rPr>
          <w:rFonts w:hAnsi="宋体"/>
          <w:szCs w:val="21"/>
        </w:rPr>
        <w:t>20</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"_Toc72489555" </w:instrText>
      </w:r>
      <w:r>
        <w:fldChar w:fldCharType="separate"/>
      </w:r>
      <w:r>
        <w:rPr>
          <w:rStyle w:val="33"/>
          <w:rFonts w:ascii="宋体" w:hAnsi="宋体" w:eastAsia="宋体"/>
          <w:color w:val="auto"/>
          <w:kern w:val="0"/>
          <w:szCs w:val="21"/>
        </w:rPr>
        <w:t>六、成交结果</w:t>
      </w:r>
      <w:r>
        <w:rPr>
          <w:rFonts w:hAnsi="宋体"/>
          <w:szCs w:val="21"/>
        </w:rPr>
        <w:tab/>
      </w:r>
      <w:r>
        <w:rPr>
          <w:rFonts w:hAnsi="宋体"/>
          <w:szCs w:val="21"/>
        </w:rPr>
        <w:fldChar w:fldCharType="begin"/>
      </w:r>
      <w:r>
        <w:rPr>
          <w:rFonts w:hAnsi="宋体"/>
          <w:szCs w:val="21"/>
        </w:rPr>
        <w:instrText xml:space="preserve"> PAGEREF _Toc72489555 \h </w:instrText>
      </w:r>
      <w:r>
        <w:rPr>
          <w:rFonts w:hAnsi="宋体"/>
          <w:szCs w:val="21"/>
        </w:rPr>
        <w:fldChar w:fldCharType="separate"/>
      </w:r>
      <w:r>
        <w:rPr>
          <w:rFonts w:hAnsi="宋体"/>
          <w:szCs w:val="21"/>
        </w:rPr>
        <w:t>21</w:t>
      </w:r>
      <w:r>
        <w:rPr>
          <w:rFonts w:hAnsi="宋体"/>
          <w:szCs w:val="21"/>
        </w:rPr>
        <w:fldChar w:fldCharType="end"/>
      </w:r>
      <w:r>
        <w:rPr>
          <w:rFonts w:hAnsi="宋体"/>
          <w:szCs w:val="21"/>
        </w:rPr>
        <w:fldChar w:fldCharType="end"/>
      </w:r>
    </w:p>
    <w:p>
      <w:pPr>
        <w:pStyle w:val="21"/>
        <w:rPr>
          <w:rFonts w:cstheme="minorBidi"/>
          <w:snapToGrid/>
          <w:kern w:val="2"/>
          <w:lang w:val="en-US" w:eastAsia="zh-CN"/>
        </w:rPr>
      </w:pPr>
      <w:r>
        <w:fldChar w:fldCharType="begin"/>
      </w:r>
      <w:r>
        <w:instrText xml:space="preserve"> HYPERLINK \l "_Toc72489564" </w:instrText>
      </w:r>
      <w:r>
        <w:fldChar w:fldCharType="separate"/>
      </w:r>
      <w:r>
        <w:rPr>
          <w:rStyle w:val="33"/>
          <w:rFonts w:ascii="宋体" w:hAnsi="宋体" w:eastAsia="宋体"/>
          <w:color w:val="auto"/>
        </w:rPr>
        <w:t>第三章  合同书样式及主要条款</w:t>
      </w:r>
      <w:r>
        <w:tab/>
      </w:r>
      <w:r>
        <w:fldChar w:fldCharType="begin"/>
      </w:r>
      <w:r>
        <w:instrText xml:space="preserve"> PAGEREF _Toc72489564 \h </w:instrText>
      </w:r>
      <w:r>
        <w:fldChar w:fldCharType="separate"/>
      </w:r>
      <w:r>
        <w:t>27</w:t>
      </w:r>
      <w:r>
        <w:fldChar w:fldCharType="end"/>
      </w:r>
      <w: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"_Toc72489565" </w:instrText>
      </w:r>
      <w:r>
        <w:fldChar w:fldCharType="separate"/>
      </w:r>
      <w:r>
        <w:rPr>
          <w:rStyle w:val="33"/>
          <w:rFonts w:ascii="宋体" w:hAnsi="宋体" w:eastAsia="宋体"/>
          <w:color w:val="auto"/>
          <w:szCs w:val="21"/>
        </w:rPr>
        <w:t>合同条款前附表</w:t>
      </w:r>
      <w:r>
        <w:rPr>
          <w:rFonts w:hAnsi="宋体"/>
          <w:szCs w:val="21"/>
        </w:rPr>
        <w:tab/>
      </w:r>
      <w:r>
        <w:rPr>
          <w:rFonts w:hAnsi="宋体"/>
          <w:szCs w:val="21"/>
        </w:rPr>
        <w:fldChar w:fldCharType="begin"/>
      </w:r>
      <w:r>
        <w:rPr>
          <w:rFonts w:hAnsi="宋体"/>
          <w:szCs w:val="21"/>
        </w:rPr>
        <w:instrText xml:space="preserve"> PAGEREF _Toc72489565 \h </w:instrText>
      </w:r>
      <w:r>
        <w:rPr>
          <w:rFonts w:hAnsi="宋体"/>
          <w:szCs w:val="21"/>
        </w:rPr>
        <w:fldChar w:fldCharType="separate"/>
      </w:r>
      <w:r>
        <w:rPr>
          <w:rFonts w:hAnsi="宋体"/>
          <w:szCs w:val="21"/>
        </w:rPr>
        <w:t>27</w:t>
      </w:r>
      <w:r>
        <w:rPr>
          <w:rFonts w:hAnsi="宋体"/>
          <w:szCs w:val="21"/>
        </w:rPr>
        <w:fldChar w:fldCharType="end"/>
      </w:r>
      <w:r>
        <w:rPr>
          <w:rFonts w:hAnsi="宋体"/>
          <w:szCs w:val="21"/>
        </w:rPr>
        <w:fldChar w:fldCharType="end"/>
      </w:r>
    </w:p>
    <w:p>
      <w:pPr>
        <w:pStyle w:val="21"/>
        <w:rPr>
          <w:rFonts w:cstheme="minorBidi"/>
          <w:snapToGrid/>
          <w:kern w:val="2"/>
          <w:lang w:val="en-US" w:eastAsia="zh-CN"/>
        </w:rPr>
      </w:pPr>
      <w:r>
        <w:fldChar w:fldCharType="begin"/>
      </w:r>
      <w:r>
        <w:instrText xml:space="preserve"> HYPERLINK \l "_Toc72489566" </w:instrText>
      </w:r>
      <w:r>
        <w:fldChar w:fldCharType="separate"/>
      </w:r>
      <w:r>
        <w:rPr>
          <w:rStyle w:val="33"/>
          <w:rFonts w:ascii="宋体" w:hAnsi="宋体" w:eastAsia="宋体"/>
          <w:color w:val="auto"/>
        </w:rPr>
        <w:t>第四章  响应文件格式</w:t>
      </w:r>
      <w:r>
        <w:tab/>
      </w:r>
      <w:r>
        <w:fldChar w:fldCharType="begin"/>
      </w:r>
      <w:r>
        <w:instrText xml:space="preserve"> PAGEREF _Toc72489566 \h </w:instrText>
      </w:r>
      <w:r>
        <w:fldChar w:fldCharType="separate"/>
      </w:r>
      <w:r>
        <w:t>32</w:t>
      </w:r>
      <w:r>
        <w:fldChar w:fldCharType="end"/>
      </w:r>
      <w: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"_Toc72489567" </w:instrText>
      </w:r>
      <w:r>
        <w:fldChar w:fldCharType="separate"/>
      </w:r>
      <w:r>
        <w:rPr>
          <w:rStyle w:val="33"/>
          <w:rFonts w:ascii="宋体" w:hAnsi="宋体" w:eastAsia="宋体"/>
          <w:color w:val="auto"/>
          <w:kern w:val="0"/>
          <w:szCs w:val="21"/>
        </w:rPr>
        <w:t>磋商报价一览表</w:t>
      </w:r>
      <w:r>
        <w:rPr>
          <w:rFonts w:hAnsi="宋体"/>
          <w:szCs w:val="21"/>
        </w:rPr>
        <w:tab/>
      </w:r>
      <w:r>
        <w:rPr>
          <w:rFonts w:hAnsi="宋体"/>
          <w:szCs w:val="21"/>
        </w:rPr>
        <w:fldChar w:fldCharType="begin"/>
      </w:r>
      <w:r>
        <w:rPr>
          <w:rFonts w:hAnsi="宋体"/>
          <w:szCs w:val="21"/>
        </w:rPr>
        <w:instrText xml:space="preserve"> PAGEREF _Toc72489567 \h </w:instrText>
      </w:r>
      <w:r>
        <w:rPr>
          <w:rFonts w:hAnsi="宋体"/>
          <w:szCs w:val="21"/>
        </w:rPr>
        <w:fldChar w:fldCharType="separate"/>
      </w:r>
      <w:r>
        <w:rPr>
          <w:rFonts w:hAnsi="宋体"/>
          <w:szCs w:val="21"/>
        </w:rPr>
        <w:t>34</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"_Toc72489568" </w:instrText>
      </w:r>
      <w:r>
        <w:fldChar w:fldCharType="separate"/>
      </w:r>
      <w:r>
        <w:rPr>
          <w:rStyle w:val="33"/>
          <w:rFonts w:ascii="宋体" w:hAnsi="宋体" w:eastAsia="宋体"/>
          <w:color w:val="auto"/>
          <w:kern w:val="0"/>
          <w:szCs w:val="21"/>
        </w:rPr>
        <w:t>磋商申请函</w:t>
      </w:r>
      <w:r>
        <w:rPr>
          <w:rFonts w:hAnsi="宋体"/>
          <w:szCs w:val="21"/>
        </w:rPr>
        <w:tab/>
      </w:r>
      <w:r>
        <w:rPr>
          <w:rFonts w:hAnsi="宋体"/>
          <w:szCs w:val="21"/>
        </w:rPr>
        <w:fldChar w:fldCharType="begin"/>
      </w:r>
      <w:r>
        <w:rPr>
          <w:rFonts w:hAnsi="宋体"/>
          <w:szCs w:val="21"/>
        </w:rPr>
        <w:instrText xml:space="preserve"> PAGEREF _Toc72489568 \h </w:instrText>
      </w:r>
      <w:r>
        <w:rPr>
          <w:rFonts w:hAnsi="宋体"/>
          <w:szCs w:val="21"/>
        </w:rPr>
        <w:fldChar w:fldCharType="separate"/>
      </w:r>
      <w:r>
        <w:rPr>
          <w:rFonts w:hAnsi="宋体"/>
          <w:szCs w:val="21"/>
        </w:rPr>
        <w:t>35</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"_Toc72489569" </w:instrText>
      </w:r>
      <w:r>
        <w:fldChar w:fldCharType="separate"/>
      </w:r>
      <w:r>
        <w:rPr>
          <w:rStyle w:val="33"/>
          <w:rFonts w:ascii="宋体" w:hAnsi="宋体" w:eastAsia="宋体"/>
          <w:color w:val="auto"/>
          <w:kern w:val="0"/>
          <w:szCs w:val="21"/>
        </w:rPr>
        <w:t>资格证明文件</w:t>
      </w:r>
      <w:r>
        <w:rPr>
          <w:rFonts w:hAnsi="宋体"/>
          <w:szCs w:val="21"/>
        </w:rPr>
        <w:tab/>
      </w:r>
      <w:r>
        <w:rPr>
          <w:rFonts w:hAnsi="宋体"/>
          <w:szCs w:val="21"/>
        </w:rPr>
        <w:fldChar w:fldCharType="begin"/>
      </w:r>
      <w:r>
        <w:rPr>
          <w:rFonts w:hAnsi="宋体"/>
          <w:szCs w:val="21"/>
        </w:rPr>
        <w:instrText xml:space="preserve"> PAGEREF _Toc72489569 \h </w:instrText>
      </w:r>
      <w:r>
        <w:rPr>
          <w:rFonts w:hAnsi="宋体"/>
          <w:szCs w:val="21"/>
        </w:rPr>
        <w:fldChar w:fldCharType="separate"/>
      </w:r>
      <w:r>
        <w:rPr>
          <w:rFonts w:hAnsi="宋体"/>
          <w:szCs w:val="21"/>
        </w:rPr>
        <w:t>36</w:t>
      </w:r>
      <w:r>
        <w:rPr>
          <w:rFonts w:hAnsi="宋体"/>
          <w:szCs w:val="21"/>
        </w:rPr>
        <w:fldChar w:fldCharType="end"/>
      </w:r>
      <w:r>
        <w:rPr>
          <w:rFonts w:hAnsi="宋体"/>
          <w:szCs w:val="21"/>
        </w:rPr>
        <w:fldChar w:fldCharType="end"/>
      </w:r>
    </w:p>
    <w:p>
      <w:pPr>
        <w:pStyle w:val="14"/>
        <w:tabs>
          <w:tab w:val="right" w:leader="dot" w:pos="9060"/>
        </w:tabs>
        <w:spacing w:line="360" w:lineRule="auto"/>
        <w:rPr>
          <w:rFonts w:hAnsi="宋体" w:cstheme="minorBidi"/>
          <w:snapToGrid/>
          <w:kern w:val="2"/>
          <w:szCs w:val="21"/>
        </w:rPr>
      </w:pPr>
      <w:r>
        <w:fldChar w:fldCharType="begin"/>
      </w:r>
      <w:r>
        <w:instrText xml:space="preserve"> HYPERLINK \l "_Toc72489570" </w:instrText>
      </w:r>
      <w:r>
        <w:fldChar w:fldCharType="separate"/>
      </w:r>
      <w:r>
        <w:rPr>
          <w:rStyle w:val="33"/>
          <w:rFonts w:ascii="宋体" w:hAnsi="宋体" w:eastAsia="宋体"/>
          <w:color w:val="auto"/>
          <w:kern w:val="0"/>
          <w:szCs w:val="21"/>
        </w:rPr>
        <w:t>法定代表人身份证明书</w:t>
      </w:r>
      <w:r>
        <w:rPr>
          <w:rFonts w:hAnsi="宋体"/>
          <w:szCs w:val="21"/>
        </w:rPr>
        <w:tab/>
      </w:r>
      <w:r>
        <w:rPr>
          <w:rFonts w:hAnsi="宋体"/>
          <w:szCs w:val="21"/>
        </w:rPr>
        <w:fldChar w:fldCharType="begin"/>
      </w:r>
      <w:r>
        <w:rPr>
          <w:rFonts w:hAnsi="宋体"/>
          <w:szCs w:val="21"/>
        </w:rPr>
        <w:instrText xml:space="preserve"> PAGEREF _Toc72489570 \h </w:instrText>
      </w:r>
      <w:r>
        <w:rPr>
          <w:rFonts w:hAnsi="宋体"/>
          <w:szCs w:val="21"/>
        </w:rPr>
        <w:fldChar w:fldCharType="separate"/>
      </w:r>
      <w:r>
        <w:rPr>
          <w:rFonts w:hAnsi="宋体"/>
          <w:szCs w:val="21"/>
        </w:rPr>
        <w:t>37</w:t>
      </w:r>
      <w:r>
        <w:rPr>
          <w:rFonts w:hAnsi="宋体"/>
          <w:szCs w:val="21"/>
        </w:rPr>
        <w:fldChar w:fldCharType="end"/>
      </w:r>
      <w:r>
        <w:rPr>
          <w:rFonts w:hAnsi="宋体"/>
          <w:szCs w:val="21"/>
        </w:rPr>
        <w:fldChar w:fldCharType="end"/>
      </w:r>
    </w:p>
    <w:p>
      <w:pPr>
        <w:pStyle w:val="14"/>
        <w:tabs>
          <w:tab w:val="right" w:leader="dot" w:pos="9060"/>
        </w:tabs>
        <w:spacing w:line="360" w:lineRule="auto"/>
        <w:rPr>
          <w:rFonts w:hAnsi="宋体" w:cstheme="minorBidi"/>
          <w:snapToGrid/>
          <w:kern w:val="2"/>
          <w:szCs w:val="21"/>
        </w:rPr>
      </w:pPr>
      <w:r>
        <w:fldChar w:fldCharType="begin"/>
      </w:r>
      <w:r>
        <w:instrText xml:space="preserve"> HYPERLINK \l "_Toc72489571" </w:instrText>
      </w:r>
      <w:r>
        <w:fldChar w:fldCharType="separate"/>
      </w:r>
      <w:r>
        <w:rPr>
          <w:rStyle w:val="33"/>
          <w:rFonts w:ascii="宋体" w:hAnsi="宋体" w:eastAsia="宋体"/>
          <w:color w:val="auto"/>
          <w:kern w:val="0"/>
          <w:szCs w:val="21"/>
        </w:rPr>
        <w:t>法定代表人授权委托书</w:t>
      </w:r>
      <w:r>
        <w:rPr>
          <w:rFonts w:hAnsi="宋体"/>
          <w:szCs w:val="21"/>
        </w:rPr>
        <w:tab/>
      </w:r>
      <w:r>
        <w:rPr>
          <w:rFonts w:hAnsi="宋体"/>
          <w:szCs w:val="21"/>
        </w:rPr>
        <w:fldChar w:fldCharType="begin"/>
      </w:r>
      <w:r>
        <w:rPr>
          <w:rFonts w:hAnsi="宋体"/>
          <w:szCs w:val="21"/>
        </w:rPr>
        <w:instrText xml:space="preserve"> PAGEREF _Toc72489571 \h </w:instrText>
      </w:r>
      <w:r>
        <w:rPr>
          <w:rFonts w:hAnsi="宋体"/>
          <w:szCs w:val="21"/>
        </w:rPr>
        <w:fldChar w:fldCharType="separate"/>
      </w:r>
      <w:r>
        <w:rPr>
          <w:rFonts w:hAnsi="宋体"/>
          <w:szCs w:val="21"/>
        </w:rPr>
        <w:t>38</w:t>
      </w:r>
      <w:r>
        <w:rPr>
          <w:rFonts w:hAnsi="宋体"/>
          <w:szCs w:val="21"/>
        </w:rPr>
        <w:fldChar w:fldCharType="end"/>
      </w:r>
      <w:r>
        <w:rPr>
          <w:rFonts w:hAnsi="宋体"/>
          <w:szCs w:val="21"/>
        </w:rPr>
        <w:fldChar w:fldCharType="end"/>
      </w:r>
    </w:p>
    <w:p>
      <w:pPr>
        <w:pStyle w:val="14"/>
        <w:tabs>
          <w:tab w:val="right" w:leader="dot" w:pos="9060"/>
        </w:tabs>
        <w:spacing w:line="360" w:lineRule="auto"/>
        <w:rPr>
          <w:rFonts w:hAnsi="宋体" w:cstheme="minorBidi"/>
          <w:snapToGrid/>
          <w:kern w:val="2"/>
          <w:szCs w:val="21"/>
        </w:rPr>
      </w:pPr>
      <w:r>
        <w:fldChar w:fldCharType="begin"/>
      </w:r>
      <w:r>
        <w:instrText xml:space="preserve"> HYPERLINK \l "_Toc72489572" </w:instrText>
      </w:r>
      <w:r>
        <w:fldChar w:fldCharType="separate"/>
      </w:r>
      <w:r>
        <w:rPr>
          <w:rStyle w:val="33"/>
          <w:rFonts w:ascii="宋体" w:hAnsi="宋体" w:eastAsia="宋体"/>
          <w:color w:val="auto"/>
          <w:kern w:val="0"/>
          <w:szCs w:val="21"/>
        </w:rPr>
        <w:t>供应商具备参加政府采购活动条件承诺书</w:t>
      </w:r>
      <w:r>
        <w:rPr>
          <w:rFonts w:hAnsi="宋体"/>
          <w:szCs w:val="21"/>
        </w:rPr>
        <w:tab/>
      </w:r>
      <w:r>
        <w:rPr>
          <w:rFonts w:hAnsi="宋体"/>
          <w:szCs w:val="21"/>
        </w:rPr>
        <w:fldChar w:fldCharType="begin"/>
      </w:r>
      <w:r>
        <w:rPr>
          <w:rFonts w:hAnsi="宋体"/>
          <w:szCs w:val="21"/>
        </w:rPr>
        <w:instrText xml:space="preserve"> PAGEREF _Toc72489572 \h </w:instrText>
      </w:r>
      <w:r>
        <w:rPr>
          <w:rFonts w:hAnsi="宋体"/>
          <w:szCs w:val="21"/>
        </w:rPr>
        <w:fldChar w:fldCharType="separate"/>
      </w:r>
      <w:r>
        <w:rPr>
          <w:rFonts w:hAnsi="宋体"/>
          <w:szCs w:val="21"/>
        </w:rPr>
        <w:t>39</w:t>
      </w:r>
      <w:r>
        <w:rPr>
          <w:rFonts w:hAnsi="宋体"/>
          <w:szCs w:val="21"/>
        </w:rPr>
        <w:fldChar w:fldCharType="end"/>
      </w:r>
      <w:r>
        <w:rPr>
          <w:rFonts w:hAnsi="宋体"/>
          <w:szCs w:val="21"/>
        </w:rPr>
        <w:fldChar w:fldCharType="end"/>
      </w:r>
    </w:p>
    <w:p>
      <w:pPr>
        <w:pStyle w:val="14"/>
        <w:tabs>
          <w:tab w:val="right" w:leader="dot" w:pos="9060"/>
        </w:tabs>
        <w:spacing w:line="360" w:lineRule="auto"/>
        <w:rPr>
          <w:rFonts w:hAnsi="宋体" w:cstheme="minorBidi"/>
          <w:snapToGrid/>
          <w:kern w:val="2"/>
          <w:szCs w:val="21"/>
        </w:rPr>
      </w:pPr>
      <w:r>
        <w:fldChar w:fldCharType="begin"/>
      </w:r>
      <w:r>
        <w:instrText xml:space="preserve"> HYPERLINK \l "_Toc72489573" </w:instrText>
      </w:r>
      <w:r>
        <w:fldChar w:fldCharType="separate"/>
      </w:r>
      <w:r>
        <w:rPr>
          <w:rStyle w:val="33"/>
          <w:rFonts w:ascii="宋体" w:hAnsi="宋体" w:eastAsia="宋体"/>
          <w:color w:val="auto"/>
          <w:kern w:val="0"/>
          <w:szCs w:val="21"/>
        </w:rPr>
        <w:t>《中小企业声明函》</w:t>
      </w:r>
      <w:r>
        <w:rPr>
          <w:rFonts w:hAnsi="宋体"/>
          <w:szCs w:val="21"/>
        </w:rPr>
        <w:tab/>
      </w:r>
      <w:r>
        <w:rPr>
          <w:rFonts w:hAnsi="宋体"/>
          <w:szCs w:val="21"/>
        </w:rPr>
        <w:fldChar w:fldCharType="begin"/>
      </w:r>
      <w:r>
        <w:rPr>
          <w:rFonts w:hAnsi="宋体"/>
          <w:szCs w:val="21"/>
        </w:rPr>
        <w:instrText xml:space="preserve"> PAGEREF _Toc72489573 \h </w:instrText>
      </w:r>
      <w:r>
        <w:rPr>
          <w:rFonts w:hAnsi="宋体"/>
          <w:szCs w:val="21"/>
        </w:rPr>
        <w:fldChar w:fldCharType="separate"/>
      </w:r>
      <w:r>
        <w:rPr>
          <w:rFonts w:hAnsi="宋体"/>
          <w:szCs w:val="21"/>
        </w:rPr>
        <w:t>40</w:t>
      </w:r>
      <w:r>
        <w:rPr>
          <w:rFonts w:hAnsi="宋体"/>
          <w:szCs w:val="21"/>
        </w:rPr>
        <w:fldChar w:fldCharType="end"/>
      </w:r>
      <w:r>
        <w:rPr>
          <w:rFonts w:hAnsi="宋体"/>
          <w:szCs w:val="21"/>
        </w:rPr>
        <w:fldChar w:fldCharType="end"/>
      </w:r>
    </w:p>
    <w:p>
      <w:pPr>
        <w:pStyle w:val="14"/>
        <w:tabs>
          <w:tab w:val="right" w:leader="dot" w:pos="9060"/>
        </w:tabs>
        <w:spacing w:line="360" w:lineRule="auto"/>
        <w:rPr>
          <w:rFonts w:hAnsi="宋体" w:cstheme="minorBidi"/>
          <w:snapToGrid/>
          <w:kern w:val="2"/>
          <w:szCs w:val="21"/>
        </w:rPr>
      </w:pPr>
      <w:r>
        <w:fldChar w:fldCharType="begin"/>
      </w:r>
      <w:r>
        <w:instrText xml:space="preserve"> HYPERLINK \l "_Toc72489574" </w:instrText>
      </w:r>
      <w:r>
        <w:fldChar w:fldCharType="separate"/>
      </w:r>
      <w:r>
        <w:rPr>
          <w:rStyle w:val="33"/>
          <w:rFonts w:ascii="宋体" w:hAnsi="宋体" w:eastAsia="宋体"/>
          <w:color w:val="auto"/>
          <w:kern w:val="0"/>
          <w:szCs w:val="21"/>
        </w:rPr>
        <w:t>《监狱企业证明文件》</w:t>
      </w:r>
      <w:r>
        <w:rPr>
          <w:rFonts w:hAnsi="宋体"/>
          <w:szCs w:val="21"/>
        </w:rPr>
        <w:tab/>
      </w:r>
      <w:r>
        <w:rPr>
          <w:rFonts w:hAnsi="宋体"/>
          <w:szCs w:val="21"/>
        </w:rPr>
        <w:fldChar w:fldCharType="begin"/>
      </w:r>
      <w:r>
        <w:rPr>
          <w:rFonts w:hAnsi="宋体"/>
          <w:szCs w:val="21"/>
        </w:rPr>
        <w:instrText xml:space="preserve"> PAGEREF _Toc72489574 \h </w:instrText>
      </w:r>
      <w:r>
        <w:rPr>
          <w:rFonts w:hAnsi="宋体"/>
          <w:szCs w:val="21"/>
        </w:rPr>
        <w:fldChar w:fldCharType="separate"/>
      </w:r>
      <w:r>
        <w:rPr>
          <w:rFonts w:hAnsi="宋体"/>
          <w:szCs w:val="21"/>
        </w:rPr>
        <w:t>41</w:t>
      </w:r>
      <w:r>
        <w:rPr>
          <w:rFonts w:hAnsi="宋体"/>
          <w:szCs w:val="21"/>
        </w:rPr>
        <w:fldChar w:fldCharType="end"/>
      </w:r>
      <w:r>
        <w:rPr>
          <w:rFonts w:hAnsi="宋体"/>
          <w:szCs w:val="21"/>
        </w:rPr>
        <w:fldChar w:fldCharType="end"/>
      </w:r>
    </w:p>
    <w:p>
      <w:pPr>
        <w:pStyle w:val="14"/>
        <w:tabs>
          <w:tab w:val="right" w:leader="dot" w:pos="9060"/>
        </w:tabs>
        <w:spacing w:line="360" w:lineRule="auto"/>
        <w:rPr>
          <w:rFonts w:hAnsi="宋体" w:cstheme="minorBidi"/>
          <w:snapToGrid/>
          <w:kern w:val="2"/>
          <w:szCs w:val="21"/>
        </w:rPr>
      </w:pPr>
      <w:r>
        <w:fldChar w:fldCharType="begin"/>
      </w:r>
      <w:r>
        <w:instrText xml:space="preserve"> HYPERLINK \l "_Toc72489575" </w:instrText>
      </w:r>
      <w:r>
        <w:fldChar w:fldCharType="separate"/>
      </w:r>
      <w:r>
        <w:rPr>
          <w:rStyle w:val="33"/>
          <w:rFonts w:ascii="宋体" w:hAnsi="宋体" w:eastAsia="宋体"/>
          <w:color w:val="auto"/>
          <w:kern w:val="0"/>
          <w:szCs w:val="21"/>
        </w:rPr>
        <w:t>《残疾人福利性单位声明函》</w:t>
      </w:r>
      <w:r>
        <w:rPr>
          <w:rFonts w:hAnsi="宋体"/>
          <w:szCs w:val="21"/>
        </w:rPr>
        <w:tab/>
      </w:r>
      <w:r>
        <w:rPr>
          <w:rFonts w:hAnsi="宋体"/>
          <w:szCs w:val="21"/>
        </w:rPr>
        <w:fldChar w:fldCharType="begin"/>
      </w:r>
      <w:r>
        <w:rPr>
          <w:rFonts w:hAnsi="宋体"/>
          <w:szCs w:val="21"/>
        </w:rPr>
        <w:instrText xml:space="preserve"> PAGEREF _Toc72489575 \h </w:instrText>
      </w:r>
      <w:r>
        <w:rPr>
          <w:rFonts w:hAnsi="宋体"/>
          <w:szCs w:val="21"/>
        </w:rPr>
        <w:fldChar w:fldCharType="separate"/>
      </w:r>
      <w:r>
        <w:rPr>
          <w:rFonts w:hAnsi="宋体"/>
          <w:szCs w:val="21"/>
        </w:rPr>
        <w:t>42</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"_Toc72489576" </w:instrText>
      </w:r>
      <w:r>
        <w:fldChar w:fldCharType="separate"/>
      </w:r>
      <w:r>
        <w:rPr>
          <w:rStyle w:val="33"/>
          <w:rFonts w:ascii="宋体" w:hAnsi="宋体" w:eastAsia="宋体"/>
          <w:color w:val="auto"/>
          <w:kern w:val="0"/>
          <w:szCs w:val="21"/>
        </w:rPr>
        <w:t>构成响应文件的其他资料</w:t>
      </w:r>
      <w:r>
        <w:rPr>
          <w:rFonts w:hAnsi="宋体"/>
          <w:szCs w:val="21"/>
        </w:rPr>
        <w:tab/>
      </w:r>
      <w:r>
        <w:rPr>
          <w:rFonts w:hAnsi="宋体"/>
          <w:szCs w:val="21"/>
        </w:rPr>
        <w:fldChar w:fldCharType="begin"/>
      </w:r>
      <w:r>
        <w:rPr>
          <w:rFonts w:hAnsi="宋体"/>
          <w:szCs w:val="21"/>
        </w:rPr>
        <w:instrText xml:space="preserve"> PAGEREF _Toc72489576 \h </w:instrText>
      </w:r>
      <w:r>
        <w:rPr>
          <w:rFonts w:hAnsi="宋体"/>
          <w:szCs w:val="21"/>
        </w:rPr>
        <w:fldChar w:fldCharType="separate"/>
      </w:r>
      <w:r>
        <w:rPr>
          <w:rFonts w:hAnsi="宋体"/>
          <w:szCs w:val="21"/>
        </w:rPr>
        <w:t>43</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"_Toc72489577" </w:instrText>
      </w:r>
      <w:r>
        <w:fldChar w:fldCharType="separate"/>
      </w:r>
      <w:r>
        <w:rPr>
          <w:rStyle w:val="33"/>
          <w:rFonts w:ascii="宋体" w:hAnsi="宋体" w:eastAsia="宋体"/>
          <w:color w:val="auto"/>
          <w:kern w:val="0"/>
          <w:szCs w:val="21"/>
        </w:rPr>
        <w:t>商务条款偏离表</w:t>
      </w:r>
      <w:r>
        <w:rPr>
          <w:rFonts w:hAnsi="宋体"/>
          <w:szCs w:val="21"/>
        </w:rPr>
        <w:tab/>
      </w:r>
      <w:r>
        <w:rPr>
          <w:rFonts w:hAnsi="宋体"/>
          <w:szCs w:val="21"/>
        </w:rPr>
        <w:fldChar w:fldCharType="begin"/>
      </w:r>
      <w:r>
        <w:rPr>
          <w:rFonts w:hAnsi="宋体"/>
          <w:szCs w:val="21"/>
        </w:rPr>
        <w:instrText xml:space="preserve"> PAGEREF _Toc72489577 \h </w:instrText>
      </w:r>
      <w:r>
        <w:rPr>
          <w:rFonts w:hAnsi="宋体"/>
          <w:szCs w:val="21"/>
        </w:rPr>
        <w:fldChar w:fldCharType="separate"/>
      </w:r>
      <w:r>
        <w:rPr>
          <w:rFonts w:hAnsi="宋体"/>
          <w:szCs w:val="21"/>
        </w:rPr>
        <w:t>44</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"_Toc72489578" </w:instrText>
      </w:r>
      <w:r>
        <w:fldChar w:fldCharType="separate"/>
      </w:r>
      <w:r>
        <w:rPr>
          <w:rStyle w:val="33"/>
          <w:rFonts w:ascii="宋体" w:hAnsi="宋体" w:eastAsia="宋体"/>
          <w:color w:val="auto"/>
          <w:kern w:val="0"/>
          <w:szCs w:val="21"/>
        </w:rPr>
        <w:t>数据中心建设方案</w:t>
      </w:r>
      <w:r>
        <w:rPr>
          <w:rFonts w:hAnsi="宋体"/>
          <w:szCs w:val="21"/>
        </w:rPr>
        <w:tab/>
      </w:r>
      <w:r>
        <w:rPr>
          <w:rFonts w:hAnsi="宋体"/>
          <w:szCs w:val="21"/>
        </w:rPr>
        <w:fldChar w:fldCharType="begin"/>
      </w:r>
      <w:r>
        <w:rPr>
          <w:rFonts w:hAnsi="宋体"/>
          <w:szCs w:val="21"/>
        </w:rPr>
        <w:instrText xml:space="preserve"> PAGEREF _Toc72489578 \h </w:instrText>
      </w:r>
      <w:r>
        <w:rPr>
          <w:rFonts w:hAnsi="宋体"/>
          <w:szCs w:val="21"/>
        </w:rPr>
        <w:fldChar w:fldCharType="separate"/>
      </w:r>
      <w:r>
        <w:rPr>
          <w:rFonts w:hAnsi="宋体"/>
          <w:szCs w:val="21"/>
        </w:rPr>
        <w:t>45</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"_Toc72489579" </w:instrText>
      </w:r>
      <w:r>
        <w:fldChar w:fldCharType="separate"/>
      </w:r>
      <w:r>
        <w:rPr>
          <w:rStyle w:val="33"/>
          <w:rFonts w:ascii="宋体" w:hAnsi="宋体" w:eastAsia="宋体"/>
          <w:color w:val="auto"/>
          <w:kern w:val="0"/>
          <w:szCs w:val="21"/>
        </w:rPr>
        <w:t>系统功能方案</w:t>
      </w:r>
      <w:r>
        <w:rPr>
          <w:rFonts w:hAnsi="宋体"/>
          <w:szCs w:val="21"/>
        </w:rPr>
        <w:tab/>
      </w:r>
      <w:r>
        <w:rPr>
          <w:rFonts w:hAnsi="宋体"/>
          <w:szCs w:val="21"/>
        </w:rPr>
        <w:fldChar w:fldCharType="begin"/>
      </w:r>
      <w:r>
        <w:rPr>
          <w:rFonts w:hAnsi="宋体"/>
          <w:szCs w:val="21"/>
        </w:rPr>
        <w:instrText xml:space="preserve"> PAGEREF _Toc72489579 \h </w:instrText>
      </w:r>
      <w:r>
        <w:rPr>
          <w:rFonts w:hAnsi="宋体"/>
          <w:szCs w:val="21"/>
        </w:rPr>
        <w:fldChar w:fldCharType="separate"/>
      </w:r>
      <w:r>
        <w:rPr>
          <w:rFonts w:hAnsi="宋体"/>
          <w:szCs w:val="21"/>
        </w:rPr>
        <w:t>45</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"_Toc72489580" </w:instrText>
      </w:r>
      <w:r>
        <w:fldChar w:fldCharType="separate"/>
      </w:r>
      <w:r>
        <w:rPr>
          <w:rStyle w:val="33"/>
          <w:rFonts w:ascii="宋体" w:hAnsi="宋体" w:eastAsia="宋体"/>
          <w:color w:val="auto"/>
          <w:kern w:val="0"/>
          <w:szCs w:val="21"/>
        </w:rPr>
        <w:t>数据中心平台信息安全、保密措施</w:t>
      </w:r>
      <w:r>
        <w:rPr>
          <w:rFonts w:hAnsi="宋体"/>
          <w:szCs w:val="21"/>
        </w:rPr>
        <w:tab/>
      </w:r>
      <w:r>
        <w:rPr>
          <w:rFonts w:hAnsi="宋体"/>
          <w:szCs w:val="21"/>
        </w:rPr>
        <w:fldChar w:fldCharType="begin"/>
      </w:r>
      <w:r>
        <w:rPr>
          <w:rFonts w:hAnsi="宋体"/>
          <w:szCs w:val="21"/>
        </w:rPr>
        <w:instrText xml:space="preserve"> PAGEREF _Toc72489580 \h </w:instrText>
      </w:r>
      <w:r>
        <w:rPr>
          <w:rFonts w:hAnsi="宋体"/>
          <w:szCs w:val="21"/>
        </w:rPr>
        <w:fldChar w:fldCharType="separate"/>
      </w:r>
      <w:r>
        <w:rPr>
          <w:rFonts w:hAnsi="宋体"/>
          <w:szCs w:val="21"/>
        </w:rPr>
        <w:t>45</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"_Toc72489581" </w:instrText>
      </w:r>
      <w:r>
        <w:fldChar w:fldCharType="separate"/>
      </w:r>
      <w:r>
        <w:rPr>
          <w:rStyle w:val="33"/>
          <w:rFonts w:ascii="宋体" w:hAnsi="宋体" w:eastAsia="宋体"/>
          <w:color w:val="auto"/>
          <w:kern w:val="0"/>
          <w:szCs w:val="21"/>
        </w:rPr>
        <w:t>时间进度计划安排</w:t>
      </w:r>
      <w:r>
        <w:rPr>
          <w:rFonts w:hAnsi="宋体"/>
          <w:szCs w:val="21"/>
        </w:rPr>
        <w:tab/>
      </w:r>
      <w:r>
        <w:rPr>
          <w:rFonts w:hAnsi="宋体"/>
          <w:szCs w:val="21"/>
        </w:rPr>
        <w:fldChar w:fldCharType="begin"/>
      </w:r>
      <w:r>
        <w:rPr>
          <w:rFonts w:hAnsi="宋体"/>
          <w:szCs w:val="21"/>
        </w:rPr>
        <w:instrText xml:space="preserve"> PAGEREF _Toc72489581 \h </w:instrText>
      </w:r>
      <w:r>
        <w:rPr>
          <w:rFonts w:hAnsi="宋体"/>
          <w:szCs w:val="21"/>
        </w:rPr>
        <w:fldChar w:fldCharType="separate"/>
      </w:r>
      <w:r>
        <w:rPr>
          <w:rFonts w:hAnsi="宋体"/>
          <w:szCs w:val="21"/>
        </w:rPr>
        <w:t>45</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"_Toc72489582" </w:instrText>
      </w:r>
      <w:r>
        <w:fldChar w:fldCharType="separate"/>
      </w:r>
      <w:r>
        <w:rPr>
          <w:rStyle w:val="33"/>
          <w:rFonts w:ascii="宋体" w:hAnsi="宋体" w:eastAsia="宋体"/>
          <w:color w:val="auto"/>
          <w:kern w:val="0"/>
          <w:szCs w:val="21"/>
        </w:rPr>
        <w:t>供应商综合能力</w:t>
      </w:r>
      <w:r>
        <w:rPr>
          <w:rFonts w:hAnsi="宋体"/>
          <w:szCs w:val="21"/>
        </w:rPr>
        <w:tab/>
      </w:r>
      <w:r>
        <w:rPr>
          <w:rFonts w:hAnsi="宋体"/>
          <w:szCs w:val="21"/>
        </w:rPr>
        <w:fldChar w:fldCharType="begin"/>
      </w:r>
      <w:r>
        <w:rPr>
          <w:rFonts w:hAnsi="宋体"/>
          <w:szCs w:val="21"/>
        </w:rPr>
        <w:instrText xml:space="preserve"> PAGEREF _Toc72489582 \h </w:instrText>
      </w:r>
      <w:r>
        <w:rPr>
          <w:rFonts w:hAnsi="宋体"/>
          <w:szCs w:val="21"/>
        </w:rPr>
        <w:fldChar w:fldCharType="separate"/>
      </w:r>
      <w:r>
        <w:rPr>
          <w:rFonts w:hAnsi="宋体"/>
          <w:szCs w:val="21"/>
        </w:rPr>
        <w:t>45</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"_Toc72489583" </w:instrText>
      </w:r>
      <w:r>
        <w:fldChar w:fldCharType="separate"/>
      </w:r>
      <w:r>
        <w:rPr>
          <w:rStyle w:val="33"/>
          <w:rFonts w:ascii="宋体" w:hAnsi="宋体" w:eastAsia="宋体"/>
          <w:color w:val="auto"/>
          <w:kern w:val="0"/>
          <w:szCs w:val="21"/>
        </w:rPr>
        <w:t>拟派往本项目的项目成员</w:t>
      </w:r>
      <w:r>
        <w:rPr>
          <w:rFonts w:hAnsi="宋体"/>
          <w:szCs w:val="21"/>
        </w:rPr>
        <w:tab/>
      </w:r>
      <w:r>
        <w:rPr>
          <w:rFonts w:hAnsi="宋体"/>
          <w:szCs w:val="21"/>
        </w:rPr>
        <w:fldChar w:fldCharType="begin"/>
      </w:r>
      <w:r>
        <w:rPr>
          <w:rFonts w:hAnsi="宋体"/>
          <w:szCs w:val="21"/>
        </w:rPr>
        <w:instrText xml:space="preserve"> PAGEREF _Toc72489583 \h </w:instrText>
      </w:r>
      <w:r>
        <w:rPr>
          <w:rFonts w:hAnsi="宋体"/>
          <w:szCs w:val="21"/>
        </w:rPr>
        <w:fldChar w:fldCharType="separate"/>
      </w:r>
      <w:r>
        <w:rPr>
          <w:rFonts w:hAnsi="宋体"/>
          <w:szCs w:val="21"/>
        </w:rPr>
        <w:t>46</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"_Toc72489584" </w:instrText>
      </w:r>
      <w:r>
        <w:fldChar w:fldCharType="separate"/>
      </w:r>
      <w:r>
        <w:rPr>
          <w:rStyle w:val="33"/>
          <w:rFonts w:ascii="宋体" w:hAnsi="宋体" w:eastAsia="宋体"/>
          <w:color w:val="auto"/>
          <w:kern w:val="0"/>
          <w:szCs w:val="21"/>
        </w:rPr>
        <w:t>服务承诺</w:t>
      </w:r>
      <w:r>
        <w:rPr>
          <w:rFonts w:hAnsi="宋体"/>
          <w:szCs w:val="21"/>
        </w:rPr>
        <w:tab/>
      </w:r>
      <w:r>
        <w:rPr>
          <w:rFonts w:hAnsi="宋体"/>
          <w:szCs w:val="21"/>
        </w:rPr>
        <w:fldChar w:fldCharType="begin"/>
      </w:r>
      <w:r>
        <w:rPr>
          <w:rFonts w:hAnsi="宋体"/>
          <w:szCs w:val="21"/>
        </w:rPr>
        <w:instrText xml:space="preserve"> PAGEREF _Toc72489584 \h </w:instrText>
      </w:r>
      <w:r>
        <w:rPr>
          <w:rFonts w:hAnsi="宋体"/>
          <w:szCs w:val="21"/>
        </w:rPr>
        <w:fldChar w:fldCharType="separate"/>
      </w:r>
      <w:r>
        <w:rPr>
          <w:rFonts w:hAnsi="宋体"/>
          <w:szCs w:val="21"/>
        </w:rPr>
        <w:t>46</w:t>
      </w:r>
      <w:r>
        <w:rPr>
          <w:rFonts w:hAnsi="宋体"/>
          <w:szCs w:val="21"/>
        </w:rPr>
        <w:fldChar w:fldCharType="end"/>
      </w:r>
      <w:r>
        <w:rPr>
          <w:rFonts w:hAnsi="宋体"/>
          <w:szCs w:val="21"/>
        </w:rP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"_Toc72489585" </w:instrText>
      </w:r>
      <w:r>
        <w:fldChar w:fldCharType="separate"/>
      </w:r>
      <w:r>
        <w:rPr>
          <w:rStyle w:val="33"/>
          <w:rFonts w:ascii="宋体" w:hAnsi="宋体" w:eastAsia="宋体"/>
          <w:color w:val="auto"/>
          <w:kern w:val="0"/>
          <w:szCs w:val="21"/>
        </w:rPr>
        <w:t>类似项目业绩列表</w:t>
      </w:r>
      <w:r>
        <w:rPr>
          <w:rFonts w:hAnsi="宋体"/>
          <w:szCs w:val="21"/>
        </w:rPr>
        <w:tab/>
      </w:r>
      <w:r>
        <w:rPr>
          <w:rFonts w:hAnsi="宋体"/>
          <w:szCs w:val="21"/>
        </w:rPr>
        <w:fldChar w:fldCharType="begin"/>
      </w:r>
      <w:r>
        <w:rPr>
          <w:rFonts w:hAnsi="宋体"/>
          <w:szCs w:val="21"/>
        </w:rPr>
        <w:instrText xml:space="preserve"> PAGEREF _Toc72489585 \h </w:instrText>
      </w:r>
      <w:r>
        <w:rPr>
          <w:rFonts w:hAnsi="宋体"/>
          <w:szCs w:val="21"/>
        </w:rPr>
        <w:fldChar w:fldCharType="separate"/>
      </w:r>
      <w:r>
        <w:rPr>
          <w:rFonts w:hAnsi="宋体"/>
          <w:szCs w:val="21"/>
        </w:rPr>
        <w:t>46</w:t>
      </w:r>
      <w:r>
        <w:rPr>
          <w:rFonts w:hAnsi="宋体"/>
          <w:szCs w:val="21"/>
        </w:rPr>
        <w:fldChar w:fldCharType="end"/>
      </w:r>
      <w:r>
        <w:rPr>
          <w:rFonts w:hAnsi="宋体"/>
          <w:szCs w:val="21"/>
        </w:rPr>
        <w:fldChar w:fldCharType="end"/>
      </w:r>
    </w:p>
    <w:p>
      <w:pPr>
        <w:pStyle w:val="21"/>
        <w:rPr>
          <w:rFonts w:cstheme="minorBidi"/>
          <w:snapToGrid/>
          <w:kern w:val="2"/>
          <w:lang w:val="en-US" w:eastAsia="zh-CN"/>
        </w:rPr>
      </w:pPr>
      <w:r>
        <w:fldChar w:fldCharType="begin"/>
      </w:r>
      <w:r>
        <w:instrText xml:space="preserve"> HYPERLINK \l "_Toc72489586" </w:instrText>
      </w:r>
      <w:r>
        <w:fldChar w:fldCharType="separate"/>
      </w:r>
      <w:r>
        <w:rPr>
          <w:rStyle w:val="33"/>
          <w:rFonts w:ascii="宋体" w:hAnsi="宋体" w:eastAsia="宋体"/>
          <w:color w:val="auto"/>
        </w:rPr>
        <w:t>第五章  采购需求</w:t>
      </w:r>
      <w:r>
        <w:tab/>
      </w:r>
      <w:r>
        <w:fldChar w:fldCharType="begin"/>
      </w:r>
      <w:r>
        <w:instrText xml:space="preserve"> PAGEREF _Toc72489586 \h </w:instrText>
      </w:r>
      <w:r>
        <w:fldChar w:fldCharType="separate"/>
      </w:r>
      <w:r>
        <w:t>47</w:t>
      </w:r>
      <w:r>
        <w:fldChar w:fldCharType="end"/>
      </w:r>
      <w: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"_Toc72489587" </w:instrText>
      </w:r>
      <w:r>
        <w:fldChar w:fldCharType="separate"/>
      </w:r>
      <w:r>
        <w:rPr>
          <w:rStyle w:val="33"/>
          <w:rFonts w:ascii="宋体" w:hAnsi="宋体" w:eastAsia="宋体"/>
          <w:color w:val="auto"/>
          <w:szCs w:val="21"/>
        </w:rPr>
        <w:t>一、采购标的需实现的功能或者目标，以及为落实政府采购政策需满足的要求</w:t>
      </w:r>
      <w:r>
        <w:rPr>
          <w:rFonts w:hAnsi="宋体"/>
          <w:szCs w:val="21"/>
        </w:rPr>
        <w:tab/>
      </w:r>
      <w:r>
        <w:rPr>
          <w:rFonts w:hAnsi="宋体"/>
          <w:szCs w:val="21"/>
        </w:rPr>
        <w:fldChar w:fldCharType="begin"/>
      </w:r>
      <w:r>
        <w:rPr>
          <w:rFonts w:hAnsi="宋体"/>
          <w:szCs w:val="21"/>
        </w:rPr>
        <w:instrText xml:space="preserve"> PAGEREF _Toc72489587 \h </w:instrText>
      </w:r>
      <w:r>
        <w:rPr>
          <w:rFonts w:hAnsi="宋体"/>
          <w:szCs w:val="21"/>
        </w:rPr>
        <w:fldChar w:fldCharType="separate"/>
      </w:r>
      <w:r>
        <w:rPr>
          <w:rFonts w:hAnsi="宋体"/>
          <w:szCs w:val="21"/>
        </w:rPr>
        <w:t>48</w:t>
      </w:r>
      <w:r>
        <w:rPr>
          <w:rFonts w:hAnsi="宋体"/>
          <w:szCs w:val="21"/>
        </w:rPr>
        <w:fldChar w:fldCharType="end"/>
      </w:r>
      <w:r>
        <w:rPr>
          <w:rFonts w:hAnsi="宋体"/>
          <w:szCs w:val="21"/>
        </w:rP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"_Toc72489588" </w:instrText>
      </w:r>
      <w:r>
        <w:fldChar w:fldCharType="separate"/>
      </w:r>
      <w:r>
        <w:rPr>
          <w:rStyle w:val="33"/>
          <w:rFonts w:ascii="宋体" w:hAnsi="宋体" w:eastAsia="宋体"/>
          <w:color w:val="auto"/>
          <w:szCs w:val="21"/>
        </w:rPr>
        <w:t>二、采购标的需执行的国家相关标准、行业标准、地方标准或者其他标准、规范</w:t>
      </w:r>
      <w:r>
        <w:rPr>
          <w:rFonts w:hAnsi="宋体"/>
          <w:szCs w:val="21"/>
        </w:rPr>
        <w:tab/>
      </w:r>
      <w:r>
        <w:rPr>
          <w:rFonts w:hAnsi="宋体"/>
          <w:szCs w:val="21"/>
        </w:rPr>
        <w:fldChar w:fldCharType="begin"/>
      </w:r>
      <w:r>
        <w:rPr>
          <w:rFonts w:hAnsi="宋体"/>
          <w:szCs w:val="21"/>
        </w:rPr>
        <w:instrText xml:space="preserve"> PAGEREF _Toc72489588 \h </w:instrText>
      </w:r>
      <w:r>
        <w:rPr>
          <w:rFonts w:hAnsi="宋体"/>
          <w:szCs w:val="21"/>
        </w:rPr>
        <w:fldChar w:fldCharType="separate"/>
      </w:r>
      <w:r>
        <w:rPr>
          <w:rFonts w:hAnsi="宋体"/>
          <w:szCs w:val="21"/>
        </w:rPr>
        <w:t>48</w:t>
      </w:r>
      <w:r>
        <w:rPr>
          <w:rFonts w:hAnsi="宋体"/>
          <w:szCs w:val="21"/>
        </w:rPr>
        <w:fldChar w:fldCharType="end"/>
      </w:r>
      <w:r>
        <w:rPr>
          <w:rFonts w:hAnsi="宋体"/>
          <w:szCs w:val="21"/>
        </w:rP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"_Toc72489589" </w:instrText>
      </w:r>
      <w:r>
        <w:fldChar w:fldCharType="separate"/>
      </w:r>
      <w:r>
        <w:rPr>
          <w:rStyle w:val="33"/>
          <w:rFonts w:ascii="宋体" w:hAnsi="宋体" w:eastAsia="宋体"/>
          <w:color w:val="auto"/>
          <w:szCs w:val="21"/>
        </w:rPr>
        <w:t>三、采购标的需满足的质量、安全、技术规格、物理特性等要求</w:t>
      </w:r>
      <w:r>
        <w:rPr>
          <w:rFonts w:hAnsi="宋体"/>
          <w:szCs w:val="21"/>
        </w:rPr>
        <w:tab/>
      </w:r>
      <w:r>
        <w:rPr>
          <w:rFonts w:hAnsi="宋体"/>
          <w:szCs w:val="21"/>
        </w:rPr>
        <w:fldChar w:fldCharType="begin"/>
      </w:r>
      <w:r>
        <w:rPr>
          <w:rFonts w:hAnsi="宋体"/>
          <w:szCs w:val="21"/>
        </w:rPr>
        <w:instrText xml:space="preserve"> PAGEREF _Toc72489589 \h </w:instrText>
      </w:r>
      <w:r>
        <w:rPr>
          <w:rFonts w:hAnsi="宋体"/>
          <w:szCs w:val="21"/>
        </w:rPr>
        <w:fldChar w:fldCharType="separate"/>
      </w:r>
      <w:r>
        <w:rPr>
          <w:rFonts w:hAnsi="宋体"/>
          <w:szCs w:val="21"/>
        </w:rPr>
        <w:t>48</w:t>
      </w:r>
      <w:r>
        <w:rPr>
          <w:rFonts w:hAnsi="宋体"/>
          <w:szCs w:val="21"/>
        </w:rPr>
        <w:fldChar w:fldCharType="end"/>
      </w:r>
      <w:r>
        <w:rPr>
          <w:rFonts w:hAnsi="宋体"/>
          <w:szCs w:val="21"/>
        </w:rP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"_Toc72489590" </w:instrText>
      </w:r>
      <w:r>
        <w:fldChar w:fldCharType="separate"/>
      </w:r>
      <w:r>
        <w:rPr>
          <w:rStyle w:val="33"/>
          <w:rFonts w:ascii="宋体" w:hAnsi="宋体" w:eastAsia="宋体"/>
          <w:color w:val="auto"/>
          <w:szCs w:val="21"/>
        </w:rPr>
        <w:t>四、采购标的的数量、采购项目交付或者实施的时间和地点</w:t>
      </w:r>
      <w:r>
        <w:rPr>
          <w:rFonts w:hAnsi="宋体"/>
          <w:szCs w:val="21"/>
        </w:rPr>
        <w:tab/>
      </w:r>
      <w:r>
        <w:rPr>
          <w:rFonts w:hAnsi="宋体"/>
          <w:szCs w:val="21"/>
        </w:rPr>
        <w:fldChar w:fldCharType="begin"/>
      </w:r>
      <w:r>
        <w:rPr>
          <w:rFonts w:hAnsi="宋体"/>
          <w:szCs w:val="21"/>
        </w:rPr>
        <w:instrText xml:space="preserve"> PAGEREF _Toc72489590 \h </w:instrText>
      </w:r>
      <w:r>
        <w:rPr>
          <w:rFonts w:hAnsi="宋体"/>
          <w:szCs w:val="21"/>
        </w:rPr>
        <w:fldChar w:fldCharType="separate"/>
      </w:r>
      <w:r>
        <w:rPr>
          <w:rFonts w:hAnsi="宋体"/>
          <w:szCs w:val="21"/>
        </w:rPr>
        <w:t>48</w:t>
      </w:r>
      <w:r>
        <w:rPr>
          <w:rFonts w:hAnsi="宋体"/>
          <w:szCs w:val="21"/>
        </w:rPr>
        <w:fldChar w:fldCharType="end"/>
      </w:r>
      <w:r>
        <w:rPr>
          <w:rFonts w:hAnsi="宋体"/>
          <w:szCs w:val="21"/>
        </w:rP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"_Toc72489591" </w:instrText>
      </w:r>
      <w:r>
        <w:fldChar w:fldCharType="separate"/>
      </w:r>
      <w:r>
        <w:rPr>
          <w:rStyle w:val="33"/>
          <w:rFonts w:ascii="宋体" w:hAnsi="宋体" w:eastAsia="宋体"/>
          <w:color w:val="auto"/>
          <w:szCs w:val="21"/>
        </w:rPr>
        <w:t>五、采购标的需满足的服务标准、期限、效率等要求</w:t>
      </w:r>
      <w:r>
        <w:rPr>
          <w:rFonts w:hAnsi="宋体"/>
          <w:szCs w:val="21"/>
        </w:rPr>
        <w:tab/>
      </w:r>
      <w:r>
        <w:rPr>
          <w:rFonts w:hAnsi="宋体"/>
          <w:szCs w:val="21"/>
        </w:rPr>
        <w:fldChar w:fldCharType="begin"/>
      </w:r>
      <w:r>
        <w:rPr>
          <w:rFonts w:hAnsi="宋体"/>
          <w:szCs w:val="21"/>
        </w:rPr>
        <w:instrText xml:space="preserve"> PAGEREF _Toc72489591 \h </w:instrText>
      </w:r>
      <w:r>
        <w:rPr>
          <w:rFonts w:hAnsi="宋体"/>
          <w:szCs w:val="21"/>
        </w:rPr>
        <w:fldChar w:fldCharType="separate"/>
      </w:r>
      <w:r>
        <w:rPr>
          <w:rFonts w:hAnsi="宋体"/>
          <w:szCs w:val="21"/>
        </w:rPr>
        <w:t>48</w:t>
      </w:r>
      <w:r>
        <w:rPr>
          <w:rFonts w:hAnsi="宋体"/>
          <w:szCs w:val="21"/>
        </w:rPr>
        <w:fldChar w:fldCharType="end"/>
      </w:r>
      <w:r>
        <w:rPr>
          <w:rFonts w:hAnsi="宋体"/>
          <w:szCs w:val="21"/>
        </w:rP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"_Toc72489592" </w:instrText>
      </w:r>
      <w:r>
        <w:fldChar w:fldCharType="separate"/>
      </w:r>
      <w:r>
        <w:rPr>
          <w:rStyle w:val="33"/>
          <w:rFonts w:ascii="宋体" w:hAnsi="宋体" w:eastAsia="宋体"/>
          <w:color w:val="auto"/>
          <w:szCs w:val="21"/>
        </w:rPr>
        <w:t>六、采购标的的验收标准</w:t>
      </w:r>
      <w:r>
        <w:rPr>
          <w:rFonts w:hAnsi="宋体"/>
          <w:szCs w:val="21"/>
        </w:rPr>
        <w:tab/>
      </w:r>
      <w:r>
        <w:rPr>
          <w:rFonts w:hAnsi="宋体"/>
          <w:szCs w:val="21"/>
        </w:rPr>
        <w:fldChar w:fldCharType="begin"/>
      </w:r>
      <w:r>
        <w:rPr>
          <w:rFonts w:hAnsi="宋体"/>
          <w:szCs w:val="21"/>
        </w:rPr>
        <w:instrText xml:space="preserve"> PAGEREF _Toc72489592 \h </w:instrText>
      </w:r>
      <w:r>
        <w:rPr>
          <w:rFonts w:hAnsi="宋体"/>
          <w:szCs w:val="21"/>
        </w:rPr>
        <w:fldChar w:fldCharType="separate"/>
      </w:r>
      <w:r>
        <w:rPr>
          <w:rFonts w:hAnsi="宋体"/>
          <w:szCs w:val="21"/>
        </w:rPr>
        <w:t>48</w:t>
      </w:r>
      <w:r>
        <w:rPr>
          <w:rFonts w:hAnsi="宋体"/>
          <w:szCs w:val="21"/>
        </w:rPr>
        <w:fldChar w:fldCharType="end"/>
      </w:r>
      <w:r>
        <w:rPr>
          <w:rFonts w:hAnsi="宋体"/>
          <w:szCs w:val="21"/>
        </w:rPr>
        <w:fldChar w:fldCharType="end"/>
      </w:r>
    </w:p>
    <w:p>
      <w:pPr>
        <w:pStyle w:val="14"/>
        <w:tabs>
          <w:tab w:val="right" w:leader="dot" w:pos="9060"/>
        </w:tabs>
        <w:spacing w:line="360" w:lineRule="auto"/>
        <w:ind w:left="424" w:leftChars="202"/>
        <w:rPr>
          <w:rFonts w:hAnsi="宋体" w:cstheme="minorBidi"/>
          <w:snapToGrid/>
          <w:kern w:val="2"/>
          <w:szCs w:val="21"/>
        </w:rPr>
      </w:pPr>
      <w:r>
        <w:fldChar w:fldCharType="begin"/>
      </w:r>
      <w:r>
        <w:instrText xml:space="preserve"> HYPERLINK \l "_Toc72489593" </w:instrText>
      </w:r>
      <w:r>
        <w:fldChar w:fldCharType="separate"/>
      </w:r>
      <w:r>
        <w:rPr>
          <w:rStyle w:val="33"/>
          <w:rFonts w:ascii="宋体" w:hAnsi="宋体" w:eastAsia="宋体"/>
          <w:color w:val="auto"/>
          <w:szCs w:val="21"/>
        </w:rPr>
        <w:t>七、技术附件</w:t>
      </w:r>
      <w:r>
        <w:rPr>
          <w:rFonts w:hAnsi="宋体"/>
          <w:szCs w:val="21"/>
        </w:rPr>
        <w:tab/>
      </w:r>
      <w:r>
        <w:rPr>
          <w:rFonts w:hAnsi="宋体"/>
          <w:szCs w:val="21"/>
        </w:rPr>
        <w:fldChar w:fldCharType="begin"/>
      </w:r>
      <w:r>
        <w:rPr>
          <w:rFonts w:hAnsi="宋体"/>
          <w:szCs w:val="21"/>
        </w:rPr>
        <w:instrText xml:space="preserve"> PAGEREF _Toc72489593 \h </w:instrText>
      </w:r>
      <w:r>
        <w:rPr>
          <w:rFonts w:hAnsi="宋体"/>
          <w:szCs w:val="21"/>
        </w:rPr>
        <w:fldChar w:fldCharType="separate"/>
      </w:r>
      <w:r>
        <w:rPr>
          <w:rFonts w:hAnsi="宋体"/>
          <w:szCs w:val="21"/>
        </w:rPr>
        <w:t>48</w:t>
      </w:r>
      <w:r>
        <w:rPr>
          <w:rFonts w:hAnsi="宋体"/>
          <w:szCs w:val="21"/>
        </w:rPr>
        <w:fldChar w:fldCharType="end"/>
      </w:r>
      <w:r>
        <w:rPr>
          <w:rFonts w:hAnsi="宋体"/>
          <w:szCs w:val="21"/>
        </w:rPr>
        <w:fldChar w:fldCharType="end"/>
      </w:r>
    </w:p>
    <w:p>
      <w:pPr>
        <w:pStyle w:val="21"/>
        <w:rPr>
          <w:rFonts w:cstheme="minorBidi"/>
          <w:snapToGrid/>
          <w:kern w:val="2"/>
          <w:lang w:val="en-US" w:eastAsia="zh-CN"/>
        </w:rPr>
      </w:pPr>
      <w:r>
        <w:fldChar w:fldCharType="begin"/>
      </w:r>
      <w:r>
        <w:instrText xml:space="preserve"> HYPERLINK \l "_Toc72489594" </w:instrText>
      </w:r>
      <w:r>
        <w:fldChar w:fldCharType="separate"/>
      </w:r>
      <w:r>
        <w:rPr>
          <w:rStyle w:val="33"/>
          <w:rFonts w:ascii="宋体" w:hAnsi="宋体" w:eastAsia="宋体"/>
          <w:color w:val="auto"/>
        </w:rPr>
        <w:t>第六章  评审方法</w:t>
      </w:r>
      <w:r>
        <w:tab/>
      </w:r>
      <w:r>
        <w:fldChar w:fldCharType="begin"/>
      </w:r>
      <w:r>
        <w:instrText xml:space="preserve"> PAGEREF _Toc72489594 \h </w:instrText>
      </w:r>
      <w:r>
        <w:fldChar w:fldCharType="separate"/>
      </w:r>
      <w:r>
        <w:t>52</w:t>
      </w:r>
      <w:r>
        <w:fldChar w:fldCharType="end"/>
      </w:r>
      <w:r>
        <w:fldChar w:fldCharType="end"/>
      </w:r>
    </w:p>
    <w:p>
      <w:pPr>
        <w:pStyle w:val="24"/>
        <w:tabs>
          <w:tab w:val="right" w:leader="dot" w:pos="9060"/>
        </w:tabs>
        <w:spacing w:line="360" w:lineRule="auto"/>
        <w:rPr>
          <w:rFonts w:hAnsi="宋体" w:cstheme="minorBidi"/>
          <w:snapToGrid/>
          <w:kern w:val="2"/>
          <w:szCs w:val="21"/>
        </w:rPr>
      </w:pPr>
      <w:r>
        <w:fldChar w:fldCharType="begin"/>
      </w:r>
      <w:r>
        <w:instrText xml:space="preserve"> HYPERLINK \l "_Toc72489595" </w:instrText>
      </w:r>
      <w:r>
        <w:fldChar w:fldCharType="separate"/>
      </w:r>
      <w:r>
        <w:rPr>
          <w:rStyle w:val="33"/>
          <w:rFonts w:ascii="宋体" w:hAnsi="宋体" w:eastAsia="宋体"/>
          <w:color w:val="auto"/>
          <w:szCs w:val="21"/>
        </w:rPr>
        <w:t>评审方法前附表</w:t>
      </w:r>
      <w:r>
        <w:rPr>
          <w:rFonts w:hAnsi="宋体"/>
          <w:szCs w:val="21"/>
        </w:rPr>
        <w:tab/>
      </w:r>
      <w:r>
        <w:rPr>
          <w:rFonts w:hAnsi="宋体"/>
          <w:szCs w:val="21"/>
        </w:rPr>
        <w:fldChar w:fldCharType="begin"/>
      </w:r>
      <w:r>
        <w:rPr>
          <w:rFonts w:hAnsi="宋体"/>
          <w:szCs w:val="21"/>
        </w:rPr>
        <w:instrText xml:space="preserve"> PAGEREF _Toc72489595 \h </w:instrText>
      </w:r>
      <w:r>
        <w:rPr>
          <w:rFonts w:hAnsi="宋体"/>
          <w:szCs w:val="21"/>
        </w:rPr>
        <w:fldChar w:fldCharType="separate"/>
      </w:r>
      <w:r>
        <w:rPr>
          <w:rFonts w:hAnsi="宋体"/>
          <w:szCs w:val="21"/>
        </w:rPr>
        <w:t>52</w:t>
      </w:r>
      <w:r>
        <w:rPr>
          <w:rFonts w:hAnsi="宋体"/>
          <w:szCs w:val="21"/>
        </w:rPr>
        <w:fldChar w:fldCharType="end"/>
      </w:r>
      <w:r>
        <w:rPr>
          <w:rFonts w:hAnsi="宋体"/>
          <w:szCs w:val="21"/>
        </w:rPr>
        <w:fldChar w:fldCharType="end"/>
      </w:r>
    </w:p>
    <w:p>
      <w:pPr>
        <w:pStyle w:val="14"/>
        <w:tabs>
          <w:tab w:val="right" w:leader="dot" w:pos="9060"/>
        </w:tabs>
        <w:spacing w:line="360" w:lineRule="auto"/>
        <w:rPr>
          <w:rFonts w:hAnsi="宋体" w:cstheme="minorBidi"/>
          <w:snapToGrid/>
          <w:kern w:val="2"/>
          <w:szCs w:val="21"/>
        </w:rPr>
      </w:pPr>
      <w:r>
        <w:fldChar w:fldCharType="begin"/>
      </w:r>
      <w:r>
        <w:instrText xml:space="preserve"> HYPERLINK \l "_Toc72489596" </w:instrText>
      </w:r>
      <w:r>
        <w:fldChar w:fldCharType="separate"/>
      </w:r>
      <w:r>
        <w:rPr>
          <w:rStyle w:val="33"/>
          <w:rFonts w:ascii="宋体" w:hAnsi="宋体" w:eastAsia="宋体"/>
          <w:color w:val="auto"/>
          <w:szCs w:val="21"/>
        </w:rPr>
        <w:t>1、评审原则及方法</w:t>
      </w:r>
      <w:r>
        <w:rPr>
          <w:rFonts w:hAnsi="宋体"/>
          <w:szCs w:val="21"/>
        </w:rPr>
        <w:tab/>
      </w:r>
      <w:r>
        <w:rPr>
          <w:rFonts w:hAnsi="宋体"/>
          <w:szCs w:val="21"/>
        </w:rPr>
        <w:fldChar w:fldCharType="begin"/>
      </w:r>
      <w:r>
        <w:rPr>
          <w:rFonts w:hAnsi="宋体"/>
          <w:szCs w:val="21"/>
        </w:rPr>
        <w:instrText xml:space="preserve"> PAGEREF _Toc72489596 \h </w:instrText>
      </w:r>
      <w:r>
        <w:rPr>
          <w:rFonts w:hAnsi="宋体"/>
          <w:szCs w:val="21"/>
        </w:rPr>
        <w:fldChar w:fldCharType="separate"/>
      </w:r>
      <w:r>
        <w:rPr>
          <w:rFonts w:hAnsi="宋体"/>
          <w:szCs w:val="21"/>
        </w:rPr>
        <w:t>56</w:t>
      </w:r>
      <w:r>
        <w:rPr>
          <w:rFonts w:hAnsi="宋体"/>
          <w:szCs w:val="21"/>
        </w:rPr>
        <w:fldChar w:fldCharType="end"/>
      </w:r>
      <w:r>
        <w:rPr>
          <w:rFonts w:hAnsi="宋体"/>
          <w:szCs w:val="21"/>
        </w:rPr>
        <w:fldChar w:fldCharType="end"/>
      </w:r>
    </w:p>
    <w:p>
      <w:pPr>
        <w:pStyle w:val="14"/>
        <w:tabs>
          <w:tab w:val="right" w:leader="dot" w:pos="9060"/>
        </w:tabs>
        <w:spacing w:line="360" w:lineRule="auto"/>
        <w:rPr>
          <w:rFonts w:hAnsi="宋体" w:cstheme="minorBidi"/>
          <w:snapToGrid/>
          <w:kern w:val="2"/>
          <w:szCs w:val="21"/>
        </w:rPr>
      </w:pPr>
      <w:r>
        <w:fldChar w:fldCharType="begin"/>
      </w:r>
      <w:r>
        <w:instrText xml:space="preserve"> HYPERLINK \l "_Toc72489597" </w:instrText>
      </w:r>
      <w:r>
        <w:fldChar w:fldCharType="separate"/>
      </w:r>
      <w:r>
        <w:rPr>
          <w:rStyle w:val="33"/>
          <w:rFonts w:ascii="宋体" w:hAnsi="宋体" w:eastAsia="宋体"/>
          <w:color w:val="auto"/>
          <w:szCs w:val="21"/>
        </w:rPr>
        <w:t>2、实质性评审</w:t>
      </w:r>
      <w:r>
        <w:rPr>
          <w:rFonts w:hAnsi="宋体"/>
          <w:szCs w:val="21"/>
        </w:rPr>
        <w:tab/>
      </w:r>
      <w:r>
        <w:rPr>
          <w:rFonts w:hAnsi="宋体"/>
          <w:szCs w:val="21"/>
        </w:rPr>
        <w:fldChar w:fldCharType="begin"/>
      </w:r>
      <w:r>
        <w:rPr>
          <w:rFonts w:hAnsi="宋体"/>
          <w:szCs w:val="21"/>
        </w:rPr>
        <w:instrText xml:space="preserve"> PAGEREF _Toc72489597 \h </w:instrText>
      </w:r>
      <w:r>
        <w:rPr>
          <w:rFonts w:hAnsi="宋体"/>
          <w:szCs w:val="21"/>
        </w:rPr>
        <w:fldChar w:fldCharType="separate"/>
      </w:r>
      <w:r>
        <w:rPr>
          <w:rFonts w:hAnsi="宋体"/>
          <w:szCs w:val="21"/>
        </w:rPr>
        <w:t>56</w:t>
      </w:r>
      <w:r>
        <w:rPr>
          <w:rFonts w:hAnsi="宋体"/>
          <w:szCs w:val="21"/>
        </w:rPr>
        <w:fldChar w:fldCharType="end"/>
      </w:r>
      <w:r>
        <w:rPr>
          <w:rFonts w:hAnsi="宋体"/>
          <w:szCs w:val="21"/>
        </w:rPr>
        <w:fldChar w:fldCharType="end"/>
      </w:r>
    </w:p>
    <w:p>
      <w:pPr>
        <w:pStyle w:val="14"/>
        <w:tabs>
          <w:tab w:val="right" w:leader="dot" w:pos="9060"/>
        </w:tabs>
        <w:spacing w:line="360" w:lineRule="auto"/>
        <w:rPr>
          <w:rFonts w:hAnsi="宋体" w:cstheme="minorBidi"/>
          <w:snapToGrid/>
          <w:kern w:val="2"/>
          <w:szCs w:val="21"/>
        </w:rPr>
      </w:pPr>
      <w:r>
        <w:fldChar w:fldCharType="begin"/>
      </w:r>
      <w:r>
        <w:instrText xml:space="preserve"> HYPERLINK \l "_Toc72489598" </w:instrText>
      </w:r>
      <w:r>
        <w:fldChar w:fldCharType="separate"/>
      </w:r>
      <w:r>
        <w:rPr>
          <w:rStyle w:val="33"/>
          <w:rFonts w:ascii="宋体" w:hAnsi="宋体" w:eastAsia="宋体"/>
          <w:color w:val="auto"/>
          <w:szCs w:val="21"/>
        </w:rPr>
        <w:t>3、磋商及最后报价</w:t>
      </w:r>
      <w:r>
        <w:rPr>
          <w:rFonts w:hAnsi="宋体"/>
          <w:szCs w:val="21"/>
        </w:rPr>
        <w:tab/>
      </w:r>
      <w:r>
        <w:rPr>
          <w:rFonts w:hAnsi="宋体"/>
          <w:szCs w:val="21"/>
        </w:rPr>
        <w:fldChar w:fldCharType="begin"/>
      </w:r>
      <w:r>
        <w:rPr>
          <w:rFonts w:hAnsi="宋体"/>
          <w:szCs w:val="21"/>
        </w:rPr>
        <w:instrText xml:space="preserve"> PAGEREF _Toc72489598 \h </w:instrText>
      </w:r>
      <w:r>
        <w:rPr>
          <w:rFonts w:hAnsi="宋体"/>
          <w:szCs w:val="21"/>
        </w:rPr>
        <w:fldChar w:fldCharType="separate"/>
      </w:r>
      <w:r>
        <w:rPr>
          <w:rFonts w:hAnsi="宋体"/>
          <w:szCs w:val="21"/>
        </w:rPr>
        <w:t>56</w:t>
      </w:r>
      <w:r>
        <w:rPr>
          <w:rFonts w:hAnsi="宋体"/>
          <w:szCs w:val="21"/>
        </w:rPr>
        <w:fldChar w:fldCharType="end"/>
      </w:r>
      <w:r>
        <w:rPr>
          <w:rFonts w:hAnsi="宋体"/>
          <w:szCs w:val="21"/>
        </w:rPr>
        <w:fldChar w:fldCharType="end"/>
      </w:r>
    </w:p>
    <w:p>
      <w:pPr>
        <w:pStyle w:val="14"/>
        <w:tabs>
          <w:tab w:val="right" w:leader="dot" w:pos="9060"/>
        </w:tabs>
        <w:spacing w:line="360" w:lineRule="auto"/>
        <w:rPr>
          <w:rFonts w:hAnsi="宋体" w:cstheme="minorBidi"/>
          <w:snapToGrid/>
          <w:kern w:val="2"/>
          <w:szCs w:val="21"/>
        </w:rPr>
      </w:pPr>
      <w:r>
        <w:fldChar w:fldCharType="begin"/>
      </w:r>
      <w:r>
        <w:instrText xml:space="preserve"> HYPERLINK \l "_Toc72489599" </w:instrText>
      </w:r>
      <w:r>
        <w:fldChar w:fldCharType="separate"/>
      </w:r>
      <w:r>
        <w:rPr>
          <w:rStyle w:val="33"/>
          <w:rFonts w:ascii="宋体" w:hAnsi="宋体" w:eastAsia="宋体"/>
          <w:color w:val="auto"/>
          <w:szCs w:val="21"/>
        </w:rPr>
        <w:t>4、详细评审及统分原则</w:t>
      </w:r>
      <w:r>
        <w:rPr>
          <w:rFonts w:hAnsi="宋体"/>
          <w:szCs w:val="21"/>
        </w:rPr>
        <w:tab/>
      </w:r>
      <w:r>
        <w:rPr>
          <w:rFonts w:hAnsi="宋体"/>
          <w:szCs w:val="21"/>
        </w:rPr>
        <w:fldChar w:fldCharType="begin"/>
      </w:r>
      <w:r>
        <w:rPr>
          <w:rFonts w:hAnsi="宋体"/>
          <w:szCs w:val="21"/>
        </w:rPr>
        <w:instrText xml:space="preserve"> PAGEREF _Toc72489599 \h </w:instrText>
      </w:r>
      <w:r>
        <w:rPr>
          <w:rFonts w:hAnsi="宋体"/>
          <w:szCs w:val="21"/>
        </w:rPr>
        <w:fldChar w:fldCharType="separate"/>
      </w:r>
      <w:r>
        <w:rPr>
          <w:rFonts w:hAnsi="宋体"/>
          <w:szCs w:val="21"/>
        </w:rPr>
        <w:t>57</w:t>
      </w:r>
      <w:r>
        <w:rPr>
          <w:rFonts w:hAnsi="宋体"/>
          <w:szCs w:val="21"/>
        </w:rPr>
        <w:fldChar w:fldCharType="end"/>
      </w:r>
      <w:r>
        <w:rPr>
          <w:rFonts w:hAnsi="宋体"/>
          <w:szCs w:val="21"/>
        </w:rPr>
        <w:fldChar w:fldCharType="end"/>
      </w:r>
    </w:p>
    <w:p>
      <w:pPr>
        <w:pStyle w:val="14"/>
        <w:tabs>
          <w:tab w:val="right" w:leader="dot" w:pos="9060"/>
        </w:tabs>
        <w:spacing w:line="360" w:lineRule="auto"/>
        <w:rPr>
          <w:rFonts w:hAnsi="宋体" w:cstheme="minorBidi"/>
          <w:snapToGrid/>
          <w:kern w:val="2"/>
          <w:szCs w:val="21"/>
        </w:rPr>
      </w:pPr>
      <w:r>
        <w:fldChar w:fldCharType="begin"/>
      </w:r>
      <w:r>
        <w:instrText xml:space="preserve"> HYPERLINK \l "_Toc72489600" </w:instrText>
      </w:r>
      <w:r>
        <w:fldChar w:fldCharType="separate"/>
      </w:r>
      <w:r>
        <w:rPr>
          <w:rStyle w:val="33"/>
          <w:rFonts w:ascii="宋体" w:hAnsi="宋体" w:eastAsia="宋体"/>
          <w:color w:val="auto"/>
          <w:szCs w:val="21"/>
        </w:rPr>
        <w:t>5、推荐成交候选供应商及确定成交供应商</w:t>
      </w:r>
      <w:r>
        <w:rPr>
          <w:rFonts w:hAnsi="宋体"/>
          <w:szCs w:val="21"/>
        </w:rPr>
        <w:tab/>
      </w:r>
      <w:r>
        <w:rPr>
          <w:rFonts w:hAnsi="宋体"/>
          <w:szCs w:val="21"/>
        </w:rPr>
        <w:fldChar w:fldCharType="begin"/>
      </w:r>
      <w:r>
        <w:rPr>
          <w:rFonts w:hAnsi="宋体"/>
          <w:szCs w:val="21"/>
        </w:rPr>
        <w:instrText xml:space="preserve"> PAGEREF _Toc72489600 \h </w:instrText>
      </w:r>
      <w:r>
        <w:rPr>
          <w:rFonts w:hAnsi="宋体"/>
          <w:szCs w:val="21"/>
        </w:rPr>
        <w:fldChar w:fldCharType="separate"/>
      </w:r>
      <w:r>
        <w:rPr>
          <w:rFonts w:hAnsi="宋体"/>
          <w:szCs w:val="21"/>
        </w:rPr>
        <w:t>57</w:t>
      </w:r>
      <w:r>
        <w:rPr>
          <w:rFonts w:hAnsi="宋体"/>
          <w:szCs w:val="21"/>
        </w:rPr>
        <w:fldChar w:fldCharType="end"/>
      </w:r>
      <w:r>
        <w:rPr>
          <w:rFonts w:hAnsi="宋体"/>
          <w:szCs w:val="21"/>
        </w:rPr>
        <w:fldChar w:fldCharType="end"/>
      </w:r>
    </w:p>
    <w:p>
      <w:pPr>
        <w:pStyle w:val="21"/>
        <w:rPr>
          <w:rFonts w:asciiTheme="minorHAnsi" w:hAnsiTheme="minorHAnsi" w:eastAsiaTheme="minorEastAsia" w:cstheme="minorBidi"/>
          <w:snapToGrid/>
          <w:kern w:val="2"/>
          <w:szCs w:val="22"/>
          <w:lang w:val="en-US" w:eastAsia="zh-CN"/>
        </w:rPr>
      </w:pPr>
      <w:r>
        <w:fldChar w:fldCharType="begin"/>
      </w:r>
      <w:r>
        <w:instrText xml:space="preserve"> HYPERLINK \l "_Toc72489601" </w:instrText>
      </w:r>
      <w:r>
        <w:fldChar w:fldCharType="separate"/>
      </w:r>
      <w:r>
        <w:rPr>
          <w:rStyle w:val="33"/>
          <w:rFonts w:ascii="宋体" w:hAnsi="宋体" w:eastAsia="宋体"/>
          <w:b w:val="0"/>
          <w:bCs w:val="0"/>
          <w:color w:val="auto"/>
        </w:rPr>
        <w:t>竞争性磋商承诺书</w:t>
      </w:r>
      <w:r>
        <w:tab/>
      </w:r>
      <w:r>
        <w:fldChar w:fldCharType="begin"/>
      </w:r>
      <w:r>
        <w:instrText xml:space="preserve"> PAGEREF _Toc72489601 \h </w:instrText>
      </w:r>
      <w:r>
        <w:fldChar w:fldCharType="separate"/>
      </w:r>
      <w:r>
        <w:t>58</w:t>
      </w:r>
      <w:r>
        <w:fldChar w:fldCharType="end"/>
      </w:r>
      <w:r>
        <w:fldChar w:fldCharType="end"/>
      </w:r>
    </w:p>
    <w:p>
      <w:r>
        <w:fldChar w:fldCharType="end"/>
      </w:r>
    </w:p>
    <w:p>
      <w:pPr>
        <w:pStyle w:val="3"/>
        <w:widowControl/>
        <w:spacing w:before="240" w:after="240"/>
        <w:rPr>
          <w:rFonts w:ascii="Times New Roman" w:hAnsi="Times New Roman" w:eastAsia="黑体"/>
          <w:sz w:val="36"/>
          <w:szCs w:val="36"/>
          <w:lang w:val="zh-CN" w:eastAsia="zh-CN"/>
        </w:rPr>
      </w:pPr>
      <w:bookmarkStart w:id="1" w:name="_Toc72489515"/>
      <w:r>
        <w:rPr>
          <w:rFonts w:hint="eastAsia" w:ascii="Times New Roman" w:hAnsi="Times New Roman" w:eastAsia="黑体"/>
          <w:sz w:val="36"/>
          <w:szCs w:val="36"/>
          <w:lang w:val="zh-CN" w:eastAsia="zh-CN"/>
        </w:rPr>
        <w:t>第一</w:t>
      </w:r>
      <w:r>
        <w:rPr>
          <w:rFonts w:ascii="Times New Roman" w:hAnsi="Times New Roman" w:eastAsia="黑体"/>
          <w:sz w:val="36"/>
          <w:szCs w:val="36"/>
          <w:lang w:val="zh-CN" w:eastAsia="zh-CN"/>
        </w:rPr>
        <w:t xml:space="preserve">章  </w:t>
      </w:r>
      <w:r>
        <w:rPr>
          <w:rFonts w:hint="eastAsia" w:ascii="Times New Roman" w:hAnsi="Times New Roman" w:eastAsia="黑体"/>
          <w:sz w:val="36"/>
          <w:szCs w:val="36"/>
          <w:lang w:val="zh-CN" w:eastAsia="zh-CN"/>
        </w:rPr>
        <w:t>竞争性磋商公告</w:t>
      </w:r>
      <w:bookmarkEnd w:id="1"/>
    </w:p>
    <w:p>
      <w:pPr>
        <w:pBdr>
          <w:top w:val="single" w:color="auto" w:sz="4" w:space="1"/>
          <w:left w:val="single" w:color="auto" w:sz="4" w:space="4"/>
          <w:bottom w:val="single" w:color="auto" w:sz="4" w:space="1"/>
          <w:right w:val="single" w:color="auto" w:sz="4" w:space="0"/>
        </w:pBdr>
        <w:spacing w:before="156" w:beforeLines="50" w:line="360" w:lineRule="auto"/>
        <w:ind w:firstLine="420" w:firstLineChars="200"/>
        <w:jc w:val="left"/>
        <w:rPr>
          <w:rFonts w:hAnsi="宋体"/>
          <w:szCs w:val="21"/>
        </w:rPr>
      </w:pPr>
      <w:r>
        <w:rPr>
          <w:rFonts w:hint="eastAsia" w:hAnsi="宋体"/>
          <w:szCs w:val="21"/>
        </w:rPr>
        <w:t>项目概况</w:t>
      </w:r>
    </w:p>
    <w:p>
      <w:pPr>
        <w:pBdr>
          <w:top w:val="single" w:color="auto" w:sz="4" w:space="1"/>
          <w:left w:val="single" w:color="auto" w:sz="4" w:space="4"/>
          <w:bottom w:val="single" w:color="auto" w:sz="4" w:space="1"/>
          <w:right w:val="single" w:color="auto" w:sz="4" w:space="0"/>
        </w:pBdr>
        <w:spacing w:line="360" w:lineRule="auto"/>
        <w:ind w:firstLine="420" w:firstLineChars="200"/>
        <w:jc w:val="left"/>
        <w:rPr>
          <w:rFonts w:hAnsi="宋体"/>
          <w:szCs w:val="21"/>
        </w:rPr>
      </w:pPr>
      <w:r>
        <w:rPr>
          <w:rFonts w:hint="eastAsia" w:hAnsi="宋体"/>
          <w:szCs w:val="21"/>
          <w:u w:val="single"/>
        </w:rPr>
        <w:t xml:space="preserve"> 政务服务中心数据平台建设 </w:t>
      </w:r>
      <w:r>
        <w:rPr>
          <w:rFonts w:hint="eastAsia" w:hAnsi="宋体"/>
          <w:szCs w:val="21"/>
        </w:rPr>
        <w:t>采购项目的潜在供应商应在</w:t>
      </w:r>
      <w:r>
        <w:rPr>
          <w:rFonts w:hint="eastAsia" w:hAnsi="宋体"/>
          <w:szCs w:val="21"/>
          <w:u w:val="single"/>
        </w:rPr>
        <w:t xml:space="preserve"> 云南省昆明市盘龙区世博生态城低碳中心B栋1单元12层昆明晨晟招标有限责任公司前台 </w:t>
      </w:r>
      <w:r>
        <w:rPr>
          <w:rFonts w:hint="eastAsia" w:hAnsi="宋体"/>
          <w:szCs w:val="21"/>
        </w:rPr>
        <w:t>获取采购文件，并于</w:t>
      </w:r>
      <w:r>
        <w:rPr>
          <w:rFonts w:hAnsi="宋体"/>
          <w:szCs w:val="21"/>
          <w:u w:val="single"/>
        </w:rPr>
        <w:t>2021</w:t>
      </w:r>
      <w:r>
        <w:rPr>
          <w:rFonts w:hint="eastAsia" w:hAnsi="宋体"/>
          <w:bCs/>
          <w:szCs w:val="21"/>
          <w:u w:val="single"/>
        </w:rPr>
        <w:t>年</w:t>
      </w:r>
      <w:r>
        <w:rPr>
          <w:rFonts w:hAnsi="宋体"/>
          <w:bCs/>
          <w:szCs w:val="21"/>
          <w:u w:val="single"/>
        </w:rPr>
        <w:t>06</w:t>
      </w:r>
      <w:r>
        <w:rPr>
          <w:rFonts w:hint="eastAsia" w:hAnsi="宋体"/>
          <w:bCs/>
          <w:szCs w:val="21"/>
          <w:u w:val="single"/>
        </w:rPr>
        <w:t>月</w:t>
      </w:r>
      <w:r>
        <w:rPr>
          <w:rFonts w:hAnsi="宋体"/>
          <w:bCs/>
          <w:szCs w:val="21"/>
          <w:u w:val="single"/>
        </w:rPr>
        <w:t>11</w:t>
      </w:r>
      <w:r>
        <w:rPr>
          <w:rFonts w:hint="eastAsia" w:hAnsi="宋体"/>
          <w:bCs/>
          <w:szCs w:val="21"/>
          <w:u w:val="single"/>
        </w:rPr>
        <w:t>日</w:t>
      </w:r>
      <w:r>
        <w:rPr>
          <w:rFonts w:hAnsi="宋体"/>
          <w:bCs/>
          <w:szCs w:val="21"/>
          <w:u w:val="single"/>
        </w:rPr>
        <w:t>14</w:t>
      </w:r>
      <w:r>
        <w:rPr>
          <w:rFonts w:hint="eastAsia" w:hAnsi="宋体"/>
          <w:bCs/>
          <w:szCs w:val="21"/>
          <w:u w:val="single"/>
        </w:rPr>
        <w:t>点</w:t>
      </w:r>
      <w:r>
        <w:rPr>
          <w:rFonts w:hAnsi="宋体"/>
          <w:bCs/>
          <w:szCs w:val="21"/>
          <w:u w:val="single"/>
        </w:rPr>
        <w:t>00</w:t>
      </w:r>
      <w:r>
        <w:rPr>
          <w:rFonts w:hint="eastAsia" w:hAnsi="宋体"/>
          <w:bCs/>
          <w:szCs w:val="21"/>
          <w:u w:val="single"/>
        </w:rPr>
        <w:t>分</w:t>
      </w:r>
      <w:r>
        <w:rPr>
          <w:rFonts w:hint="eastAsia" w:hAnsi="宋体"/>
          <w:bCs/>
          <w:szCs w:val="21"/>
        </w:rPr>
        <w:t>（北京时间）前提交响应</w:t>
      </w:r>
      <w:r>
        <w:rPr>
          <w:rFonts w:hAnsi="宋体"/>
          <w:bCs/>
          <w:szCs w:val="21"/>
        </w:rPr>
        <w:t>文件</w:t>
      </w:r>
      <w:r>
        <w:rPr>
          <w:rFonts w:hint="eastAsia" w:hAnsi="宋体"/>
          <w:szCs w:val="21"/>
        </w:rPr>
        <w:t>。</w:t>
      </w:r>
    </w:p>
    <w:p>
      <w:pPr>
        <w:rPr>
          <w:lang w:eastAsia="zh-CN"/>
        </w:rPr>
      </w:pPr>
    </w:p>
    <w:p>
      <w:pPr>
        <w:pStyle w:val="110"/>
        <w:keepNext w:val="0"/>
        <w:keepLines w:val="0"/>
        <w:spacing w:line="360" w:lineRule="auto"/>
        <w:rPr>
          <w:rFonts w:ascii="黑体" w:hAnsi="黑体"/>
          <w:b/>
          <w:bCs/>
        </w:rPr>
      </w:pPr>
      <w:bookmarkStart w:id="2" w:name="_Toc35393629"/>
      <w:bookmarkStart w:id="3" w:name="_Toc28359089"/>
      <w:bookmarkStart w:id="4" w:name="_Toc28359012"/>
      <w:bookmarkStart w:id="5" w:name="_Toc35393798"/>
      <w:bookmarkStart w:id="6" w:name="_Toc72489516"/>
      <w:r>
        <w:rPr>
          <w:rFonts w:hint="eastAsia" w:ascii="黑体" w:hAnsi="黑体"/>
          <w:b/>
          <w:bCs/>
        </w:rPr>
        <w:t>一、项目基本情况</w:t>
      </w:r>
      <w:bookmarkEnd w:id="2"/>
      <w:bookmarkEnd w:id="3"/>
      <w:bookmarkEnd w:id="4"/>
      <w:bookmarkEnd w:id="5"/>
      <w:bookmarkEnd w:id="6"/>
    </w:p>
    <w:p>
      <w:pPr>
        <w:spacing w:line="360" w:lineRule="auto"/>
        <w:ind w:firstLine="420" w:firstLineChars="200"/>
        <w:rPr>
          <w:rFonts w:hAnsi="宋体"/>
          <w:szCs w:val="21"/>
        </w:rPr>
      </w:pPr>
      <w:r>
        <w:rPr>
          <w:rFonts w:hint="eastAsia" w:hAnsi="宋体"/>
          <w:szCs w:val="21"/>
        </w:rPr>
        <w:t>项目编号：</w:t>
      </w:r>
      <w:r>
        <w:rPr>
          <w:rFonts w:hAnsi="宋体"/>
          <w:szCs w:val="21"/>
        </w:rPr>
        <w:t>KCFW-2021-3890</w:t>
      </w:r>
    </w:p>
    <w:p>
      <w:pPr>
        <w:spacing w:line="360" w:lineRule="auto"/>
        <w:ind w:firstLine="420" w:firstLineChars="200"/>
        <w:rPr>
          <w:rFonts w:hAnsi="宋体"/>
          <w:szCs w:val="21"/>
          <w:u w:val="single"/>
        </w:rPr>
      </w:pPr>
      <w:r>
        <w:rPr>
          <w:rFonts w:hint="eastAsia" w:hAnsi="宋体"/>
          <w:szCs w:val="21"/>
        </w:rPr>
        <w:t>项目名称：</w:t>
      </w:r>
      <w:r>
        <w:rPr>
          <w:rFonts w:hint="eastAsia"/>
        </w:rPr>
        <w:t>政务服务中心数据平台建设</w:t>
      </w:r>
    </w:p>
    <w:p>
      <w:pPr>
        <w:spacing w:line="360" w:lineRule="auto"/>
        <w:ind w:firstLine="420" w:firstLineChars="200"/>
        <w:rPr>
          <w:rFonts w:hAnsi="宋体"/>
          <w:szCs w:val="21"/>
        </w:rPr>
      </w:pPr>
      <w:r>
        <w:rPr>
          <w:rFonts w:hint="eastAsia" w:hAnsi="宋体"/>
          <w:szCs w:val="21"/>
        </w:rPr>
        <w:t>采购方式：竞争性磋商</w:t>
      </w:r>
    </w:p>
    <w:p>
      <w:pPr>
        <w:spacing w:line="360" w:lineRule="auto"/>
        <w:ind w:firstLine="420" w:firstLineChars="200"/>
        <w:rPr>
          <w:rFonts w:hAnsi="宋体"/>
          <w:szCs w:val="21"/>
        </w:rPr>
      </w:pPr>
      <w:r>
        <w:rPr>
          <w:rFonts w:hint="eastAsia" w:hAnsi="宋体"/>
          <w:szCs w:val="21"/>
        </w:rPr>
        <w:t>预算金额：小写：￥</w:t>
      </w:r>
      <w:r>
        <w:rPr>
          <w:rFonts w:hAnsi="宋体"/>
          <w:szCs w:val="21"/>
        </w:rPr>
        <w:t>500000.00</w:t>
      </w:r>
      <w:r>
        <w:rPr>
          <w:rFonts w:hint="eastAsia" w:hAnsi="宋体"/>
          <w:szCs w:val="21"/>
        </w:rPr>
        <w:t>元（大写：人民币伍拾万元整）</w:t>
      </w:r>
    </w:p>
    <w:p>
      <w:pPr>
        <w:spacing w:line="360" w:lineRule="auto"/>
        <w:ind w:firstLine="420" w:firstLineChars="200"/>
        <w:rPr>
          <w:rFonts w:hAnsi="宋体"/>
          <w:szCs w:val="21"/>
        </w:rPr>
      </w:pPr>
      <w:r>
        <w:rPr>
          <w:rFonts w:hint="eastAsia" w:hAnsi="宋体"/>
          <w:szCs w:val="21"/>
        </w:rPr>
        <w:t>最高限价：小写：￥500000.00元（大写：人民币伍拾万元整）</w:t>
      </w:r>
    </w:p>
    <w:p>
      <w:pPr>
        <w:spacing w:line="360" w:lineRule="auto"/>
        <w:ind w:firstLine="420" w:firstLineChars="200"/>
        <w:rPr>
          <w:rFonts w:hAnsi="宋体"/>
          <w:szCs w:val="21"/>
        </w:rPr>
      </w:pPr>
      <w:r>
        <w:rPr>
          <w:rFonts w:hint="eastAsia" w:hAnsi="宋体"/>
          <w:szCs w:val="21"/>
        </w:rPr>
        <w:t>采购需求：</w:t>
      </w:r>
    </w:p>
    <w:tbl>
      <w:tblPr>
        <w:tblStyle w:val="28"/>
        <w:tblW w:w="46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740"/>
        <w:gridCol w:w="1308"/>
        <w:gridCol w:w="869"/>
        <w:gridCol w:w="722"/>
        <w:gridCol w:w="1742"/>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shd w:val="clear" w:color="auto" w:fill="auto"/>
            <w:vAlign w:val="center"/>
          </w:tcPr>
          <w:p>
            <w:pPr>
              <w:spacing w:line="276" w:lineRule="auto"/>
              <w:jc w:val="center"/>
              <w:rPr>
                <w:rFonts w:hAnsi="宋体" w:cs="方正小标宋_GBK"/>
                <w:kern w:val="2"/>
                <w:szCs w:val="21"/>
              </w:rPr>
            </w:pPr>
            <w:r>
              <w:rPr>
                <w:rFonts w:hint="eastAsia" w:hAnsi="宋体" w:cs="方正小标宋_GBK"/>
                <w:kern w:val="2"/>
                <w:szCs w:val="21"/>
              </w:rPr>
              <w:t>标段</w:t>
            </w:r>
          </w:p>
        </w:tc>
        <w:tc>
          <w:tcPr>
            <w:tcW w:w="999" w:type="pct"/>
            <w:shd w:val="clear" w:color="auto" w:fill="auto"/>
            <w:vAlign w:val="center"/>
          </w:tcPr>
          <w:p>
            <w:pPr>
              <w:spacing w:line="276" w:lineRule="auto"/>
              <w:jc w:val="center"/>
              <w:rPr>
                <w:rFonts w:hAnsi="宋体" w:cs="方正小标宋_GBK"/>
                <w:kern w:val="2"/>
                <w:szCs w:val="21"/>
              </w:rPr>
            </w:pPr>
            <w:r>
              <w:rPr>
                <w:rFonts w:hint="eastAsia" w:hAnsi="宋体" w:cs="方正小标宋_GBK"/>
                <w:kern w:val="2"/>
                <w:szCs w:val="21"/>
              </w:rPr>
              <w:t>产品名称</w:t>
            </w:r>
          </w:p>
        </w:tc>
        <w:tc>
          <w:tcPr>
            <w:tcW w:w="751" w:type="pct"/>
            <w:shd w:val="clear" w:color="auto" w:fill="auto"/>
            <w:vAlign w:val="center"/>
          </w:tcPr>
          <w:p>
            <w:pPr>
              <w:spacing w:line="276" w:lineRule="auto"/>
              <w:jc w:val="center"/>
              <w:rPr>
                <w:rFonts w:hAnsi="宋体" w:cs="方正小标宋_GBK"/>
                <w:kern w:val="2"/>
                <w:szCs w:val="21"/>
              </w:rPr>
            </w:pPr>
            <w:r>
              <w:rPr>
                <w:rFonts w:hint="eastAsia" w:hAnsi="宋体" w:cs="方正小标宋_GBK"/>
                <w:kern w:val="2"/>
                <w:szCs w:val="21"/>
              </w:rPr>
              <w:t>是否接受进口产品投标</w:t>
            </w:r>
          </w:p>
        </w:tc>
        <w:tc>
          <w:tcPr>
            <w:tcW w:w="499" w:type="pct"/>
            <w:shd w:val="clear" w:color="auto" w:fill="auto"/>
            <w:vAlign w:val="center"/>
          </w:tcPr>
          <w:p>
            <w:pPr>
              <w:spacing w:line="276" w:lineRule="auto"/>
              <w:jc w:val="center"/>
              <w:rPr>
                <w:rFonts w:hAnsi="宋体" w:cs="方正小标宋_GBK"/>
                <w:kern w:val="2"/>
                <w:szCs w:val="21"/>
              </w:rPr>
            </w:pPr>
            <w:r>
              <w:rPr>
                <w:rFonts w:hint="eastAsia" w:hAnsi="宋体" w:cs="方正小标宋_GBK"/>
                <w:kern w:val="2"/>
                <w:szCs w:val="21"/>
              </w:rPr>
              <w:t>数量</w:t>
            </w:r>
          </w:p>
        </w:tc>
        <w:tc>
          <w:tcPr>
            <w:tcW w:w="414" w:type="pct"/>
            <w:shd w:val="clear" w:color="auto" w:fill="auto"/>
            <w:vAlign w:val="center"/>
          </w:tcPr>
          <w:p>
            <w:pPr>
              <w:spacing w:line="276" w:lineRule="auto"/>
              <w:jc w:val="center"/>
              <w:rPr>
                <w:rFonts w:hAnsi="宋体" w:cs="方正小标宋_GBK"/>
                <w:kern w:val="2"/>
                <w:szCs w:val="21"/>
              </w:rPr>
            </w:pPr>
            <w:r>
              <w:rPr>
                <w:rFonts w:hint="eastAsia" w:hAnsi="宋体" w:cs="方正小标宋_GBK"/>
                <w:kern w:val="2"/>
                <w:szCs w:val="21"/>
              </w:rPr>
              <w:t>计量单位</w:t>
            </w:r>
          </w:p>
        </w:tc>
        <w:tc>
          <w:tcPr>
            <w:tcW w:w="1000" w:type="pct"/>
            <w:vAlign w:val="center"/>
          </w:tcPr>
          <w:p>
            <w:pPr>
              <w:spacing w:line="276" w:lineRule="auto"/>
              <w:jc w:val="center"/>
              <w:rPr>
                <w:rFonts w:hAnsi="宋体" w:cs="方正小标宋_GBK"/>
                <w:kern w:val="2"/>
                <w:szCs w:val="21"/>
              </w:rPr>
            </w:pPr>
            <w:r>
              <w:rPr>
                <w:rFonts w:hint="eastAsia" w:hAnsi="宋体" w:cs="方正小标宋_GBK"/>
                <w:kern w:val="2"/>
                <w:szCs w:val="21"/>
              </w:rPr>
              <w:t>预算单价（元）</w:t>
            </w:r>
          </w:p>
        </w:tc>
        <w:tc>
          <w:tcPr>
            <w:tcW w:w="999" w:type="pct"/>
            <w:shd w:val="clear" w:color="auto" w:fill="auto"/>
            <w:vAlign w:val="center"/>
          </w:tcPr>
          <w:p>
            <w:pPr>
              <w:spacing w:line="276" w:lineRule="auto"/>
              <w:jc w:val="center"/>
              <w:rPr>
                <w:rFonts w:hAnsi="宋体" w:cs="方正小标宋_GBK"/>
                <w:kern w:val="2"/>
                <w:szCs w:val="21"/>
              </w:rPr>
            </w:pPr>
            <w:r>
              <w:rPr>
                <w:rFonts w:hint="eastAsia" w:hAnsi="宋体" w:cs="方正小标宋_GBK"/>
                <w:kern w:val="2"/>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8" w:type="pct"/>
            <w:shd w:val="clear" w:color="auto" w:fill="auto"/>
            <w:vAlign w:val="center"/>
          </w:tcPr>
          <w:p>
            <w:pPr>
              <w:spacing w:line="276" w:lineRule="auto"/>
              <w:jc w:val="center"/>
              <w:rPr>
                <w:rFonts w:hAnsi="宋体" w:cs="方正小标宋_GBK"/>
                <w:kern w:val="2"/>
                <w:szCs w:val="21"/>
              </w:rPr>
            </w:pPr>
            <w:r>
              <w:rPr>
                <w:rFonts w:hint="eastAsia" w:hAnsi="宋体" w:cs="方正小标宋_GBK"/>
                <w:kern w:val="2"/>
                <w:szCs w:val="21"/>
              </w:rPr>
              <w:t>1</w:t>
            </w:r>
          </w:p>
        </w:tc>
        <w:tc>
          <w:tcPr>
            <w:tcW w:w="999" w:type="pct"/>
            <w:shd w:val="clear" w:color="auto" w:fill="auto"/>
            <w:vAlign w:val="center"/>
          </w:tcPr>
          <w:p>
            <w:pPr>
              <w:spacing w:line="276" w:lineRule="auto"/>
              <w:jc w:val="center"/>
              <w:rPr>
                <w:rFonts w:hAnsi="宋体" w:cs="方正小标宋_GBK"/>
                <w:kern w:val="2"/>
                <w:szCs w:val="21"/>
              </w:rPr>
            </w:pPr>
            <w:r>
              <w:rPr>
                <w:rFonts w:hint="eastAsia" w:hAnsi="宋体" w:cs="方正小标宋_GBK"/>
                <w:kern w:val="2"/>
                <w:szCs w:val="21"/>
              </w:rPr>
              <w:t>政务服务中心数据平台</w:t>
            </w:r>
          </w:p>
        </w:tc>
        <w:tc>
          <w:tcPr>
            <w:tcW w:w="751" w:type="pct"/>
            <w:shd w:val="clear" w:color="auto" w:fill="auto"/>
            <w:vAlign w:val="center"/>
          </w:tcPr>
          <w:p>
            <w:pPr>
              <w:spacing w:line="276" w:lineRule="auto"/>
              <w:jc w:val="center"/>
              <w:rPr>
                <w:rFonts w:hAnsi="宋体" w:cs="方正小标宋_GBK"/>
                <w:kern w:val="2"/>
                <w:szCs w:val="21"/>
              </w:rPr>
            </w:pPr>
            <w:r>
              <w:rPr>
                <w:rFonts w:hint="eastAsia" w:hAnsi="宋体" w:cs="方正小标宋_GBK"/>
                <w:kern w:val="2"/>
                <w:szCs w:val="21"/>
              </w:rPr>
              <w:t>否</w:t>
            </w:r>
          </w:p>
        </w:tc>
        <w:tc>
          <w:tcPr>
            <w:tcW w:w="499" w:type="pct"/>
            <w:shd w:val="clear" w:color="auto" w:fill="auto"/>
            <w:vAlign w:val="center"/>
          </w:tcPr>
          <w:p>
            <w:pPr>
              <w:spacing w:line="276" w:lineRule="auto"/>
              <w:jc w:val="center"/>
              <w:rPr>
                <w:rFonts w:hAnsi="宋体" w:cs="方正小标宋_GBK"/>
                <w:kern w:val="2"/>
                <w:szCs w:val="21"/>
              </w:rPr>
            </w:pPr>
            <w:r>
              <w:rPr>
                <w:rFonts w:hint="eastAsia" w:hAnsi="宋体" w:cs="方正小标宋_GBK"/>
                <w:kern w:val="2"/>
                <w:szCs w:val="21"/>
              </w:rPr>
              <w:t>1</w:t>
            </w:r>
          </w:p>
        </w:tc>
        <w:tc>
          <w:tcPr>
            <w:tcW w:w="414" w:type="pct"/>
            <w:shd w:val="clear" w:color="auto" w:fill="auto"/>
            <w:vAlign w:val="center"/>
          </w:tcPr>
          <w:p>
            <w:pPr>
              <w:spacing w:line="276" w:lineRule="auto"/>
              <w:jc w:val="center"/>
              <w:rPr>
                <w:rFonts w:hAnsi="宋体" w:cs="方正小标宋_GBK"/>
                <w:kern w:val="2"/>
                <w:szCs w:val="21"/>
              </w:rPr>
            </w:pPr>
            <w:r>
              <w:rPr>
                <w:rFonts w:hint="eastAsia" w:hAnsi="宋体" w:cs="方正小标宋_GBK"/>
                <w:kern w:val="2"/>
                <w:szCs w:val="21"/>
              </w:rPr>
              <w:t>套</w:t>
            </w:r>
          </w:p>
        </w:tc>
        <w:tc>
          <w:tcPr>
            <w:tcW w:w="1000" w:type="pct"/>
            <w:vAlign w:val="center"/>
          </w:tcPr>
          <w:p>
            <w:pPr>
              <w:spacing w:line="276" w:lineRule="auto"/>
              <w:jc w:val="center"/>
              <w:rPr>
                <w:rFonts w:hAnsi="宋体" w:cs="方正小标宋_GBK"/>
                <w:kern w:val="2"/>
                <w:szCs w:val="21"/>
              </w:rPr>
            </w:pPr>
            <w:r>
              <w:rPr>
                <w:rFonts w:hAnsi="宋体" w:cs="方正小标宋_GBK"/>
                <w:kern w:val="2"/>
                <w:szCs w:val="21"/>
              </w:rPr>
              <w:t>500000.00</w:t>
            </w:r>
          </w:p>
        </w:tc>
        <w:tc>
          <w:tcPr>
            <w:tcW w:w="999" w:type="pct"/>
            <w:shd w:val="clear" w:color="auto" w:fill="auto"/>
            <w:vAlign w:val="center"/>
          </w:tcPr>
          <w:p>
            <w:pPr>
              <w:spacing w:line="276" w:lineRule="auto"/>
              <w:jc w:val="center"/>
              <w:rPr>
                <w:rFonts w:hAnsi="宋体" w:cs="方正小标宋_GBK"/>
                <w:kern w:val="2"/>
                <w:szCs w:val="21"/>
              </w:rPr>
            </w:pPr>
            <w:r>
              <w:rPr>
                <w:rFonts w:hAnsi="宋体" w:cs="方正小标宋_GBK"/>
                <w:kern w:val="2"/>
                <w:szCs w:val="21"/>
              </w:rPr>
              <w:t>500000.00</w:t>
            </w:r>
          </w:p>
        </w:tc>
      </w:tr>
    </w:tbl>
    <w:p>
      <w:pPr>
        <w:spacing w:line="360" w:lineRule="auto"/>
        <w:ind w:firstLine="420" w:firstLineChars="200"/>
        <w:rPr>
          <w:rFonts w:hAnsi="宋体"/>
          <w:szCs w:val="21"/>
        </w:rPr>
      </w:pPr>
      <w:r>
        <w:rPr>
          <w:rFonts w:hint="eastAsia" w:hAnsi="宋体"/>
          <w:szCs w:val="21"/>
        </w:rPr>
        <w:t>随着数字化的高速发展，为了向数字型政府转变，提高政务服务中心服务企业的能力和水平，提升西山区营商环境的数字化能力，</w:t>
      </w:r>
      <w:r>
        <w:rPr>
          <w:rFonts w:hint="eastAsia"/>
        </w:rPr>
        <w:t>昆明市西山区政务服务管理局将开展政务服务中心数据平台建设，建设主要内容包括但不限于：西山区政务服务大数据中心、政务中心综合管理应用、企业服务应用、政务大数据展示中心、营商环境数字地图及云服务器私有存储等，</w:t>
      </w:r>
      <w:r>
        <w:rPr>
          <w:rFonts w:hint="eastAsia" w:hAnsi="宋体"/>
          <w:szCs w:val="21"/>
        </w:rPr>
        <w:t>并通过该平台服务好辖区企业，以提升西山区营商环境为目标，打造西山区政务服务的特色与亮点。</w:t>
      </w:r>
    </w:p>
    <w:p>
      <w:pPr>
        <w:spacing w:line="360" w:lineRule="auto"/>
        <w:ind w:firstLine="420" w:firstLineChars="200"/>
        <w:rPr>
          <w:rFonts w:hAnsi="宋体"/>
          <w:szCs w:val="21"/>
        </w:rPr>
      </w:pPr>
      <w:r>
        <w:rPr>
          <w:rFonts w:hint="eastAsia" w:hAnsi="宋体"/>
          <w:szCs w:val="21"/>
        </w:rPr>
        <w:t>具体技术参数等内容详见本竞争性磋商文件 第五章 “采购需求”。</w:t>
      </w:r>
    </w:p>
    <w:p>
      <w:pPr>
        <w:spacing w:line="360" w:lineRule="auto"/>
        <w:ind w:firstLine="420" w:firstLineChars="200"/>
        <w:rPr>
          <w:rFonts w:hAnsi="宋体"/>
          <w:szCs w:val="21"/>
          <w:u w:val="single"/>
        </w:rPr>
      </w:pPr>
      <w:r>
        <w:rPr>
          <w:rFonts w:hint="eastAsia" w:hAnsi="宋体"/>
          <w:szCs w:val="21"/>
        </w:rPr>
        <w:t>合同履行期限：建设周期为6</w:t>
      </w:r>
      <w:r>
        <w:rPr>
          <w:rFonts w:hAnsi="宋体"/>
          <w:szCs w:val="21"/>
        </w:rPr>
        <w:t>0</w:t>
      </w:r>
      <w:r>
        <w:rPr>
          <w:rFonts w:hint="eastAsia" w:hAnsi="宋体"/>
          <w:szCs w:val="21"/>
        </w:rPr>
        <w:t>日历天，运维服务期为自验收合格之日起壹年。</w:t>
      </w:r>
    </w:p>
    <w:p>
      <w:pPr>
        <w:spacing w:line="360" w:lineRule="auto"/>
        <w:ind w:firstLine="420" w:firstLineChars="200"/>
        <w:rPr>
          <w:rFonts w:hAnsi="宋体"/>
          <w:szCs w:val="21"/>
        </w:rPr>
      </w:pPr>
      <w:r>
        <w:rPr>
          <w:rFonts w:hint="eastAsia" w:hAnsi="宋体"/>
          <w:szCs w:val="21"/>
        </w:rPr>
        <w:t>本项目（否）接受联合体。</w:t>
      </w:r>
    </w:p>
    <w:p>
      <w:pPr>
        <w:pStyle w:val="110"/>
        <w:keepNext w:val="0"/>
        <w:keepLines w:val="0"/>
        <w:spacing w:line="360" w:lineRule="auto"/>
        <w:rPr>
          <w:rFonts w:ascii="黑体" w:hAnsi="黑体"/>
          <w:b/>
          <w:bCs/>
        </w:rPr>
      </w:pPr>
      <w:bookmarkStart w:id="7" w:name="_Toc28359013"/>
      <w:bookmarkStart w:id="8" w:name="_Toc28359090"/>
      <w:bookmarkStart w:id="9" w:name="_Toc35393630"/>
      <w:bookmarkStart w:id="10" w:name="_Toc35393799"/>
      <w:bookmarkStart w:id="11" w:name="_Toc72489517"/>
      <w:r>
        <w:rPr>
          <w:rFonts w:hint="eastAsia" w:ascii="黑体" w:hAnsi="黑体"/>
          <w:b/>
          <w:bCs/>
        </w:rPr>
        <w:t>二、申请人的资格要求：</w:t>
      </w:r>
      <w:bookmarkEnd w:id="7"/>
      <w:bookmarkEnd w:id="8"/>
      <w:bookmarkEnd w:id="9"/>
      <w:bookmarkEnd w:id="10"/>
      <w:bookmarkEnd w:id="11"/>
    </w:p>
    <w:p>
      <w:pPr>
        <w:spacing w:line="360" w:lineRule="auto"/>
        <w:ind w:firstLine="420" w:firstLineChars="200"/>
        <w:rPr>
          <w:rFonts w:hAnsi="宋体"/>
          <w:szCs w:val="21"/>
        </w:rPr>
      </w:pPr>
      <w:r>
        <w:rPr>
          <w:rFonts w:hint="eastAsia" w:hAnsi="宋体"/>
          <w:szCs w:val="21"/>
        </w:rPr>
        <w:t>1.满足《中华人民共和国政府采购法》第二十二条规定；</w:t>
      </w:r>
    </w:p>
    <w:p>
      <w:pPr>
        <w:spacing w:line="360" w:lineRule="auto"/>
        <w:ind w:firstLine="420" w:firstLineChars="200"/>
        <w:rPr>
          <w:rFonts w:hAnsi="宋体"/>
          <w:szCs w:val="21"/>
        </w:rPr>
      </w:pPr>
      <w:r>
        <w:rPr>
          <w:rFonts w:hAnsi="宋体"/>
          <w:szCs w:val="21"/>
        </w:rPr>
        <w:t>1</w:t>
      </w:r>
      <w:r>
        <w:rPr>
          <w:rFonts w:hint="eastAsia" w:hAnsi="宋体"/>
          <w:szCs w:val="21"/>
        </w:rPr>
        <w:t>.1具有独立承担民事责任的能力：具有独立承担民事责任的能力（法人或者其他组织的营业执照等证明文件，自然人的身份证明），提供有效的营业执照或事业单位法人证书或其他类似的法定证明文件。</w:t>
      </w:r>
    </w:p>
    <w:p>
      <w:pPr>
        <w:spacing w:line="360" w:lineRule="auto"/>
        <w:ind w:firstLine="420" w:firstLineChars="200"/>
        <w:rPr>
          <w:rFonts w:hAnsi="宋体"/>
          <w:szCs w:val="21"/>
        </w:rPr>
      </w:pPr>
      <w:r>
        <w:rPr>
          <w:rFonts w:hAnsi="宋体"/>
          <w:szCs w:val="21"/>
        </w:rPr>
        <w:t>1</w:t>
      </w:r>
      <w:r>
        <w:rPr>
          <w:rFonts w:hint="eastAsia" w:hAnsi="宋体"/>
          <w:szCs w:val="21"/>
        </w:rPr>
        <w:t>.2具有良好的商业信誉和健全的财务会计制度：</w:t>
      </w:r>
    </w:p>
    <w:p>
      <w:pPr>
        <w:spacing w:line="360" w:lineRule="auto"/>
        <w:ind w:firstLine="420" w:firstLineChars="200"/>
        <w:rPr>
          <w:rFonts w:hAnsi="宋体"/>
          <w:szCs w:val="21"/>
        </w:rPr>
      </w:pPr>
      <w:r>
        <w:rPr>
          <w:rFonts w:hAnsi="宋体"/>
          <w:szCs w:val="21"/>
        </w:rPr>
        <w:t>1</w:t>
      </w:r>
      <w:r>
        <w:rPr>
          <w:rFonts w:hint="eastAsia" w:hAnsi="宋体"/>
          <w:szCs w:val="21"/>
        </w:rPr>
        <w:t>.2.1供应商在本项目响应文件提交截止时间前，在信用中国（网址：https://www.creditchina.gov.cn/）网站“信用信息”查询栏中查询下载的“信用信息报告”或“信用服务”查询模块内查询的信息记录（包括但不限于：失信被执行人查询、重大税收违法案件当事人查询、政府采购不良行为记录查询）未出现不良信用信息记录，且在“中国政府采购网（网址：http://www.ccgp.gov.cn/）”网站“政府采购严重违法失信行为记录名单”内查询无不良信用信息记录，且在“国家企业信用信息公示系统（网址：</w:t>
      </w:r>
      <w:r>
        <w:rPr>
          <w:rFonts w:hAnsi="宋体"/>
          <w:szCs w:val="21"/>
        </w:rPr>
        <w:t>http://www.gsxt.gov.cn/index.html</w:t>
      </w:r>
      <w:r>
        <w:rPr>
          <w:rFonts w:hint="eastAsia" w:hAnsi="宋体"/>
          <w:szCs w:val="21"/>
        </w:rPr>
        <w:t>）”网站未被列入“列入严重违法失信企业名单（黑名单）信息”（注：查询结果以采购人、采购代理机构查询结果为准）；</w:t>
      </w:r>
    </w:p>
    <w:p>
      <w:pPr>
        <w:spacing w:line="360" w:lineRule="auto"/>
        <w:ind w:firstLine="420" w:firstLineChars="200"/>
        <w:rPr>
          <w:rFonts w:hAnsi="宋体"/>
          <w:szCs w:val="21"/>
        </w:rPr>
      </w:pPr>
      <w:r>
        <w:rPr>
          <w:rFonts w:hAnsi="宋体"/>
          <w:szCs w:val="21"/>
        </w:rPr>
        <w:t>1</w:t>
      </w:r>
      <w:r>
        <w:rPr>
          <w:rFonts w:hint="eastAsia" w:hAnsi="宋体"/>
          <w:szCs w:val="21"/>
        </w:rPr>
        <w:t>.2.2供应商须提供20</w:t>
      </w:r>
      <w:r>
        <w:rPr>
          <w:rFonts w:hAnsi="宋体"/>
          <w:szCs w:val="21"/>
        </w:rPr>
        <w:t>20</w:t>
      </w:r>
      <w:r>
        <w:rPr>
          <w:rFonts w:hint="eastAsia" w:hAnsi="宋体"/>
          <w:szCs w:val="21"/>
        </w:rPr>
        <w:t>年度经第三方机构审计的审计报告及财务报表【包括但不限于：资产负债表、利润表（或损益表）、现金流量表】【注：供应商若为事业单位的，则不需提供利润表（或损益表）；新成立企业不满一年的，可提供开户银行出具的资信证明或资金存款证明】。</w:t>
      </w:r>
    </w:p>
    <w:p>
      <w:pPr>
        <w:spacing w:line="360" w:lineRule="auto"/>
        <w:ind w:firstLine="420" w:firstLineChars="200"/>
        <w:rPr>
          <w:rFonts w:hAnsi="宋体"/>
          <w:szCs w:val="21"/>
        </w:rPr>
      </w:pPr>
      <w:r>
        <w:rPr>
          <w:rFonts w:hAnsi="宋体"/>
          <w:szCs w:val="21"/>
        </w:rPr>
        <w:t>1</w:t>
      </w:r>
      <w:r>
        <w:rPr>
          <w:rFonts w:hint="eastAsia" w:hAnsi="宋体"/>
          <w:szCs w:val="21"/>
        </w:rPr>
        <w:t>.3具有履行合同所必需的设备和专业技术能力：供应商须提供具有履行合同所必需的设备和专业技术能力的证明材料或书面声明。</w:t>
      </w:r>
    </w:p>
    <w:p>
      <w:pPr>
        <w:spacing w:line="360" w:lineRule="auto"/>
        <w:ind w:firstLine="420" w:firstLineChars="200"/>
        <w:rPr>
          <w:rFonts w:hAnsi="宋体"/>
          <w:szCs w:val="21"/>
        </w:rPr>
      </w:pPr>
      <w:r>
        <w:rPr>
          <w:rFonts w:hAnsi="宋体"/>
          <w:szCs w:val="21"/>
        </w:rPr>
        <w:t>1</w:t>
      </w:r>
      <w:r>
        <w:rPr>
          <w:rFonts w:hint="eastAsia" w:hAnsi="宋体"/>
          <w:szCs w:val="21"/>
        </w:rPr>
        <w:t>.4有依法缴纳税收和社会保障资金的良好记录：</w:t>
      </w:r>
    </w:p>
    <w:p>
      <w:pPr>
        <w:spacing w:line="360" w:lineRule="auto"/>
        <w:ind w:firstLine="420" w:firstLineChars="200"/>
        <w:rPr>
          <w:rFonts w:hAnsi="宋体"/>
          <w:szCs w:val="21"/>
        </w:rPr>
      </w:pPr>
      <w:r>
        <w:rPr>
          <w:rFonts w:hAnsi="宋体"/>
          <w:szCs w:val="21"/>
        </w:rPr>
        <w:t>1</w:t>
      </w:r>
      <w:r>
        <w:rPr>
          <w:rFonts w:hint="eastAsia" w:hAnsi="宋体"/>
          <w:szCs w:val="21"/>
        </w:rPr>
        <w:t>.4.1供应商须提供缴税所属时间在20</w:t>
      </w:r>
      <w:r>
        <w:rPr>
          <w:rFonts w:hAnsi="宋体"/>
          <w:szCs w:val="21"/>
        </w:rPr>
        <w:t>20</w:t>
      </w:r>
      <w:r>
        <w:rPr>
          <w:rFonts w:hint="eastAsia" w:hAnsi="宋体"/>
          <w:szCs w:val="21"/>
        </w:rPr>
        <w:t>年01月至本项目响应文件提交截止时间前任意2个月的税务局税收通用缴款书或银行电子缴税（费）凭证或税务局出具的纳税情况相关证明材料；依法免税的，应提供依法免税的相关证明材料；</w:t>
      </w:r>
    </w:p>
    <w:p>
      <w:pPr>
        <w:spacing w:line="360" w:lineRule="auto"/>
        <w:ind w:firstLine="420" w:firstLineChars="200"/>
        <w:rPr>
          <w:rFonts w:hAnsi="宋体"/>
          <w:szCs w:val="21"/>
        </w:rPr>
      </w:pPr>
      <w:r>
        <w:rPr>
          <w:rFonts w:hAnsi="宋体"/>
          <w:szCs w:val="21"/>
        </w:rPr>
        <w:t>1</w:t>
      </w:r>
      <w:r>
        <w:rPr>
          <w:rFonts w:hint="eastAsia" w:hAnsi="宋体"/>
          <w:szCs w:val="21"/>
        </w:rPr>
        <w:t>.4.2供应商须提供缴费所属时间在20</w:t>
      </w:r>
      <w:r>
        <w:rPr>
          <w:rFonts w:hAnsi="宋体"/>
          <w:szCs w:val="21"/>
        </w:rPr>
        <w:t>20</w:t>
      </w:r>
      <w:r>
        <w:rPr>
          <w:rFonts w:hint="eastAsia" w:hAnsi="宋体"/>
          <w:szCs w:val="21"/>
        </w:rPr>
        <w:t>年01月至本项目响应文件提交截止时间前任意2个月的社会保险费缴款书或银行电子缴税（费）凭证或社保管理部门出具的缴款证明；依法免缴的，应提供依法免缴的相关证明材料。</w:t>
      </w:r>
    </w:p>
    <w:p>
      <w:pPr>
        <w:spacing w:line="360" w:lineRule="auto"/>
        <w:ind w:firstLine="420" w:firstLineChars="200"/>
        <w:rPr>
          <w:rFonts w:hAnsi="宋体"/>
          <w:szCs w:val="21"/>
        </w:rPr>
      </w:pPr>
      <w:r>
        <w:rPr>
          <w:rFonts w:hAnsi="宋体"/>
          <w:szCs w:val="21"/>
        </w:rPr>
        <w:t>1</w:t>
      </w:r>
      <w:r>
        <w:rPr>
          <w:rFonts w:hint="eastAsia" w:hAnsi="宋体"/>
          <w:szCs w:val="21"/>
        </w:rPr>
        <w:t>.5参加政府采购活动前三年内，在经营活动中没有重大违法记录：供应商须提供参加政府采购活动前三年内，在经营活动中没有重大违法记录（重大违法记录是指：供应商因违法经营受到刑事处罚或者责令停产停业、吊销许可证或者执照、较大数额罚款等行政处罚）的书面声明。</w:t>
      </w:r>
    </w:p>
    <w:p>
      <w:pPr>
        <w:spacing w:line="360" w:lineRule="auto"/>
        <w:ind w:firstLine="420" w:firstLineChars="200"/>
      </w:pPr>
      <w:r>
        <w:t>1.6</w:t>
      </w:r>
      <w:r>
        <w:rPr>
          <w:rFonts w:hint="eastAsia"/>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pPr>
        <w:spacing w:line="360" w:lineRule="auto"/>
        <w:ind w:firstLine="420" w:firstLineChars="200"/>
      </w:pPr>
      <w:r>
        <w:t>1.7</w:t>
      </w:r>
      <w:r>
        <w:rPr>
          <w:rFonts w:hint="eastAsia"/>
        </w:rPr>
        <w:t>本项目不接受联合体。</w:t>
      </w:r>
    </w:p>
    <w:p>
      <w:pPr>
        <w:spacing w:line="360" w:lineRule="auto"/>
        <w:ind w:firstLine="420" w:firstLineChars="200"/>
        <w:rPr>
          <w:rFonts w:hAnsi="宋体"/>
          <w:szCs w:val="21"/>
        </w:rPr>
      </w:pPr>
      <w:r>
        <w:rPr>
          <w:rFonts w:hAnsi="宋体"/>
          <w:szCs w:val="21"/>
        </w:rPr>
        <w:t>1.8</w:t>
      </w:r>
      <w:r>
        <w:rPr>
          <w:rFonts w:hint="eastAsia" w:hAnsi="宋体"/>
          <w:szCs w:val="21"/>
        </w:rPr>
        <w:t>本次采购</w:t>
      </w:r>
      <w:r>
        <w:rPr>
          <w:rFonts w:hint="eastAsia" w:hAnsi="宋体"/>
          <w:b/>
          <w:bCs/>
          <w:szCs w:val="21"/>
          <w:u w:val="single"/>
        </w:rPr>
        <w:t xml:space="preserve"> 不接受 </w:t>
      </w:r>
      <w:r>
        <w:rPr>
          <w:rFonts w:hint="eastAsia" w:hAnsi="宋体"/>
          <w:szCs w:val="21"/>
        </w:rPr>
        <w:t>进口产品参加。进口产品是指通过中国海关报关验放进入中国境内且产自关境外的产品。</w:t>
      </w:r>
      <w:bookmarkStart w:id="12" w:name="_Toc490305678"/>
      <w:bookmarkStart w:id="13" w:name="_Toc86124035"/>
      <w:bookmarkStart w:id="14" w:name="_Toc462330057"/>
    </w:p>
    <w:p>
      <w:pPr>
        <w:spacing w:line="360" w:lineRule="auto"/>
        <w:ind w:firstLine="420" w:firstLineChars="200"/>
      </w:pPr>
      <w:r>
        <w:t>1.9</w:t>
      </w:r>
      <w:r>
        <w:rPr>
          <w:rFonts w:hint="eastAsia"/>
        </w:rPr>
        <w:t>本项目只设一个标段。</w:t>
      </w:r>
    </w:p>
    <w:bookmarkEnd w:id="12"/>
    <w:bookmarkEnd w:id="13"/>
    <w:bookmarkEnd w:id="14"/>
    <w:p>
      <w:pPr>
        <w:spacing w:line="360" w:lineRule="auto"/>
        <w:ind w:firstLine="420" w:firstLineChars="200"/>
        <w:rPr>
          <w:rFonts w:hAnsi="宋体"/>
          <w:szCs w:val="21"/>
        </w:rPr>
      </w:pPr>
      <w:bookmarkStart w:id="15" w:name="_Toc28359014"/>
      <w:bookmarkStart w:id="16" w:name="_Toc28359091"/>
      <w:r>
        <w:rPr>
          <w:rFonts w:hAnsi="宋体"/>
          <w:szCs w:val="21"/>
        </w:rPr>
        <w:t>2</w:t>
      </w:r>
      <w:r>
        <w:rPr>
          <w:rFonts w:hint="eastAsia" w:hAnsi="宋体"/>
          <w:szCs w:val="21"/>
        </w:rPr>
        <w:t>.落实政府采购政策需满足的资格要求：无。</w:t>
      </w:r>
    </w:p>
    <w:p>
      <w:pPr>
        <w:spacing w:line="360" w:lineRule="auto"/>
        <w:ind w:firstLine="420" w:firstLineChars="200"/>
        <w:rPr>
          <w:rFonts w:hAnsi="宋体"/>
          <w:szCs w:val="21"/>
        </w:rPr>
      </w:pPr>
      <w:r>
        <w:rPr>
          <w:rFonts w:hint="eastAsia" w:hAnsi="宋体"/>
          <w:szCs w:val="21"/>
        </w:rPr>
        <w:t>3.本项目的特定资格要求：无。</w:t>
      </w:r>
    </w:p>
    <w:p>
      <w:pPr>
        <w:pStyle w:val="110"/>
        <w:keepNext w:val="0"/>
        <w:keepLines w:val="0"/>
        <w:spacing w:line="360" w:lineRule="auto"/>
        <w:rPr>
          <w:rFonts w:ascii="黑体" w:hAnsi="黑体"/>
          <w:b/>
          <w:bCs/>
        </w:rPr>
      </w:pPr>
      <w:bookmarkStart w:id="17" w:name="_Toc35393631"/>
      <w:bookmarkStart w:id="18" w:name="_Toc35393800"/>
      <w:bookmarkStart w:id="19" w:name="_Toc72489518"/>
      <w:r>
        <w:rPr>
          <w:rFonts w:hint="eastAsia" w:ascii="黑体" w:hAnsi="黑体"/>
          <w:b/>
          <w:bCs/>
        </w:rPr>
        <w:t>三、获取采购文件</w:t>
      </w:r>
      <w:bookmarkEnd w:id="15"/>
      <w:bookmarkEnd w:id="16"/>
      <w:bookmarkEnd w:id="17"/>
      <w:bookmarkEnd w:id="18"/>
      <w:bookmarkEnd w:id="19"/>
    </w:p>
    <w:p>
      <w:pPr>
        <w:spacing w:line="360" w:lineRule="auto"/>
        <w:ind w:firstLine="420" w:firstLineChars="200"/>
        <w:rPr>
          <w:rFonts w:hAnsi="宋体"/>
          <w:szCs w:val="21"/>
        </w:rPr>
      </w:pPr>
      <w:r>
        <w:rPr>
          <w:rFonts w:hint="eastAsia" w:hAnsi="宋体"/>
          <w:szCs w:val="21"/>
        </w:rPr>
        <w:t>时间：</w:t>
      </w:r>
      <w:r>
        <w:rPr>
          <w:rFonts w:hAnsi="宋体"/>
          <w:szCs w:val="21"/>
          <w:u w:val="single"/>
        </w:rPr>
        <w:t>2021</w:t>
      </w:r>
      <w:r>
        <w:rPr>
          <w:rFonts w:hint="eastAsia" w:hAnsi="宋体"/>
          <w:szCs w:val="21"/>
        </w:rPr>
        <w:t>年</w:t>
      </w:r>
      <w:r>
        <w:rPr>
          <w:rFonts w:hAnsi="宋体"/>
          <w:szCs w:val="21"/>
          <w:u w:val="single"/>
        </w:rPr>
        <w:t>06</w:t>
      </w:r>
      <w:r>
        <w:rPr>
          <w:rFonts w:hint="eastAsia" w:hAnsi="宋体"/>
          <w:szCs w:val="21"/>
        </w:rPr>
        <w:t>月</w:t>
      </w:r>
      <w:r>
        <w:rPr>
          <w:rFonts w:hAnsi="宋体"/>
          <w:szCs w:val="21"/>
          <w:u w:val="single"/>
        </w:rPr>
        <w:t>01</w:t>
      </w:r>
      <w:r>
        <w:rPr>
          <w:rFonts w:hint="eastAsia" w:hAnsi="宋体"/>
          <w:szCs w:val="21"/>
        </w:rPr>
        <w:t>日至</w:t>
      </w:r>
      <w:r>
        <w:rPr>
          <w:rFonts w:hAnsi="宋体"/>
          <w:szCs w:val="21"/>
          <w:u w:val="single"/>
        </w:rPr>
        <w:t>2021</w:t>
      </w:r>
      <w:r>
        <w:rPr>
          <w:rFonts w:hint="eastAsia" w:hAnsi="宋体"/>
          <w:szCs w:val="21"/>
        </w:rPr>
        <w:t>年</w:t>
      </w:r>
      <w:r>
        <w:rPr>
          <w:rFonts w:hAnsi="宋体"/>
          <w:szCs w:val="21"/>
          <w:u w:val="single"/>
        </w:rPr>
        <w:t>06</w:t>
      </w:r>
      <w:r>
        <w:rPr>
          <w:rFonts w:hint="eastAsia" w:hAnsi="宋体"/>
          <w:szCs w:val="21"/>
        </w:rPr>
        <w:t>月</w:t>
      </w:r>
      <w:r>
        <w:rPr>
          <w:rFonts w:hAnsi="宋体"/>
          <w:szCs w:val="21"/>
          <w:u w:val="single"/>
        </w:rPr>
        <w:t>07</w:t>
      </w:r>
      <w:r>
        <w:rPr>
          <w:rFonts w:hint="eastAsia" w:hAnsi="宋体"/>
          <w:szCs w:val="21"/>
        </w:rPr>
        <w:t>日，每天上午0</w:t>
      </w:r>
      <w:r>
        <w:rPr>
          <w:rFonts w:hAnsi="宋体"/>
          <w:szCs w:val="21"/>
        </w:rPr>
        <w:t>8</w:t>
      </w:r>
      <w:r>
        <w:rPr>
          <w:rFonts w:hint="eastAsia" w:hAnsi="宋体"/>
          <w:szCs w:val="21"/>
        </w:rPr>
        <w:t>时3</w:t>
      </w:r>
      <w:r>
        <w:rPr>
          <w:rFonts w:hAnsi="宋体"/>
          <w:szCs w:val="21"/>
        </w:rPr>
        <w:t>0</w:t>
      </w:r>
      <w:r>
        <w:rPr>
          <w:rFonts w:hint="eastAsia" w:hAnsi="宋体"/>
          <w:szCs w:val="21"/>
        </w:rPr>
        <w:t>分至1</w:t>
      </w:r>
      <w:r>
        <w:rPr>
          <w:rFonts w:hAnsi="宋体"/>
          <w:szCs w:val="21"/>
        </w:rPr>
        <w:t>1</w:t>
      </w:r>
      <w:r>
        <w:rPr>
          <w:rFonts w:hint="eastAsia" w:hAnsi="宋体"/>
          <w:szCs w:val="21"/>
        </w:rPr>
        <w:t>时3</w:t>
      </w:r>
      <w:r>
        <w:rPr>
          <w:rFonts w:hAnsi="宋体"/>
          <w:szCs w:val="21"/>
        </w:rPr>
        <w:t>0</w:t>
      </w:r>
      <w:r>
        <w:rPr>
          <w:rFonts w:hint="eastAsia" w:hAnsi="宋体"/>
          <w:szCs w:val="21"/>
        </w:rPr>
        <w:t>分，下午1</w:t>
      </w:r>
      <w:r>
        <w:rPr>
          <w:rFonts w:hAnsi="宋体"/>
          <w:szCs w:val="21"/>
        </w:rPr>
        <w:t>3</w:t>
      </w:r>
      <w:r>
        <w:rPr>
          <w:rFonts w:hint="eastAsia" w:hAnsi="宋体"/>
          <w:szCs w:val="21"/>
        </w:rPr>
        <w:t>时3</w:t>
      </w:r>
      <w:r>
        <w:rPr>
          <w:rFonts w:hAnsi="宋体"/>
          <w:szCs w:val="21"/>
        </w:rPr>
        <w:t>0</w:t>
      </w:r>
      <w:r>
        <w:rPr>
          <w:rFonts w:hint="eastAsia" w:hAnsi="宋体"/>
          <w:szCs w:val="21"/>
        </w:rPr>
        <w:t>分至1</w:t>
      </w:r>
      <w:r>
        <w:rPr>
          <w:rFonts w:hAnsi="宋体"/>
          <w:szCs w:val="21"/>
        </w:rPr>
        <w:t>7</w:t>
      </w:r>
      <w:r>
        <w:rPr>
          <w:rFonts w:hint="eastAsia" w:hAnsi="宋体"/>
          <w:szCs w:val="21"/>
        </w:rPr>
        <w:t>时0</w:t>
      </w:r>
      <w:r>
        <w:rPr>
          <w:rFonts w:hAnsi="宋体"/>
          <w:szCs w:val="21"/>
        </w:rPr>
        <w:t>0</w:t>
      </w:r>
      <w:r>
        <w:rPr>
          <w:rFonts w:hint="eastAsia" w:hAnsi="宋体"/>
          <w:szCs w:val="21"/>
        </w:rPr>
        <w:t>分（北京时间，</w:t>
      </w:r>
      <w:r>
        <w:rPr>
          <w:rFonts w:hAnsi="宋体"/>
          <w:szCs w:val="21"/>
        </w:rPr>
        <w:t>法定节假日</w:t>
      </w:r>
      <w:r>
        <w:rPr>
          <w:rFonts w:hint="eastAsia" w:hAnsi="宋体"/>
          <w:szCs w:val="21"/>
        </w:rPr>
        <w:t>除外）。</w:t>
      </w:r>
    </w:p>
    <w:p>
      <w:pPr>
        <w:spacing w:line="360" w:lineRule="auto"/>
        <w:ind w:firstLine="420" w:firstLineChars="200"/>
        <w:rPr>
          <w:rFonts w:hAnsi="宋体"/>
          <w:szCs w:val="21"/>
        </w:rPr>
      </w:pPr>
      <w:r>
        <w:rPr>
          <w:rFonts w:hint="eastAsia" w:hAnsi="宋体"/>
          <w:szCs w:val="21"/>
        </w:rPr>
        <w:t>地点：云南省昆明市盘龙区世博生态城低碳中心B栋1单元12层昆明晨晟招标有限责任公司前台。</w:t>
      </w:r>
    </w:p>
    <w:p>
      <w:pPr>
        <w:spacing w:line="360" w:lineRule="auto"/>
        <w:ind w:firstLine="420" w:firstLineChars="200"/>
        <w:rPr>
          <w:rFonts w:hAnsi="宋体"/>
          <w:szCs w:val="21"/>
        </w:rPr>
      </w:pPr>
      <w:r>
        <w:rPr>
          <w:rFonts w:hint="eastAsia" w:hAnsi="宋体"/>
          <w:szCs w:val="21"/>
        </w:rPr>
        <w:t>方式：凡有意参加的供应商，请持以下材料获取竞争性磋商文件：</w:t>
      </w:r>
      <w:r>
        <w:rPr>
          <w:rFonts w:hint="eastAsia" w:hAnsi="宋体"/>
          <w:b/>
          <w:bCs/>
          <w:szCs w:val="21"/>
        </w:rPr>
        <w:t>营业执照（复印件并加盖单位公章）、企业介绍信原件或授权委托书原件、被介绍人身份证或授权委托人身份证原件。</w:t>
      </w:r>
    </w:p>
    <w:p>
      <w:pPr>
        <w:spacing w:line="360" w:lineRule="auto"/>
        <w:ind w:firstLine="420" w:firstLineChars="200"/>
        <w:rPr>
          <w:rFonts w:hAnsi="宋体"/>
          <w:szCs w:val="21"/>
        </w:rPr>
      </w:pPr>
      <w:r>
        <w:rPr>
          <w:rFonts w:hint="eastAsia" w:hAnsi="宋体"/>
          <w:szCs w:val="21"/>
        </w:rPr>
        <w:t>售价：竞争性磋商文件每套售价</w:t>
      </w:r>
      <w:r>
        <w:rPr>
          <w:rFonts w:hAnsi="宋体"/>
          <w:szCs w:val="21"/>
          <w:u w:val="single"/>
        </w:rPr>
        <w:t>5</w:t>
      </w:r>
      <w:r>
        <w:rPr>
          <w:rFonts w:hint="eastAsia" w:hAnsi="宋体"/>
          <w:szCs w:val="21"/>
          <w:u w:val="single"/>
        </w:rPr>
        <w:t>00.00</w:t>
      </w:r>
      <w:r>
        <w:rPr>
          <w:rFonts w:hint="eastAsia" w:hAnsi="宋体"/>
          <w:szCs w:val="21"/>
        </w:rPr>
        <w:t>元，售后不退。</w:t>
      </w:r>
    </w:p>
    <w:p>
      <w:pPr>
        <w:pStyle w:val="110"/>
        <w:keepNext w:val="0"/>
        <w:keepLines w:val="0"/>
        <w:spacing w:line="360" w:lineRule="auto"/>
        <w:rPr>
          <w:rFonts w:ascii="黑体" w:hAnsi="黑体"/>
          <w:b/>
          <w:bCs/>
        </w:rPr>
      </w:pPr>
      <w:bookmarkStart w:id="20" w:name="_Toc35393801"/>
      <w:bookmarkStart w:id="21" w:name="_Toc35393632"/>
      <w:bookmarkStart w:id="22" w:name="_Toc28359015"/>
      <w:bookmarkStart w:id="23" w:name="_Toc28359092"/>
      <w:bookmarkStart w:id="24" w:name="_Toc72489519"/>
      <w:r>
        <w:rPr>
          <w:rFonts w:hint="eastAsia" w:ascii="黑体" w:hAnsi="黑体"/>
          <w:b/>
          <w:bCs/>
        </w:rPr>
        <w:t>四、响应文件提交</w:t>
      </w:r>
      <w:bookmarkEnd w:id="20"/>
      <w:bookmarkEnd w:id="21"/>
      <w:bookmarkEnd w:id="22"/>
      <w:bookmarkEnd w:id="23"/>
      <w:bookmarkEnd w:id="24"/>
    </w:p>
    <w:p>
      <w:pPr>
        <w:spacing w:line="360" w:lineRule="auto"/>
        <w:ind w:firstLine="420" w:firstLineChars="200"/>
        <w:rPr>
          <w:rFonts w:hAnsi="宋体"/>
          <w:szCs w:val="21"/>
        </w:rPr>
      </w:pPr>
      <w:r>
        <w:rPr>
          <w:rFonts w:hint="eastAsia" w:hAnsi="宋体"/>
          <w:szCs w:val="21"/>
        </w:rPr>
        <w:t>截止时间：</w:t>
      </w:r>
      <w:r>
        <w:rPr>
          <w:rFonts w:hAnsi="宋体"/>
          <w:szCs w:val="21"/>
          <w:u w:val="single"/>
        </w:rPr>
        <w:t>2021</w:t>
      </w:r>
      <w:r>
        <w:rPr>
          <w:rFonts w:hint="eastAsia" w:hAnsi="宋体"/>
          <w:szCs w:val="21"/>
        </w:rPr>
        <w:t>年</w:t>
      </w:r>
      <w:r>
        <w:rPr>
          <w:rFonts w:hAnsi="宋体"/>
          <w:szCs w:val="21"/>
          <w:u w:val="single"/>
        </w:rPr>
        <w:t>06</w:t>
      </w:r>
      <w:r>
        <w:rPr>
          <w:rFonts w:hint="eastAsia" w:hAnsi="宋体"/>
          <w:szCs w:val="21"/>
        </w:rPr>
        <w:t>月</w:t>
      </w:r>
      <w:r>
        <w:rPr>
          <w:rFonts w:hAnsi="宋体"/>
          <w:szCs w:val="21"/>
          <w:u w:val="single"/>
        </w:rPr>
        <w:t>11</w:t>
      </w:r>
      <w:r>
        <w:rPr>
          <w:rFonts w:hint="eastAsia" w:hAnsi="宋体"/>
          <w:szCs w:val="21"/>
        </w:rPr>
        <w:t>日</w:t>
      </w:r>
      <w:r>
        <w:rPr>
          <w:rFonts w:hAnsi="宋体"/>
          <w:szCs w:val="21"/>
          <w:u w:val="single"/>
        </w:rPr>
        <w:t>14</w:t>
      </w:r>
      <w:r>
        <w:rPr>
          <w:rFonts w:hint="eastAsia" w:hAnsi="宋体"/>
          <w:szCs w:val="21"/>
        </w:rPr>
        <w:t>点</w:t>
      </w:r>
      <w:r>
        <w:rPr>
          <w:rFonts w:hAnsi="宋体"/>
          <w:szCs w:val="21"/>
          <w:u w:val="single"/>
        </w:rPr>
        <w:t>00</w:t>
      </w:r>
      <w:r>
        <w:rPr>
          <w:rFonts w:hint="eastAsia" w:hAnsi="宋体"/>
          <w:szCs w:val="21"/>
        </w:rPr>
        <w:t>分（北京时间）</w:t>
      </w:r>
    </w:p>
    <w:p>
      <w:pPr>
        <w:spacing w:line="360" w:lineRule="auto"/>
        <w:ind w:firstLine="420" w:firstLineChars="200"/>
        <w:rPr>
          <w:rFonts w:hAnsi="宋体"/>
          <w:szCs w:val="21"/>
        </w:rPr>
      </w:pPr>
      <w:r>
        <w:rPr>
          <w:rFonts w:hint="eastAsia" w:hAnsi="宋体"/>
          <w:szCs w:val="21"/>
        </w:rPr>
        <w:t>地点：云南省昆明市盘龙区世博生态城低碳中心B栋1单元12层昆明晨晟招标有限责任公司会议室。</w:t>
      </w:r>
    </w:p>
    <w:p>
      <w:pPr>
        <w:pStyle w:val="110"/>
        <w:keepNext w:val="0"/>
        <w:keepLines w:val="0"/>
        <w:spacing w:line="360" w:lineRule="auto"/>
        <w:rPr>
          <w:rFonts w:ascii="黑体" w:hAnsi="黑体"/>
          <w:b/>
          <w:bCs/>
        </w:rPr>
      </w:pPr>
      <w:bookmarkStart w:id="25" w:name="_Toc35393633"/>
      <w:bookmarkStart w:id="26" w:name="_Toc28359093"/>
      <w:bookmarkStart w:id="27" w:name="_Toc35393802"/>
      <w:bookmarkStart w:id="28" w:name="_Toc28359016"/>
      <w:bookmarkStart w:id="29" w:name="_Toc72489520"/>
      <w:r>
        <w:rPr>
          <w:rFonts w:hint="eastAsia" w:ascii="黑体" w:hAnsi="黑体"/>
          <w:b/>
          <w:bCs/>
        </w:rPr>
        <w:t>五、开启</w:t>
      </w:r>
      <w:bookmarkEnd w:id="25"/>
      <w:bookmarkEnd w:id="26"/>
      <w:bookmarkEnd w:id="27"/>
      <w:bookmarkEnd w:id="28"/>
      <w:bookmarkEnd w:id="29"/>
    </w:p>
    <w:p>
      <w:pPr>
        <w:spacing w:line="360" w:lineRule="auto"/>
        <w:ind w:firstLine="420" w:firstLineChars="200"/>
        <w:rPr>
          <w:rFonts w:hAnsi="宋体"/>
          <w:szCs w:val="21"/>
        </w:rPr>
      </w:pPr>
      <w:r>
        <w:rPr>
          <w:rFonts w:hint="eastAsia" w:hAnsi="宋体"/>
          <w:szCs w:val="21"/>
        </w:rPr>
        <w:t>时间：</w:t>
      </w:r>
      <w:r>
        <w:rPr>
          <w:rFonts w:hAnsi="宋体"/>
          <w:szCs w:val="21"/>
          <w:u w:val="single"/>
        </w:rPr>
        <w:t>2021</w:t>
      </w:r>
      <w:r>
        <w:rPr>
          <w:rFonts w:hint="eastAsia" w:hAnsi="宋体"/>
          <w:szCs w:val="21"/>
        </w:rPr>
        <w:t>年</w:t>
      </w:r>
      <w:r>
        <w:rPr>
          <w:rFonts w:hAnsi="宋体"/>
          <w:szCs w:val="21"/>
          <w:u w:val="single"/>
        </w:rPr>
        <w:t>06</w:t>
      </w:r>
      <w:r>
        <w:rPr>
          <w:rFonts w:hint="eastAsia" w:hAnsi="宋体"/>
          <w:szCs w:val="21"/>
        </w:rPr>
        <w:t>月</w:t>
      </w:r>
      <w:r>
        <w:rPr>
          <w:rFonts w:hAnsi="宋体"/>
          <w:szCs w:val="21"/>
          <w:u w:val="single"/>
        </w:rPr>
        <w:t>11</w:t>
      </w:r>
      <w:r>
        <w:rPr>
          <w:rFonts w:hint="eastAsia" w:hAnsi="宋体"/>
          <w:szCs w:val="21"/>
        </w:rPr>
        <w:t>日</w:t>
      </w:r>
      <w:r>
        <w:rPr>
          <w:rFonts w:hAnsi="宋体"/>
          <w:szCs w:val="21"/>
          <w:u w:val="single"/>
        </w:rPr>
        <w:t>14</w:t>
      </w:r>
      <w:r>
        <w:rPr>
          <w:rFonts w:hint="eastAsia" w:hAnsi="宋体"/>
          <w:szCs w:val="21"/>
        </w:rPr>
        <w:t>点</w:t>
      </w:r>
      <w:r>
        <w:rPr>
          <w:rFonts w:hAnsi="宋体"/>
          <w:szCs w:val="21"/>
          <w:u w:val="single"/>
        </w:rPr>
        <w:t>00</w:t>
      </w:r>
      <w:r>
        <w:rPr>
          <w:rFonts w:hint="eastAsia" w:hAnsi="宋体"/>
          <w:szCs w:val="21"/>
        </w:rPr>
        <w:t>分（北京时间）</w:t>
      </w:r>
    </w:p>
    <w:p>
      <w:pPr>
        <w:spacing w:line="360" w:lineRule="auto"/>
        <w:ind w:firstLine="420" w:firstLineChars="200"/>
        <w:rPr>
          <w:rFonts w:hAnsi="宋体"/>
          <w:szCs w:val="21"/>
        </w:rPr>
      </w:pPr>
      <w:r>
        <w:rPr>
          <w:rFonts w:hint="eastAsia" w:hAnsi="宋体"/>
          <w:szCs w:val="21"/>
        </w:rPr>
        <w:t>地点：云南省昆明市盘龙区世博生态城低碳中心B栋1单元12层昆明晨晟招标有限责任公司会议室。</w:t>
      </w:r>
    </w:p>
    <w:p>
      <w:pPr>
        <w:pStyle w:val="110"/>
        <w:keepNext w:val="0"/>
        <w:keepLines w:val="0"/>
        <w:spacing w:line="360" w:lineRule="auto"/>
        <w:rPr>
          <w:rFonts w:ascii="黑体" w:hAnsi="黑体"/>
          <w:b/>
          <w:bCs/>
        </w:rPr>
      </w:pPr>
      <w:bookmarkStart w:id="30" w:name="_Toc28359094"/>
      <w:bookmarkStart w:id="31" w:name="_Toc28359017"/>
      <w:bookmarkStart w:id="32" w:name="_Toc35393634"/>
      <w:bookmarkStart w:id="33" w:name="_Toc35393803"/>
      <w:bookmarkStart w:id="34" w:name="_Toc72489521"/>
      <w:r>
        <w:rPr>
          <w:rFonts w:hint="eastAsia" w:ascii="黑体" w:hAnsi="黑体"/>
          <w:b/>
          <w:bCs/>
        </w:rPr>
        <w:t>六、公告期限</w:t>
      </w:r>
      <w:bookmarkEnd w:id="30"/>
      <w:bookmarkEnd w:id="31"/>
      <w:bookmarkEnd w:id="32"/>
      <w:bookmarkEnd w:id="33"/>
      <w:bookmarkEnd w:id="34"/>
    </w:p>
    <w:p>
      <w:pPr>
        <w:spacing w:line="360" w:lineRule="auto"/>
        <w:ind w:firstLine="420" w:firstLineChars="200"/>
        <w:rPr>
          <w:rFonts w:hAnsi="宋体"/>
          <w:szCs w:val="21"/>
        </w:rPr>
      </w:pPr>
      <w:r>
        <w:rPr>
          <w:rFonts w:hint="eastAsia" w:hAnsi="宋体"/>
          <w:szCs w:val="21"/>
        </w:rPr>
        <w:t>自本公告发布之日起3个工作日。</w:t>
      </w:r>
    </w:p>
    <w:p>
      <w:pPr>
        <w:pStyle w:val="110"/>
        <w:keepLines w:val="0"/>
        <w:spacing w:line="360" w:lineRule="auto"/>
        <w:rPr>
          <w:rFonts w:ascii="黑体" w:hAnsi="黑体"/>
          <w:b/>
          <w:bCs/>
        </w:rPr>
      </w:pPr>
      <w:bookmarkStart w:id="35" w:name="_Toc35393635"/>
      <w:bookmarkStart w:id="36" w:name="_Toc35393804"/>
      <w:bookmarkStart w:id="37" w:name="_Toc72489522"/>
      <w:r>
        <w:rPr>
          <w:rFonts w:hint="eastAsia" w:ascii="黑体" w:hAnsi="黑体"/>
          <w:b/>
          <w:bCs/>
        </w:rPr>
        <w:t>七、其他补充事宜</w:t>
      </w:r>
      <w:bookmarkEnd w:id="35"/>
      <w:bookmarkEnd w:id="36"/>
      <w:bookmarkEnd w:id="37"/>
    </w:p>
    <w:p>
      <w:pPr>
        <w:spacing w:line="348" w:lineRule="auto"/>
        <w:ind w:firstLine="420" w:firstLineChars="200"/>
      </w:pPr>
      <w:r>
        <w:rPr>
          <w:rFonts w:hint="eastAsia"/>
        </w:rPr>
        <w:t>1</w:t>
      </w:r>
      <w:r>
        <w:t>.</w:t>
      </w:r>
      <w:r>
        <w:rPr>
          <w:rFonts w:hint="eastAsia"/>
        </w:rPr>
        <w:t>本项目竞争性磋商公告在云南省政府采购网（</w:t>
      </w:r>
      <w:r>
        <w:t>http://www.yngp.com/</w:t>
      </w:r>
      <w:r>
        <w:rPr>
          <w:rFonts w:hint="eastAsia"/>
        </w:rPr>
        <w:t>）网站上发布。</w:t>
      </w:r>
    </w:p>
    <w:p>
      <w:pPr>
        <w:spacing w:line="348" w:lineRule="auto"/>
        <w:ind w:firstLine="420" w:firstLineChars="200"/>
        <w:rPr>
          <w:rFonts w:hAnsi="宋体"/>
          <w:szCs w:val="21"/>
        </w:rPr>
      </w:pPr>
      <w:r>
        <w:rPr>
          <w:rFonts w:hAnsi="宋体"/>
          <w:szCs w:val="21"/>
        </w:rPr>
        <w:t>2.</w:t>
      </w:r>
      <w:r>
        <w:rPr>
          <w:rFonts w:hint="eastAsia" w:hAnsi="宋体"/>
          <w:szCs w:val="21"/>
        </w:rPr>
        <w:t>供应商须在竞争性磋商文件要求的响应文件提交截止时间前，按竞争性磋商文件的要求，将密封完好的响应文件送达指定地点，供应商的法定代表人或其授权代理人准时参加；在截止时间后送达的响应文件或者未送达指定地点的响应文件为无效文件，采购人、采购代理机构将拒收。</w:t>
      </w:r>
    </w:p>
    <w:p>
      <w:pPr>
        <w:pStyle w:val="110"/>
        <w:keepNext w:val="0"/>
        <w:keepLines w:val="0"/>
        <w:spacing w:line="360" w:lineRule="auto"/>
        <w:rPr>
          <w:rFonts w:ascii="黑体" w:hAnsi="黑体"/>
          <w:b/>
          <w:bCs/>
        </w:rPr>
      </w:pPr>
      <w:bookmarkStart w:id="38" w:name="_Toc28359018"/>
      <w:bookmarkStart w:id="39" w:name="_Toc28359095"/>
      <w:bookmarkStart w:id="40" w:name="_Toc35393636"/>
      <w:bookmarkStart w:id="41" w:name="_Toc35393805"/>
      <w:bookmarkStart w:id="42" w:name="_Toc72489523"/>
      <w:r>
        <w:rPr>
          <w:rFonts w:hint="eastAsia" w:ascii="黑体" w:hAnsi="黑体"/>
          <w:b/>
          <w:bCs/>
        </w:rPr>
        <w:t>八、凡对本次采购提出询问，请按</w:t>
      </w:r>
      <w:r>
        <w:rPr>
          <w:rFonts w:ascii="黑体" w:hAnsi="黑体"/>
          <w:b/>
          <w:bCs/>
        </w:rPr>
        <w:t>以下方式</w:t>
      </w:r>
      <w:r>
        <w:rPr>
          <w:rFonts w:hint="eastAsia" w:ascii="黑体" w:hAnsi="黑体"/>
          <w:b/>
          <w:bCs/>
        </w:rPr>
        <w:t>联系。</w:t>
      </w:r>
      <w:bookmarkEnd w:id="38"/>
      <w:bookmarkEnd w:id="39"/>
      <w:bookmarkEnd w:id="40"/>
      <w:bookmarkEnd w:id="41"/>
      <w:bookmarkEnd w:id="42"/>
    </w:p>
    <w:p>
      <w:pPr>
        <w:spacing w:line="360" w:lineRule="auto"/>
        <w:ind w:firstLine="420" w:firstLineChars="200"/>
        <w:rPr>
          <w:rFonts w:hAnsi="宋体"/>
          <w:szCs w:val="21"/>
        </w:rPr>
      </w:pPr>
      <w:bookmarkStart w:id="43" w:name="_Toc28359096"/>
      <w:bookmarkStart w:id="44" w:name="_Toc28359019"/>
      <w:bookmarkStart w:id="45" w:name="_Toc35393637"/>
      <w:bookmarkStart w:id="46" w:name="_Toc35393806"/>
      <w:r>
        <w:rPr>
          <w:rFonts w:hint="eastAsia" w:hAnsi="宋体"/>
          <w:szCs w:val="21"/>
        </w:rPr>
        <w:t>1.采购人信息</w:t>
      </w:r>
      <w:bookmarkEnd w:id="43"/>
      <w:bookmarkEnd w:id="44"/>
      <w:bookmarkEnd w:id="45"/>
      <w:bookmarkEnd w:id="46"/>
      <w:r>
        <w:rPr>
          <w:rFonts w:hint="eastAsia" w:hAnsi="宋体"/>
          <w:szCs w:val="21"/>
        </w:rPr>
        <w:t>：</w:t>
      </w:r>
    </w:p>
    <w:p>
      <w:pPr>
        <w:spacing w:line="360" w:lineRule="auto"/>
        <w:ind w:firstLine="420" w:firstLineChars="200"/>
        <w:rPr>
          <w:rFonts w:hAnsi="宋体"/>
          <w:szCs w:val="21"/>
        </w:rPr>
      </w:pPr>
      <w:r>
        <w:rPr>
          <w:rFonts w:hint="eastAsia" w:hAnsi="宋体"/>
          <w:szCs w:val="21"/>
        </w:rPr>
        <w:t>名    称：昆明市西山区政务服务管理局</w:t>
      </w:r>
    </w:p>
    <w:p>
      <w:pPr>
        <w:spacing w:line="360" w:lineRule="auto"/>
        <w:ind w:firstLine="420" w:firstLineChars="200"/>
        <w:rPr>
          <w:rFonts w:hAnsi="宋体"/>
          <w:szCs w:val="21"/>
        </w:rPr>
      </w:pPr>
      <w:r>
        <w:rPr>
          <w:rFonts w:hint="eastAsia" w:hAnsi="宋体"/>
          <w:szCs w:val="21"/>
        </w:rPr>
        <w:t>地    址：昆明市西山区春雨路188号西山区城投商务大楼16楼</w:t>
      </w:r>
    </w:p>
    <w:p>
      <w:pPr>
        <w:spacing w:line="360" w:lineRule="auto"/>
        <w:ind w:firstLine="420" w:firstLineChars="200"/>
        <w:rPr>
          <w:rFonts w:hAnsi="宋体"/>
          <w:szCs w:val="21"/>
        </w:rPr>
      </w:pPr>
      <w:r>
        <w:rPr>
          <w:rFonts w:hint="eastAsia" w:hAnsi="宋体"/>
          <w:szCs w:val="21"/>
        </w:rPr>
        <w:t>联系方式：</w:t>
      </w:r>
      <w:r>
        <w:rPr>
          <w:rFonts w:hAnsi="宋体"/>
          <w:szCs w:val="21"/>
        </w:rPr>
        <w:t>0871-65176568</w:t>
      </w:r>
    </w:p>
    <w:p>
      <w:pPr>
        <w:spacing w:line="360" w:lineRule="auto"/>
        <w:ind w:firstLine="420" w:firstLineChars="200"/>
        <w:rPr>
          <w:rFonts w:hAnsi="宋体"/>
          <w:szCs w:val="21"/>
        </w:rPr>
      </w:pPr>
      <w:bookmarkStart w:id="47" w:name="_Toc28359097"/>
      <w:bookmarkStart w:id="48" w:name="_Toc28359020"/>
      <w:bookmarkStart w:id="49" w:name="_Toc35393638"/>
      <w:bookmarkStart w:id="50" w:name="_Toc35393807"/>
      <w:r>
        <w:rPr>
          <w:rFonts w:hint="eastAsia" w:hAnsi="宋体"/>
          <w:szCs w:val="21"/>
        </w:rPr>
        <w:t>2.采购代理机构信息</w:t>
      </w:r>
      <w:bookmarkEnd w:id="47"/>
      <w:bookmarkEnd w:id="48"/>
      <w:bookmarkEnd w:id="49"/>
      <w:bookmarkEnd w:id="50"/>
      <w:r>
        <w:rPr>
          <w:rFonts w:hint="eastAsia" w:hAnsi="宋体"/>
          <w:szCs w:val="21"/>
        </w:rPr>
        <w:t>：</w:t>
      </w:r>
    </w:p>
    <w:p>
      <w:pPr>
        <w:spacing w:line="360" w:lineRule="auto"/>
        <w:ind w:firstLine="420" w:firstLineChars="200"/>
        <w:rPr>
          <w:rFonts w:hAnsi="宋体"/>
          <w:szCs w:val="21"/>
        </w:rPr>
      </w:pPr>
      <w:r>
        <w:rPr>
          <w:rFonts w:hint="eastAsia" w:hAnsi="宋体"/>
          <w:szCs w:val="21"/>
        </w:rPr>
        <w:t>名    称：昆明晨晟招标有限责任公司</w:t>
      </w:r>
    </w:p>
    <w:p>
      <w:pPr>
        <w:spacing w:line="360" w:lineRule="auto"/>
        <w:ind w:firstLine="420" w:firstLineChars="200"/>
        <w:rPr>
          <w:rFonts w:hAnsi="宋体" w:cs="宋体"/>
          <w:szCs w:val="21"/>
        </w:rPr>
      </w:pPr>
      <w:r>
        <w:rPr>
          <w:rFonts w:hint="eastAsia" w:hAnsi="宋体"/>
          <w:szCs w:val="21"/>
        </w:rPr>
        <w:t xml:space="preserve">地 </w:t>
      </w:r>
      <w:r>
        <w:rPr>
          <w:rFonts w:hAnsi="宋体"/>
          <w:szCs w:val="21"/>
        </w:rPr>
        <w:t xml:space="preserve">   </w:t>
      </w:r>
      <w:r>
        <w:rPr>
          <w:rFonts w:hint="eastAsia" w:hAnsi="宋体"/>
          <w:szCs w:val="21"/>
        </w:rPr>
        <w:t>址：云南省昆明市盘龙区世博生态城低碳中心B栋1单元12层</w:t>
      </w:r>
    </w:p>
    <w:p/>
    <w:p>
      <w:pPr>
        <w:tabs>
          <w:tab w:val="left" w:pos="720"/>
          <w:tab w:val="left" w:pos="8295"/>
        </w:tabs>
        <w:spacing w:line="440" w:lineRule="exact"/>
        <w:ind w:firstLine="573"/>
        <w:rPr>
          <w:rFonts w:hAnsi="宋体" w:cs="宋体"/>
          <w:szCs w:val="21"/>
        </w:rPr>
      </w:pPr>
    </w:p>
    <w:p/>
    <w:p>
      <w:pPr>
        <w:tabs>
          <w:tab w:val="left" w:pos="720"/>
          <w:tab w:val="left" w:pos="8295"/>
        </w:tabs>
        <w:spacing w:line="440" w:lineRule="exact"/>
        <w:ind w:firstLine="573"/>
        <w:rPr>
          <w:rFonts w:hAnsi="宋体" w:cs="宋体"/>
          <w:szCs w:val="21"/>
        </w:rPr>
      </w:pPr>
    </w:p>
    <w:p/>
    <w:p>
      <w:pPr>
        <w:tabs>
          <w:tab w:val="left" w:pos="720"/>
          <w:tab w:val="left" w:pos="8295"/>
        </w:tabs>
        <w:spacing w:line="440" w:lineRule="exact"/>
        <w:ind w:firstLine="573"/>
        <w:rPr>
          <w:rFonts w:hAnsi="宋体" w:cs="宋体"/>
          <w:szCs w:val="21"/>
        </w:rPr>
      </w:pPr>
    </w:p>
    <w:p/>
    <w:p>
      <w:pPr>
        <w:tabs>
          <w:tab w:val="left" w:pos="720"/>
          <w:tab w:val="left" w:pos="8295"/>
        </w:tabs>
        <w:spacing w:line="440" w:lineRule="exact"/>
        <w:ind w:firstLine="573"/>
        <w:rPr>
          <w:rFonts w:hAnsi="宋体" w:cs="宋体"/>
          <w:szCs w:val="21"/>
        </w:rPr>
      </w:pPr>
    </w:p>
    <w:p/>
    <w:p>
      <w:pPr>
        <w:tabs>
          <w:tab w:val="left" w:pos="720"/>
          <w:tab w:val="left" w:pos="8295"/>
        </w:tabs>
        <w:spacing w:line="440" w:lineRule="exact"/>
        <w:ind w:firstLine="573"/>
        <w:rPr>
          <w:rFonts w:hAnsi="宋体" w:cs="宋体"/>
          <w:szCs w:val="21"/>
        </w:rPr>
      </w:pPr>
    </w:p>
    <w:p/>
    <w:p/>
    <w:p>
      <w:pPr>
        <w:tabs>
          <w:tab w:val="left" w:pos="720"/>
          <w:tab w:val="left" w:pos="8295"/>
        </w:tabs>
        <w:spacing w:line="440" w:lineRule="exact"/>
        <w:ind w:firstLine="573"/>
        <w:rPr>
          <w:rFonts w:hAnsi="宋体" w:cs="宋体"/>
          <w:szCs w:val="21"/>
        </w:rPr>
      </w:pPr>
    </w:p>
    <w:p/>
    <w:p>
      <w:pPr>
        <w:tabs>
          <w:tab w:val="left" w:pos="720"/>
          <w:tab w:val="left" w:pos="8295"/>
        </w:tabs>
        <w:spacing w:line="440" w:lineRule="exact"/>
        <w:ind w:firstLine="573"/>
        <w:rPr>
          <w:rFonts w:hAnsi="宋体" w:cs="宋体"/>
          <w:szCs w:val="21"/>
        </w:rPr>
      </w:pPr>
    </w:p>
    <w:p>
      <w:pPr>
        <w:rPr>
          <w:rFonts w:hAnsi="宋体" w:cs="宋体"/>
          <w:szCs w:val="21"/>
        </w:rPr>
      </w:pPr>
    </w:p>
    <w:p>
      <w:pPr>
        <w:tabs>
          <w:tab w:val="left" w:pos="720"/>
          <w:tab w:val="left" w:pos="8295"/>
        </w:tabs>
        <w:spacing w:line="440" w:lineRule="exact"/>
        <w:ind w:firstLine="573"/>
        <w:rPr>
          <w:rFonts w:hAnsi="宋体" w:cs="宋体"/>
          <w:szCs w:val="21"/>
        </w:rPr>
      </w:pPr>
    </w:p>
    <w:p>
      <w:pPr>
        <w:pStyle w:val="3"/>
        <w:widowControl/>
        <w:spacing w:before="240" w:after="240"/>
        <w:rPr>
          <w:rFonts w:ascii="Times New Roman" w:hAnsi="Times New Roman" w:eastAsia="黑体"/>
          <w:sz w:val="36"/>
          <w:szCs w:val="36"/>
          <w:lang w:val="zh-CN" w:eastAsia="zh-CN"/>
        </w:rPr>
      </w:pPr>
      <w:bookmarkStart w:id="51" w:name="_Toc72489524"/>
      <w:r>
        <w:rPr>
          <w:rFonts w:hint="eastAsia" w:ascii="Times New Roman" w:hAnsi="Times New Roman" w:eastAsia="黑体"/>
          <w:sz w:val="36"/>
          <w:szCs w:val="36"/>
          <w:lang w:val="zh-CN" w:eastAsia="zh-CN"/>
        </w:rPr>
        <w:t>第二章  供应商须知</w:t>
      </w:r>
      <w:bookmarkEnd w:id="51"/>
    </w:p>
    <w:p>
      <w:pPr>
        <w:pStyle w:val="4"/>
        <w:spacing w:before="0" w:after="120" w:line="360" w:lineRule="auto"/>
        <w:jc w:val="center"/>
        <w:rPr>
          <w:rFonts w:hint="default" w:ascii="Times New Roman" w:hAnsi="Times New Roman" w:eastAsia="宋体"/>
          <w:b/>
          <w:sz w:val="28"/>
          <w:szCs w:val="28"/>
          <w:lang w:val="en-US" w:eastAsia="zh-CN"/>
        </w:rPr>
      </w:pPr>
      <w:bookmarkStart w:id="52" w:name="_Toc72489525"/>
      <w:r>
        <w:rPr>
          <w:rFonts w:ascii="Times New Roman" w:hAnsi="Times New Roman" w:eastAsia="宋体"/>
          <w:b/>
          <w:sz w:val="28"/>
          <w:szCs w:val="28"/>
          <w:lang w:val="en-US" w:eastAsia="zh-CN"/>
        </w:rPr>
        <w:t>供应商须知前附表</w:t>
      </w:r>
      <w:bookmarkEnd w:id="52"/>
    </w:p>
    <w:tbl>
      <w:tblPr>
        <w:tblStyle w:val="28"/>
        <w:tblW w:w="915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0"/>
        <w:gridCol w:w="2105"/>
        <w:gridCol w:w="6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序号</w:t>
            </w:r>
          </w:p>
        </w:tc>
        <w:tc>
          <w:tcPr>
            <w:tcW w:w="2105" w:type="dxa"/>
            <w:vAlign w:val="center"/>
          </w:tcPr>
          <w:p>
            <w:pPr>
              <w:spacing w:line="360" w:lineRule="auto"/>
              <w:jc w:val="center"/>
              <w:rPr>
                <w:rFonts w:hAnsi="宋体"/>
                <w:szCs w:val="21"/>
              </w:rPr>
            </w:pPr>
            <w:r>
              <w:rPr>
                <w:rFonts w:hint="eastAsia" w:hAnsi="宋体"/>
                <w:szCs w:val="21"/>
              </w:rPr>
              <w:t>名称</w:t>
            </w:r>
          </w:p>
        </w:tc>
        <w:tc>
          <w:tcPr>
            <w:tcW w:w="6324" w:type="dxa"/>
            <w:vAlign w:val="center"/>
          </w:tcPr>
          <w:p>
            <w:pPr>
              <w:spacing w:line="360" w:lineRule="auto"/>
              <w:jc w:val="center"/>
              <w:rPr>
                <w:rFonts w:hAnsi="宋体"/>
                <w:szCs w:val="21"/>
              </w:rPr>
            </w:pPr>
            <w:r>
              <w:rPr>
                <w:rFonts w:hAnsi="宋体"/>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1.2</w:t>
            </w:r>
          </w:p>
        </w:tc>
        <w:tc>
          <w:tcPr>
            <w:tcW w:w="2105" w:type="dxa"/>
            <w:vAlign w:val="center"/>
          </w:tcPr>
          <w:p>
            <w:pPr>
              <w:spacing w:line="360" w:lineRule="auto"/>
              <w:jc w:val="center"/>
              <w:rPr>
                <w:rFonts w:hAnsi="宋体"/>
                <w:szCs w:val="21"/>
              </w:rPr>
            </w:pPr>
            <w:r>
              <w:rPr>
                <w:rFonts w:hint="eastAsia" w:hAnsi="宋体" w:cs="宋体"/>
                <w:kern w:val="0"/>
                <w:szCs w:val="21"/>
              </w:rPr>
              <w:t>采购人</w:t>
            </w:r>
          </w:p>
        </w:tc>
        <w:tc>
          <w:tcPr>
            <w:tcW w:w="6324" w:type="dxa"/>
            <w:vAlign w:val="center"/>
          </w:tcPr>
          <w:p>
            <w:pPr>
              <w:spacing w:line="360" w:lineRule="auto"/>
              <w:rPr>
                <w:rFonts w:hAnsi="宋体" w:cs="宋体"/>
                <w:szCs w:val="21"/>
              </w:rPr>
            </w:pPr>
            <w:r>
              <w:rPr>
                <w:rFonts w:hint="eastAsia" w:hAnsi="宋体" w:cs="宋体"/>
                <w:szCs w:val="21"/>
              </w:rPr>
              <w:t>采购人：</w:t>
            </w:r>
            <w:r>
              <w:rPr>
                <w:rFonts w:hint="eastAsia" w:hAnsi="宋体"/>
                <w:szCs w:val="21"/>
              </w:rPr>
              <w:t>昆明市西山区政务服务管理局</w:t>
            </w:r>
          </w:p>
          <w:p>
            <w:pPr>
              <w:spacing w:line="360" w:lineRule="auto"/>
              <w:rPr>
                <w:rFonts w:hAnsi="宋体" w:cs="宋体"/>
                <w:szCs w:val="21"/>
              </w:rPr>
            </w:pPr>
            <w:r>
              <w:rPr>
                <w:rFonts w:hint="eastAsia" w:hAnsi="宋体" w:cs="宋体"/>
                <w:szCs w:val="21"/>
              </w:rPr>
              <w:t>地  址：</w:t>
            </w:r>
            <w:r>
              <w:rPr>
                <w:rFonts w:hint="eastAsia" w:hAnsi="宋体"/>
                <w:szCs w:val="21"/>
              </w:rPr>
              <w:t>昆明市西山区春雨路188号西山区城投商务大楼16楼</w:t>
            </w:r>
          </w:p>
          <w:p>
            <w:pPr>
              <w:spacing w:line="360" w:lineRule="auto"/>
              <w:rPr>
                <w:rFonts w:hAnsi="宋体" w:cs="宋体"/>
                <w:szCs w:val="21"/>
              </w:rPr>
            </w:pPr>
            <w:r>
              <w:rPr>
                <w:rFonts w:hint="eastAsia" w:hAnsi="宋体" w:cs="宋体"/>
                <w:szCs w:val="21"/>
              </w:rPr>
              <w:t>联系人：范老师</w:t>
            </w:r>
          </w:p>
          <w:p>
            <w:pPr>
              <w:spacing w:line="360" w:lineRule="auto"/>
              <w:rPr>
                <w:rFonts w:hAnsi="宋体" w:cs="宋体"/>
                <w:szCs w:val="21"/>
              </w:rPr>
            </w:pPr>
            <w:r>
              <w:rPr>
                <w:rFonts w:hint="eastAsia" w:hAnsi="宋体" w:cs="宋体"/>
                <w:szCs w:val="21"/>
              </w:rPr>
              <w:t>电  话：</w:t>
            </w:r>
            <w:r>
              <w:rPr>
                <w:rFonts w:hAnsi="宋体" w:cs="宋体"/>
                <w:szCs w:val="21"/>
              </w:rPr>
              <w:t>0871-65176568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1.3</w:t>
            </w:r>
          </w:p>
        </w:tc>
        <w:tc>
          <w:tcPr>
            <w:tcW w:w="2105" w:type="dxa"/>
            <w:vAlign w:val="center"/>
          </w:tcPr>
          <w:p>
            <w:pPr>
              <w:spacing w:line="360" w:lineRule="auto"/>
              <w:jc w:val="center"/>
              <w:rPr>
                <w:rFonts w:hAnsi="宋体"/>
                <w:szCs w:val="21"/>
              </w:rPr>
            </w:pPr>
            <w:r>
              <w:rPr>
                <w:rFonts w:hint="eastAsia" w:hAnsi="宋体" w:cs="宋体"/>
                <w:kern w:val="0"/>
                <w:szCs w:val="21"/>
              </w:rPr>
              <w:t>采购代理机构</w:t>
            </w:r>
          </w:p>
        </w:tc>
        <w:tc>
          <w:tcPr>
            <w:tcW w:w="6324" w:type="dxa"/>
            <w:vAlign w:val="center"/>
          </w:tcPr>
          <w:p>
            <w:pPr>
              <w:spacing w:line="360" w:lineRule="auto"/>
              <w:rPr>
                <w:rFonts w:hAnsi="宋体" w:cs="宋体"/>
                <w:szCs w:val="21"/>
              </w:rPr>
            </w:pPr>
            <w:r>
              <w:rPr>
                <w:rFonts w:hint="eastAsia" w:hAnsi="宋体" w:cs="宋体"/>
                <w:szCs w:val="21"/>
              </w:rPr>
              <w:t>采购代理机构：昆明晨晟招标有限责任公司</w:t>
            </w:r>
          </w:p>
          <w:p>
            <w:pPr>
              <w:spacing w:line="360" w:lineRule="auto"/>
              <w:rPr>
                <w:rFonts w:hAnsi="宋体" w:cs="宋体"/>
                <w:szCs w:val="21"/>
              </w:rPr>
            </w:pPr>
            <w:r>
              <w:rPr>
                <w:rFonts w:hint="eastAsia" w:hAnsi="宋体" w:cs="宋体"/>
                <w:szCs w:val="21"/>
              </w:rPr>
              <w:t>地址：云南省昆明市盘龙区世博生态城低碳中心B栋1单元12层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1.4</w:t>
            </w:r>
          </w:p>
        </w:tc>
        <w:tc>
          <w:tcPr>
            <w:tcW w:w="2105" w:type="dxa"/>
            <w:vAlign w:val="center"/>
          </w:tcPr>
          <w:p>
            <w:pPr>
              <w:spacing w:line="360" w:lineRule="auto"/>
              <w:jc w:val="center"/>
              <w:rPr>
                <w:rFonts w:hAnsi="宋体"/>
                <w:szCs w:val="21"/>
              </w:rPr>
            </w:pPr>
            <w:r>
              <w:rPr>
                <w:rFonts w:hint="eastAsia" w:hAnsi="宋体"/>
                <w:szCs w:val="21"/>
              </w:rPr>
              <w:t>项目名称及项目编号</w:t>
            </w:r>
          </w:p>
        </w:tc>
        <w:tc>
          <w:tcPr>
            <w:tcW w:w="6324" w:type="dxa"/>
            <w:vAlign w:val="center"/>
          </w:tcPr>
          <w:p>
            <w:pPr>
              <w:spacing w:line="360" w:lineRule="auto"/>
              <w:rPr>
                <w:rFonts w:hAnsi="宋体" w:cs="宋体"/>
                <w:szCs w:val="21"/>
              </w:rPr>
            </w:pPr>
            <w:r>
              <w:rPr>
                <w:rFonts w:hint="eastAsia" w:hAnsi="宋体" w:cs="宋体"/>
                <w:szCs w:val="21"/>
              </w:rPr>
              <w:t>项目名称：政务服务中心数据平台建设</w:t>
            </w:r>
          </w:p>
          <w:p>
            <w:pPr>
              <w:spacing w:line="360" w:lineRule="auto"/>
              <w:rPr>
                <w:rFonts w:hAnsi="宋体" w:cs="宋体"/>
                <w:szCs w:val="21"/>
              </w:rPr>
            </w:pPr>
            <w:r>
              <w:rPr>
                <w:rFonts w:hint="eastAsia" w:hAnsi="宋体" w:cs="宋体"/>
                <w:szCs w:val="21"/>
              </w:rPr>
              <w:t>项目编号：</w:t>
            </w:r>
            <w:r>
              <w:rPr>
                <w:rFonts w:hAnsi="宋体" w:cs="宋体"/>
                <w:szCs w:val="21"/>
              </w:rPr>
              <w:t>KCFW-2021-3890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2.1</w:t>
            </w:r>
          </w:p>
        </w:tc>
        <w:tc>
          <w:tcPr>
            <w:tcW w:w="2105" w:type="dxa"/>
            <w:vAlign w:val="center"/>
          </w:tcPr>
          <w:p>
            <w:pPr>
              <w:spacing w:line="360" w:lineRule="auto"/>
              <w:jc w:val="center"/>
              <w:rPr>
                <w:rFonts w:hAnsi="宋体"/>
                <w:szCs w:val="21"/>
              </w:rPr>
            </w:pPr>
            <w:r>
              <w:rPr>
                <w:rFonts w:hint="eastAsia" w:hAnsi="宋体"/>
                <w:szCs w:val="21"/>
              </w:rPr>
              <w:t>资金来源及预算金额</w:t>
            </w:r>
          </w:p>
        </w:tc>
        <w:tc>
          <w:tcPr>
            <w:tcW w:w="6324" w:type="dxa"/>
            <w:vAlign w:val="center"/>
          </w:tcPr>
          <w:p>
            <w:pPr>
              <w:spacing w:line="360" w:lineRule="auto"/>
              <w:rPr>
                <w:rFonts w:hAnsi="宋体"/>
                <w:szCs w:val="21"/>
              </w:rPr>
            </w:pPr>
            <w:r>
              <w:rPr>
                <w:rFonts w:hint="eastAsia" w:hAnsi="宋体"/>
                <w:szCs w:val="21"/>
              </w:rPr>
              <w:t>资金来源：财政资金</w:t>
            </w:r>
          </w:p>
          <w:p>
            <w:pPr>
              <w:spacing w:line="360" w:lineRule="auto"/>
              <w:rPr>
                <w:rFonts w:hAnsi="宋体"/>
                <w:szCs w:val="21"/>
              </w:rPr>
            </w:pPr>
            <w:r>
              <w:rPr>
                <w:rFonts w:hint="eastAsia" w:hAnsi="宋体"/>
                <w:szCs w:val="21"/>
              </w:rPr>
              <w:t>预算金额：详见 第一章 竞争性磋商公告 一、项目基本情况 “预算金额”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3.1</w:t>
            </w:r>
          </w:p>
        </w:tc>
        <w:tc>
          <w:tcPr>
            <w:tcW w:w="2105" w:type="dxa"/>
            <w:vAlign w:val="center"/>
          </w:tcPr>
          <w:p>
            <w:pPr>
              <w:autoSpaceDE w:val="0"/>
              <w:autoSpaceDN w:val="0"/>
              <w:adjustRightInd w:val="0"/>
              <w:spacing w:line="360" w:lineRule="auto"/>
              <w:jc w:val="center"/>
              <w:rPr>
                <w:rFonts w:hAnsi="宋体"/>
                <w:szCs w:val="21"/>
              </w:rPr>
            </w:pPr>
            <w:r>
              <w:rPr>
                <w:rFonts w:hint="eastAsia" w:hAnsi="宋体"/>
                <w:szCs w:val="21"/>
              </w:rPr>
              <w:t>采购需求</w:t>
            </w:r>
          </w:p>
        </w:tc>
        <w:tc>
          <w:tcPr>
            <w:tcW w:w="6324" w:type="dxa"/>
            <w:vAlign w:val="center"/>
          </w:tcPr>
          <w:p>
            <w:pPr>
              <w:autoSpaceDE w:val="0"/>
              <w:autoSpaceDN w:val="0"/>
              <w:adjustRightInd w:val="0"/>
              <w:spacing w:line="360" w:lineRule="auto"/>
              <w:rPr>
                <w:rFonts w:hAnsi="宋体"/>
                <w:szCs w:val="21"/>
              </w:rPr>
            </w:pPr>
            <w:r>
              <w:rPr>
                <w:rFonts w:hint="eastAsia" w:hAnsi="宋体"/>
                <w:szCs w:val="21"/>
              </w:rPr>
              <w:t>详见 第一章 竞争性磋商公告 一、项目基本情况 “采购需求”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3</w:t>
            </w:r>
            <w:r>
              <w:rPr>
                <w:rFonts w:hAnsi="宋体"/>
                <w:szCs w:val="21"/>
              </w:rPr>
              <w:t>.2</w:t>
            </w:r>
          </w:p>
        </w:tc>
        <w:tc>
          <w:tcPr>
            <w:tcW w:w="2105" w:type="dxa"/>
            <w:vAlign w:val="center"/>
          </w:tcPr>
          <w:p>
            <w:pPr>
              <w:autoSpaceDE w:val="0"/>
              <w:autoSpaceDN w:val="0"/>
              <w:adjustRightInd w:val="0"/>
              <w:spacing w:line="360" w:lineRule="auto"/>
              <w:jc w:val="center"/>
              <w:rPr>
                <w:rFonts w:hAnsi="宋体"/>
                <w:szCs w:val="21"/>
              </w:rPr>
            </w:pPr>
            <w:r>
              <w:rPr>
                <w:rFonts w:hint="eastAsia" w:hAnsi="宋体"/>
                <w:szCs w:val="21"/>
              </w:rPr>
              <w:t>项目实施地点</w:t>
            </w:r>
          </w:p>
        </w:tc>
        <w:tc>
          <w:tcPr>
            <w:tcW w:w="6324" w:type="dxa"/>
            <w:vAlign w:val="center"/>
          </w:tcPr>
          <w:p>
            <w:pPr>
              <w:autoSpaceDE w:val="0"/>
              <w:autoSpaceDN w:val="0"/>
              <w:adjustRightInd w:val="0"/>
              <w:spacing w:line="360" w:lineRule="auto"/>
              <w:rPr>
                <w:rFonts w:hAnsi="宋体"/>
                <w:szCs w:val="21"/>
              </w:rPr>
            </w:pPr>
            <w:r>
              <w:rPr>
                <w:rFonts w:hint="eastAsia" w:hAnsi="宋体" w:cs="宋体"/>
                <w:szCs w:val="21"/>
              </w:rPr>
              <w:t>昆明市西山区政务服务管理局（昆明市西山区春雨路 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3.</w:t>
            </w:r>
            <w:r>
              <w:rPr>
                <w:rFonts w:hAnsi="宋体"/>
                <w:szCs w:val="21"/>
              </w:rPr>
              <w:t>3</w:t>
            </w:r>
          </w:p>
        </w:tc>
        <w:tc>
          <w:tcPr>
            <w:tcW w:w="2105" w:type="dxa"/>
            <w:vAlign w:val="center"/>
          </w:tcPr>
          <w:p>
            <w:pPr>
              <w:autoSpaceDE w:val="0"/>
              <w:autoSpaceDN w:val="0"/>
              <w:adjustRightInd w:val="0"/>
              <w:spacing w:line="360" w:lineRule="auto"/>
              <w:ind w:leftChars="-15" w:hanging="31" w:hangingChars="15"/>
              <w:jc w:val="center"/>
              <w:rPr>
                <w:rFonts w:hAnsi="宋体"/>
                <w:szCs w:val="21"/>
              </w:rPr>
            </w:pPr>
            <w:r>
              <w:rPr>
                <w:rFonts w:hint="eastAsia" w:hAnsi="宋体"/>
                <w:szCs w:val="21"/>
              </w:rPr>
              <w:t>合同履行期限</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详见 第一章 竞争性磋商公告 一、项目基本情况 “合同履行期限”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4.1</w:t>
            </w:r>
          </w:p>
        </w:tc>
        <w:tc>
          <w:tcPr>
            <w:tcW w:w="2105" w:type="dxa"/>
            <w:vAlign w:val="center"/>
          </w:tcPr>
          <w:p>
            <w:pPr>
              <w:spacing w:line="360" w:lineRule="auto"/>
              <w:jc w:val="center"/>
              <w:rPr>
                <w:rFonts w:hAnsi="宋体"/>
                <w:szCs w:val="21"/>
              </w:rPr>
            </w:pPr>
            <w:r>
              <w:rPr>
                <w:rFonts w:hint="eastAsia" w:hAnsi="宋体"/>
                <w:szCs w:val="21"/>
              </w:rPr>
              <w:t>供应商资格要求</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详见 第一章 竞争性磋商公告 “二、申请人的资格要求”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730" w:type="dxa"/>
            <w:vAlign w:val="center"/>
          </w:tcPr>
          <w:p>
            <w:pPr>
              <w:spacing w:line="360" w:lineRule="auto"/>
              <w:jc w:val="center"/>
              <w:rPr>
                <w:rFonts w:hAnsi="宋体"/>
                <w:szCs w:val="21"/>
              </w:rPr>
            </w:pPr>
            <w:r>
              <w:rPr>
                <w:rFonts w:hint="eastAsia" w:hAnsi="宋体"/>
                <w:szCs w:val="21"/>
              </w:rPr>
              <w:t>4.</w:t>
            </w:r>
            <w:r>
              <w:rPr>
                <w:rFonts w:hAnsi="宋体"/>
                <w:szCs w:val="21"/>
              </w:rPr>
              <w:t>2</w:t>
            </w:r>
          </w:p>
        </w:tc>
        <w:tc>
          <w:tcPr>
            <w:tcW w:w="2105" w:type="dxa"/>
            <w:vAlign w:val="center"/>
          </w:tcPr>
          <w:p>
            <w:pPr>
              <w:spacing w:line="360" w:lineRule="auto"/>
              <w:jc w:val="center"/>
              <w:rPr>
                <w:rFonts w:hAnsi="宋体"/>
                <w:szCs w:val="21"/>
              </w:rPr>
            </w:pPr>
            <w:r>
              <w:rPr>
                <w:rFonts w:hint="eastAsia" w:hAnsi="宋体"/>
                <w:szCs w:val="21"/>
              </w:rPr>
              <w:t>是否接受联合体参加</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6.1</w:t>
            </w:r>
          </w:p>
        </w:tc>
        <w:tc>
          <w:tcPr>
            <w:tcW w:w="2105" w:type="dxa"/>
            <w:vAlign w:val="center"/>
          </w:tcPr>
          <w:p>
            <w:pPr>
              <w:spacing w:line="360" w:lineRule="auto"/>
              <w:jc w:val="center"/>
              <w:rPr>
                <w:rFonts w:hAnsi="宋体"/>
                <w:szCs w:val="21"/>
              </w:rPr>
            </w:pPr>
            <w:r>
              <w:rPr>
                <w:rFonts w:hint="eastAsia" w:hAnsi="宋体"/>
                <w:szCs w:val="21"/>
              </w:rPr>
              <w:t>现场考察</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7.1</w:t>
            </w:r>
          </w:p>
        </w:tc>
        <w:tc>
          <w:tcPr>
            <w:tcW w:w="2105" w:type="dxa"/>
            <w:vAlign w:val="center"/>
          </w:tcPr>
          <w:p>
            <w:pPr>
              <w:spacing w:line="360" w:lineRule="auto"/>
              <w:jc w:val="center"/>
              <w:rPr>
                <w:rFonts w:hAnsi="宋体"/>
                <w:szCs w:val="21"/>
              </w:rPr>
            </w:pPr>
            <w:r>
              <w:rPr>
                <w:rFonts w:hint="eastAsia" w:hAnsi="宋体"/>
                <w:szCs w:val="21"/>
              </w:rPr>
              <w:t>磋商前答疑会</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11.1</w:t>
            </w:r>
          </w:p>
        </w:tc>
        <w:tc>
          <w:tcPr>
            <w:tcW w:w="2105" w:type="dxa"/>
            <w:vAlign w:val="center"/>
          </w:tcPr>
          <w:p>
            <w:pPr>
              <w:spacing w:line="276" w:lineRule="auto"/>
              <w:jc w:val="center"/>
              <w:rPr>
                <w:rFonts w:hAnsi="宋体"/>
                <w:szCs w:val="21"/>
              </w:rPr>
            </w:pPr>
            <w:r>
              <w:rPr>
                <w:rFonts w:hint="eastAsia" w:hAnsi="宋体"/>
                <w:szCs w:val="21"/>
              </w:rPr>
              <w:t>竞争性磋商文件的询问时间</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供应商应认真阅读竞争性磋商文件，如有疑问的，供应商可以向采购人或采购代理机构提出询问，采购人或者采购代理机构在接到询问后的3个工作日内对供应商依法提出的询问作出答复，但答复的内容不涉及商业秘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11.2</w:t>
            </w:r>
          </w:p>
        </w:tc>
        <w:tc>
          <w:tcPr>
            <w:tcW w:w="2105" w:type="dxa"/>
            <w:vAlign w:val="center"/>
          </w:tcPr>
          <w:p>
            <w:pPr>
              <w:spacing w:line="276" w:lineRule="auto"/>
              <w:jc w:val="center"/>
              <w:rPr>
                <w:rFonts w:hAnsi="宋体"/>
                <w:szCs w:val="21"/>
              </w:rPr>
            </w:pPr>
            <w:r>
              <w:rPr>
                <w:rFonts w:hint="eastAsia" w:hAnsi="宋体"/>
                <w:szCs w:val="21"/>
              </w:rPr>
              <w:t>竞争性磋商文件询问联系方式</w:t>
            </w:r>
          </w:p>
        </w:tc>
        <w:tc>
          <w:tcPr>
            <w:tcW w:w="6324" w:type="dxa"/>
            <w:vAlign w:val="center"/>
          </w:tcPr>
          <w:p>
            <w:pPr>
              <w:spacing w:line="360" w:lineRule="auto"/>
              <w:rPr>
                <w:rFonts w:hAnsi="宋体" w:cs="宋体"/>
                <w:szCs w:val="21"/>
              </w:rPr>
            </w:pPr>
            <w:r>
              <w:rPr>
                <w:rFonts w:hint="eastAsia" w:hAnsi="宋体" w:cs="宋体"/>
                <w:szCs w:val="21"/>
              </w:rPr>
              <w:t>采购代理机构：昆明晨晟招标有限责任公司</w:t>
            </w:r>
          </w:p>
          <w:p>
            <w:pPr>
              <w:autoSpaceDE w:val="0"/>
              <w:autoSpaceDN w:val="0"/>
              <w:adjustRightInd w:val="0"/>
              <w:spacing w:line="360" w:lineRule="auto"/>
              <w:jc w:val="left"/>
              <w:rPr>
                <w:rFonts w:hAnsi="宋体"/>
                <w:szCs w:val="21"/>
              </w:rPr>
            </w:pPr>
            <w:r>
              <w:rPr>
                <w:rFonts w:hint="eastAsia" w:hAnsi="宋体" w:cs="宋体"/>
                <w:szCs w:val="21"/>
              </w:rPr>
              <w:t>地址：云南省昆明市盘龙区世博生态城低碳中心B栋1单元12层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11.4</w:t>
            </w:r>
          </w:p>
        </w:tc>
        <w:tc>
          <w:tcPr>
            <w:tcW w:w="2105" w:type="dxa"/>
            <w:vAlign w:val="center"/>
          </w:tcPr>
          <w:p>
            <w:pPr>
              <w:spacing w:line="276" w:lineRule="auto"/>
              <w:jc w:val="center"/>
              <w:rPr>
                <w:rFonts w:hAnsi="宋体"/>
                <w:szCs w:val="21"/>
              </w:rPr>
            </w:pPr>
            <w:r>
              <w:rPr>
                <w:rFonts w:hint="eastAsia" w:hAnsi="宋体"/>
                <w:szCs w:val="21"/>
              </w:rPr>
              <w:t>竞争性磋商文件澄清、修改时间</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澄清或者修改的内容可能影响响应文件编制的，采购人、采购代理机构将在提交首次响应文件截止时间至少5日前，以书面形式通知所有获取磋商文件的供应商；不足5日的，采购人、采购代理机构将顺延提交首次响应文件截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11.5</w:t>
            </w:r>
          </w:p>
        </w:tc>
        <w:tc>
          <w:tcPr>
            <w:tcW w:w="2105" w:type="dxa"/>
            <w:vAlign w:val="center"/>
          </w:tcPr>
          <w:p>
            <w:pPr>
              <w:spacing w:line="276" w:lineRule="auto"/>
              <w:jc w:val="center"/>
              <w:rPr>
                <w:rFonts w:hAnsi="宋体"/>
                <w:szCs w:val="21"/>
              </w:rPr>
            </w:pPr>
            <w:r>
              <w:rPr>
                <w:rFonts w:hint="eastAsia" w:hAnsi="宋体"/>
                <w:szCs w:val="21"/>
              </w:rPr>
              <w:t>供应商确认收到竞争性磋商文件澄清、修改时间</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供应商确认收到竞争性磋商文件澄清、修改后，应在收到澄清、修改后24小时内以书面形式通知采购人或采购代理机构，确认已收到该澄清、修改。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11.6</w:t>
            </w:r>
          </w:p>
        </w:tc>
        <w:tc>
          <w:tcPr>
            <w:tcW w:w="2105" w:type="dxa"/>
            <w:vAlign w:val="center"/>
          </w:tcPr>
          <w:p>
            <w:pPr>
              <w:spacing w:line="276" w:lineRule="auto"/>
              <w:jc w:val="center"/>
              <w:rPr>
                <w:rFonts w:hAnsi="宋体"/>
                <w:szCs w:val="21"/>
              </w:rPr>
            </w:pPr>
            <w:r>
              <w:rPr>
                <w:rFonts w:hint="eastAsia" w:hAnsi="宋体"/>
                <w:szCs w:val="21"/>
              </w:rPr>
              <w:t>磋商小组可以根据磋商文件和磋商情况实质性变动内容</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在磋商过程中，磋商小组可以根据磋商文件和磋商情况实质性变动采购需求中的技术、服务要求以及合同草案条款，但不得变动磋商文件中的其他内容。实质性变动的内容，须经采购人代表确认。</w:t>
            </w:r>
          </w:p>
          <w:p>
            <w:pPr>
              <w:autoSpaceDE w:val="0"/>
              <w:autoSpaceDN w:val="0"/>
              <w:adjustRightInd w:val="0"/>
              <w:spacing w:line="360" w:lineRule="auto"/>
              <w:jc w:val="left"/>
              <w:rPr>
                <w:rFonts w:hAnsi="宋体"/>
                <w:szCs w:val="21"/>
              </w:rPr>
            </w:pPr>
            <w:r>
              <w:rPr>
                <w:rFonts w:hint="eastAsia"/>
              </w:rPr>
              <w:t>对磋商文件作出的实质性变动是磋商文件的有效组成部分，磋商小组应当及时以书面形式同时通知所有参加磋商的供应商。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13.1</w:t>
            </w:r>
          </w:p>
        </w:tc>
        <w:tc>
          <w:tcPr>
            <w:tcW w:w="2105" w:type="dxa"/>
            <w:vAlign w:val="center"/>
          </w:tcPr>
          <w:p>
            <w:pPr>
              <w:spacing w:line="360" w:lineRule="auto"/>
              <w:jc w:val="center"/>
              <w:rPr>
                <w:rFonts w:hAnsi="宋体"/>
                <w:szCs w:val="21"/>
              </w:rPr>
            </w:pPr>
            <w:r>
              <w:rPr>
                <w:rFonts w:hint="eastAsia" w:hAnsi="宋体"/>
                <w:szCs w:val="21"/>
              </w:rPr>
              <w:t>语言文字</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供应商的响应文件以及供应商与采购人、采购代理机构、磋商小组就有关磋商的所有来往函电统一使用中文（特别规定除外）。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14.1</w:t>
            </w:r>
          </w:p>
        </w:tc>
        <w:tc>
          <w:tcPr>
            <w:tcW w:w="2105" w:type="dxa"/>
            <w:vAlign w:val="center"/>
          </w:tcPr>
          <w:p>
            <w:pPr>
              <w:spacing w:line="360" w:lineRule="auto"/>
              <w:jc w:val="center"/>
              <w:rPr>
                <w:rFonts w:hAnsi="宋体"/>
                <w:szCs w:val="21"/>
              </w:rPr>
            </w:pPr>
            <w:r>
              <w:rPr>
                <w:rFonts w:hint="eastAsia" w:hAnsi="宋体"/>
                <w:szCs w:val="21"/>
              </w:rPr>
              <w:t>计量单位</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响应文件中使用的计量单位除磋商文件中有特殊规定外，一律使用中华人民共和国法定计量单位。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15.1.5</w:t>
            </w:r>
          </w:p>
        </w:tc>
        <w:tc>
          <w:tcPr>
            <w:tcW w:w="2105" w:type="dxa"/>
            <w:vAlign w:val="center"/>
          </w:tcPr>
          <w:p>
            <w:pPr>
              <w:spacing w:line="360" w:lineRule="auto"/>
              <w:jc w:val="center"/>
              <w:rPr>
                <w:rFonts w:hAnsi="宋体"/>
                <w:szCs w:val="21"/>
              </w:rPr>
            </w:pPr>
            <w:r>
              <w:rPr>
                <w:rFonts w:hint="eastAsia" w:hAnsi="宋体"/>
                <w:szCs w:val="21"/>
              </w:rPr>
              <w:t>构成响应文件</w:t>
            </w:r>
          </w:p>
          <w:p>
            <w:pPr>
              <w:spacing w:line="360" w:lineRule="auto"/>
              <w:jc w:val="center"/>
              <w:rPr>
                <w:rFonts w:hAnsi="宋体"/>
                <w:szCs w:val="21"/>
              </w:rPr>
            </w:pPr>
            <w:r>
              <w:rPr>
                <w:rFonts w:hint="eastAsia" w:hAnsi="宋体"/>
                <w:szCs w:val="21"/>
              </w:rPr>
              <w:t>的其他资料</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1、磋商</w:t>
            </w:r>
            <w:r>
              <w:rPr>
                <w:rFonts w:hint="eastAsia" w:hAnsi="宋体" w:cs="宋体"/>
                <w:bCs/>
                <w:szCs w:val="21"/>
              </w:rPr>
              <w:t>保证金缴纳证明（交纳凭证或收据或收取证明）</w:t>
            </w:r>
            <w:r>
              <w:rPr>
                <w:rFonts w:hint="eastAsia" w:hAnsi="宋体"/>
                <w:szCs w:val="21"/>
              </w:rPr>
              <w:t>；</w:t>
            </w:r>
          </w:p>
          <w:p>
            <w:pPr>
              <w:autoSpaceDE w:val="0"/>
              <w:autoSpaceDN w:val="0"/>
              <w:adjustRightInd w:val="0"/>
              <w:spacing w:line="360" w:lineRule="auto"/>
              <w:jc w:val="left"/>
              <w:rPr>
                <w:rFonts w:hAnsi="宋体"/>
                <w:szCs w:val="21"/>
              </w:rPr>
            </w:pPr>
            <w:r>
              <w:rPr>
                <w:rFonts w:hint="eastAsia" w:hAnsi="宋体"/>
                <w:szCs w:val="21"/>
              </w:rPr>
              <w:t>2、第五章《采购需求》中要求提供的其他资料；</w:t>
            </w:r>
          </w:p>
          <w:p>
            <w:pPr>
              <w:autoSpaceDE w:val="0"/>
              <w:autoSpaceDN w:val="0"/>
              <w:adjustRightInd w:val="0"/>
              <w:spacing w:line="360" w:lineRule="auto"/>
              <w:jc w:val="left"/>
              <w:rPr>
                <w:rFonts w:hAnsi="宋体"/>
                <w:szCs w:val="21"/>
              </w:rPr>
            </w:pPr>
            <w:r>
              <w:rPr>
                <w:rFonts w:hint="eastAsia" w:hAnsi="宋体"/>
                <w:szCs w:val="21"/>
              </w:rPr>
              <w:t>3、竞争性磋商文件中所涉及到的相关资料及证明文件或供应商认为必须提供的其他相关资料。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17.1</w:t>
            </w:r>
          </w:p>
        </w:tc>
        <w:tc>
          <w:tcPr>
            <w:tcW w:w="2105" w:type="dxa"/>
            <w:vAlign w:val="center"/>
          </w:tcPr>
          <w:p>
            <w:pPr>
              <w:pStyle w:val="26"/>
              <w:spacing w:before="0" w:beforeAutospacing="0" w:after="0" w:afterAutospacing="0" w:line="360" w:lineRule="auto"/>
              <w:jc w:val="center"/>
              <w:rPr>
                <w:sz w:val="21"/>
                <w:szCs w:val="21"/>
              </w:rPr>
            </w:pPr>
            <w:r>
              <w:rPr>
                <w:rFonts w:hint="eastAsia"/>
                <w:sz w:val="21"/>
                <w:szCs w:val="21"/>
              </w:rPr>
              <w:t>响应文件有效期</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90日历天，从提交响应文件的截止之日算起。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18.1</w:t>
            </w:r>
          </w:p>
        </w:tc>
        <w:tc>
          <w:tcPr>
            <w:tcW w:w="2105" w:type="dxa"/>
            <w:vAlign w:val="center"/>
          </w:tcPr>
          <w:p>
            <w:pPr>
              <w:spacing w:line="360" w:lineRule="auto"/>
              <w:jc w:val="center"/>
              <w:rPr>
                <w:rFonts w:hAnsi="宋体"/>
                <w:szCs w:val="21"/>
              </w:rPr>
            </w:pPr>
            <w:r>
              <w:rPr>
                <w:rFonts w:hint="eastAsia" w:hAnsi="宋体"/>
                <w:szCs w:val="21"/>
              </w:rPr>
              <w:t>磋商保证金</w:t>
            </w:r>
          </w:p>
        </w:tc>
        <w:tc>
          <w:tcPr>
            <w:tcW w:w="6324" w:type="dxa"/>
            <w:vAlign w:val="center"/>
          </w:tcPr>
          <w:p>
            <w:pPr>
              <w:autoSpaceDE w:val="0"/>
              <w:autoSpaceDN w:val="0"/>
              <w:adjustRightInd w:val="0"/>
              <w:spacing w:line="350" w:lineRule="auto"/>
              <w:rPr>
                <w:rFonts w:hAnsi="宋体" w:cs="宋体"/>
                <w:bCs/>
                <w:szCs w:val="21"/>
              </w:rPr>
            </w:pPr>
            <w:r>
              <w:rPr>
                <w:rFonts w:hint="eastAsia" w:hAnsi="宋体" w:cs="宋体"/>
                <w:bCs/>
                <w:szCs w:val="21"/>
              </w:rPr>
              <w:t>磋商保证金的形式：转账或网银，供应商可根据实际情况，选择保证金的提供或缴纳方式。</w:t>
            </w:r>
          </w:p>
          <w:p>
            <w:pPr>
              <w:autoSpaceDE w:val="0"/>
              <w:autoSpaceDN w:val="0"/>
              <w:adjustRightInd w:val="0"/>
              <w:spacing w:line="350" w:lineRule="auto"/>
              <w:rPr>
                <w:rFonts w:hAnsi="宋体" w:cs="宋体"/>
                <w:bCs/>
                <w:szCs w:val="21"/>
              </w:rPr>
            </w:pPr>
            <w:r>
              <w:rPr>
                <w:rFonts w:hint="eastAsia" w:hAnsi="宋体" w:cs="宋体"/>
                <w:bCs/>
                <w:szCs w:val="21"/>
              </w:rPr>
              <w:t>磋商保证金的金额：￥</w:t>
            </w:r>
            <w:r>
              <w:rPr>
                <w:rFonts w:hAnsi="宋体" w:cs="宋体"/>
                <w:bCs/>
                <w:szCs w:val="21"/>
              </w:rPr>
              <w:t>10</w:t>
            </w:r>
            <w:r>
              <w:rPr>
                <w:rFonts w:hint="eastAsia" w:hAnsi="宋体" w:cs="宋体"/>
                <w:bCs/>
                <w:szCs w:val="21"/>
              </w:rPr>
              <w:t>000.00元（大写：人民币壹万元整）</w:t>
            </w:r>
          </w:p>
          <w:p>
            <w:pPr>
              <w:autoSpaceDE w:val="0"/>
              <w:autoSpaceDN w:val="0"/>
              <w:adjustRightInd w:val="0"/>
              <w:spacing w:line="350" w:lineRule="auto"/>
              <w:rPr>
                <w:rFonts w:hAnsi="宋体"/>
                <w:szCs w:val="21"/>
              </w:rPr>
            </w:pPr>
            <w:r>
              <w:rPr>
                <w:rFonts w:hint="eastAsia" w:hAnsi="宋体"/>
                <w:szCs w:val="21"/>
              </w:rPr>
              <w:t>提交时间：以专项账户实际到账时间为准，到账截止时间为提交响应文件的截止时间，未按时到账的保证金无效。</w:t>
            </w:r>
          </w:p>
          <w:p>
            <w:pPr>
              <w:autoSpaceDE w:val="0"/>
              <w:autoSpaceDN w:val="0"/>
              <w:adjustRightInd w:val="0"/>
              <w:spacing w:line="350" w:lineRule="auto"/>
              <w:rPr>
                <w:rFonts w:hAnsi="宋体"/>
                <w:szCs w:val="21"/>
              </w:rPr>
            </w:pPr>
            <w:r>
              <w:rPr>
                <w:rFonts w:hint="eastAsia" w:hAnsi="宋体"/>
                <w:szCs w:val="21"/>
              </w:rPr>
              <w:t>开户名称：昆明晨晟招标有限责任公司</w:t>
            </w:r>
          </w:p>
          <w:p>
            <w:pPr>
              <w:autoSpaceDE w:val="0"/>
              <w:autoSpaceDN w:val="0"/>
              <w:adjustRightInd w:val="0"/>
              <w:spacing w:line="350" w:lineRule="auto"/>
              <w:rPr>
                <w:rFonts w:hAnsi="宋体"/>
                <w:szCs w:val="21"/>
              </w:rPr>
            </w:pPr>
            <w:r>
              <w:rPr>
                <w:rFonts w:hint="eastAsia" w:hAnsi="宋体"/>
                <w:szCs w:val="21"/>
              </w:rPr>
              <w:t>开户银行：华夏银行昆明拓东支行</w:t>
            </w:r>
          </w:p>
          <w:p>
            <w:pPr>
              <w:autoSpaceDE w:val="0"/>
              <w:autoSpaceDN w:val="0"/>
              <w:adjustRightInd w:val="0"/>
              <w:spacing w:line="350" w:lineRule="auto"/>
              <w:rPr>
                <w:rFonts w:hAnsi="宋体"/>
                <w:szCs w:val="21"/>
              </w:rPr>
            </w:pPr>
            <w:r>
              <w:rPr>
                <w:rFonts w:hint="eastAsia" w:hAnsi="宋体"/>
                <w:szCs w:val="21"/>
              </w:rPr>
              <w:t>账号：4830200001801500009639</w:t>
            </w:r>
          </w:p>
          <w:p>
            <w:pPr>
              <w:autoSpaceDE w:val="0"/>
              <w:autoSpaceDN w:val="0"/>
              <w:adjustRightInd w:val="0"/>
              <w:spacing w:line="350" w:lineRule="auto"/>
              <w:rPr>
                <w:rFonts w:hAnsi="宋体"/>
                <w:szCs w:val="21"/>
              </w:rPr>
            </w:pPr>
            <w:r>
              <w:rPr>
                <w:rFonts w:hint="eastAsia" w:hAnsi="宋体"/>
                <w:szCs w:val="21"/>
              </w:rPr>
              <w:t>联系人：毕建萍、赵敏</w:t>
            </w:r>
          </w:p>
          <w:p>
            <w:pPr>
              <w:autoSpaceDE w:val="0"/>
              <w:autoSpaceDN w:val="0"/>
              <w:adjustRightInd w:val="0"/>
              <w:spacing w:line="350" w:lineRule="auto"/>
              <w:rPr>
                <w:rFonts w:hAnsi="宋体"/>
                <w:szCs w:val="21"/>
              </w:rPr>
            </w:pPr>
            <w:r>
              <w:rPr>
                <w:rFonts w:hint="eastAsia" w:hAnsi="宋体"/>
                <w:szCs w:val="21"/>
              </w:rPr>
              <w:t>联系电话：0871-68338999</w:t>
            </w:r>
          </w:p>
          <w:p>
            <w:pPr>
              <w:autoSpaceDE w:val="0"/>
              <w:autoSpaceDN w:val="0"/>
              <w:adjustRightInd w:val="0"/>
              <w:spacing w:line="350" w:lineRule="auto"/>
              <w:rPr>
                <w:rFonts w:hAnsi="宋体"/>
                <w:szCs w:val="21"/>
              </w:rPr>
            </w:pPr>
            <w:r>
              <w:rPr>
                <w:rFonts w:hint="eastAsia" w:hAnsi="宋体"/>
                <w:szCs w:val="21"/>
              </w:rPr>
              <w:t>注：1、保证金必须从供应商的基本账户划出；</w:t>
            </w:r>
          </w:p>
          <w:p>
            <w:pPr>
              <w:autoSpaceDE w:val="0"/>
              <w:autoSpaceDN w:val="0"/>
              <w:adjustRightInd w:val="0"/>
              <w:spacing w:line="350" w:lineRule="auto"/>
              <w:rPr>
                <w:rFonts w:hAnsi="宋体"/>
                <w:szCs w:val="21"/>
              </w:rPr>
            </w:pPr>
            <w:r>
              <w:rPr>
                <w:rFonts w:hint="eastAsia" w:hAnsi="宋体"/>
                <w:szCs w:val="21"/>
              </w:rPr>
              <w:t>2、保证金截止时间为提交响应文件的截止时间，到账时间以保证金专项账户实际到账时间为准，未按时到账的保证金无效；</w:t>
            </w:r>
          </w:p>
          <w:p>
            <w:pPr>
              <w:autoSpaceDE w:val="0"/>
              <w:autoSpaceDN w:val="0"/>
              <w:adjustRightInd w:val="0"/>
              <w:spacing w:line="350" w:lineRule="auto"/>
              <w:rPr>
                <w:rFonts w:hAnsi="宋体"/>
                <w:szCs w:val="21"/>
              </w:rPr>
            </w:pPr>
            <w:r>
              <w:rPr>
                <w:rFonts w:hint="eastAsia" w:hAnsi="宋体"/>
                <w:szCs w:val="21"/>
              </w:rPr>
              <w:t>3、转账凭证上备注栏内必须注明项目名称（备注栏内受字数限制无法写全项目名称的，须注明所投项目的项目编号，并简写项目名称）、供应商联系人及电话，如未注明项目名称（备注栏内受字数限制无法写全项目名称的，须注明所投项目的项目编号，并简写项目名称）导致保证金与所投项目不符，后果由供应商自负；</w:t>
            </w:r>
          </w:p>
          <w:p>
            <w:pPr>
              <w:autoSpaceDE w:val="0"/>
              <w:autoSpaceDN w:val="0"/>
              <w:adjustRightInd w:val="0"/>
              <w:spacing w:line="350" w:lineRule="auto"/>
              <w:rPr>
                <w:rFonts w:hAnsi="宋体"/>
                <w:szCs w:val="21"/>
              </w:rPr>
            </w:pPr>
            <w:r>
              <w:rPr>
                <w:rFonts w:hint="eastAsia"/>
              </w:rPr>
              <w:t>4、拒绝私人账户汇款及银行存现；</w:t>
            </w:r>
          </w:p>
          <w:p>
            <w:pPr>
              <w:autoSpaceDE w:val="0"/>
              <w:autoSpaceDN w:val="0"/>
              <w:adjustRightInd w:val="0"/>
              <w:spacing w:line="350" w:lineRule="auto"/>
              <w:rPr>
                <w:rFonts w:hAnsi="宋体"/>
                <w:szCs w:val="21"/>
              </w:rPr>
            </w:pPr>
            <w:r>
              <w:rPr>
                <w:rFonts w:hint="eastAsia"/>
              </w:rPr>
              <w:t>5、供应商须在提交响应文件的截止时间前到昆明晨晟招标有限责任公司换取保证金收据及收取证明（携带汇款凭证及基本账户开户许可证复印件）；</w:t>
            </w:r>
          </w:p>
          <w:p>
            <w:pPr>
              <w:autoSpaceDE w:val="0"/>
              <w:autoSpaceDN w:val="0"/>
              <w:adjustRightInd w:val="0"/>
              <w:spacing w:line="350" w:lineRule="auto"/>
              <w:rPr>
                <w:rFonts w:hAnsi="宋体"/>
                <w:szCs w:val="21"/>
              </w:rPr>
            </w:pPr>
            <w:r>
              <w:rPr>
                <w:rFonts w:hint="eastAsia"/>
              </w:rPr>
              <w:t>6、保证金的退还详见收取证明。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 w:hRule="atLeast"/>
        </w:trPr>
        <w:tc>
          <w:tcPr>
            <w:tcW w:w="730" w:type="dxa"/>
            <w:vAlign w:val="center"/>
          </w:tcPr>
          <w:p>
            <w:pPr>
              <w:spacing w:line="360" w:lineRule="auto"/>
              <w:jc w:val="center"/>
              <w:rPr>
                <w:rFonts w:hAnsi="宋体"/>
                <w:szCs w:val="21"/>
              </w:rPr>
            </w:pPr>
            <w:r>
              <w:rPr>
                <w:rFonts w:hint="eastAsia" w:hAnsi="宋体"/>
                <w:szCs w:val="21"/>
              </w:rPr>
              <w:t>19.</w:t>
            </w:r>
            <w:r>
              <w:rPr>
                <w:rFonts w:hAnsi="宋体"/>
                <w:szCs w:val="21"/>
              </w:rPr>
              <w:t>3</w:t>
            </w:r>
          </w:p>
        </w:tc>
        <w:tc>
          <w:tcPr>
            <w:tcW w:w="2105" w:type="dxa"/>
            <w:vAlign w:val="center"/>
          </w:tcPr>
          <w:p>
            <w:pPr>
              <w:spacing w:line="360" w:lineRule="auto"/>
              <w:jc w:val="center"/>
              <w:rPr>
                <w:rFonts w:hAnsi="宋体"/>
                <w:szCs w:val="21"/>
              </w:rPr>
            </w:pPr>
            <w:r>
              <w:rPr>
                <w:rFonts w:hAnsi="宋体"/>
                <w:szCs w:val="21"/>
              </w:rPr>
              <w:t>响应文件</w:t>
            </w:r>
            <w:r>
              <w:rPr>
                <w:rFonts w:hint="eastAsia" w:hAnsi="宋体"/>
                <w:szCs w:val="21"/>
              </w:rPr>
              <w:t>签署</w:t>
            </w:r>
          </w:p>
        </w:tc>
        <w:tc>
          <w:tcPr>
            <w:tcW w:w="6324" w:type="dxa"/>
            <w:vAlign w:val="center"/>
          </w:tcPr>
          <w:p>
            <w:pPr>
              <w:autoSpaceDE w:val="0"/>
              <w:autoSpaceDN w:val="0"/>
              <w:adjustRightInd w:val="0"/>
              <w:spacing w:line="360" w:lineRule="auto"/>
              <w:jc w:val="left"/>
              <w:rPr>
                <w:rFonts w:hAnsi="宋体"/>
                <w:szCs w:val="21"/>
              </w:rPr>
            </w:pPr>
            <w:r>
              <w:rPr>
                <w:rFonts w:hint="eastAsia" w:hAnsi="宋体" w:cs="宋体"/>
                <w:szCs w:val="21"/>
              </w:rPr>
              <w:t>响应文件应以竞争性磋商文件格式部分要求为准，响应文件应由法定代表人或委托代理人在竞争性磋商文件规定签字处逐一签字或盖章，要求盖章处应盖单位公章，若以“投标专用章”或“合同专用章”代替的，须出具供应商单位公章对“投标专用章”或“合同专用章”的授权函原件。没有按竞争性磋商文件要求签字或盖章的响应文件按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19.4</w:t>
            </w:r>
          </w:p>
        </w:tc>
        <w:tc>
          <w:tcPr>
            <w:tcW w:w="2105" w:type="dxa"/>
            <w:vAlign w:val="center"/>
          </w:tcPr>
          <w:p>
            <w:pPr>
              <w:spacing w:line="360" w:lineRule="auto"/>
              <w:jc w:val="center"/>
              <w:rPr>
                <w:rFonts w:hAnsi="宋体"/>
                <w:szCs w:val="21"/>
              </w:rPr>
            </w:pPr>
            <w:r>
              <w:rPr>
                <w:rFonts w:hAnsi="宋体"/>
                <w:szCs w:val="21"/>
              </w:rPr>
              <w:t>响应文件份数</w:t>
            </w:r>
          </w:p>
        </w:tc>
        <w:tc>
          <w:tcPr>
            <w:tcW w:w="6324" w:type="dxa"/>
            <w:vAlign w:val="center"/>
          </w:tcPr>
          <w:p>
            <w:pPr>
              <w:spacing w:line="360" w:lineRule="auto"/>
              <w:rPr>
                <w:rFonts w:hAnsi="宋体" w:cs="宋体"/>
                <w:szCs w:val="21"/>
              </w:rPr>
            </w:pPr>
            <w:r>
              <w:rPr>
                <w:rFonts w:hint="eastAsia" w:hAnsi="宋体" w:cs="宋体"/>
                <w:szCs w:val="21"/>
              </w:rPr>
              <w:t>文档标书：1份正本，</w:t>
            </w:r>
            <w:r>
              <w:rPr>
                <w:rFonts w:hAnsi="宋体" w:cs="宋体"/>
                <w:szCs w:val="21"/>
              </w:rPr>
              <w:t>2</w:t>
            </w:r>
            <w:r>
              <w:rPr>
                <w:rFonts w:hint="eastAsia" w:hAnsi="宋体" w:cs="宋体"/>
                <w:szCs w:val="21"/>
              </w:rPr>
              <w:t>份副本（副本可以是正本的复印件）；</w:t>
            </w:r>
          </w:p>
          <w:p>
            <w:pPr>
              <w:spacing w:line="360" w:lineRule="auto"/>
              <w:rPr>
                <w:rFonts w:hAnsi="宋体" w:cs="宋体"/>
                <w:szCs w:val="21"/>
              </w:rPr>
            </w:pPr>
            <w:r>
              <w:rPr>
                <w:rFonts w:hint="eastAsia" w:hAnsi="宋体" w:cs="宋体"/>
                <w:szCs w:val="21"/>
              </w:rPr>
              <w:t>响应文件电子版：1份（U盘），包含响应文件电子版，响应文件的电子版应由word、excel、cad或者其他专业软件编制，确保与纸质响应文件一致，演示资料格式不限；</w:t>
            </w:r>
            <w:r>
              <w:rPr>
                <w:rFonts w:hint="eastAsia" w:hAnsi="宋体" w:cs="宋体"/>
                <w:b/>
                <w:bCs/>
                <w:szCs w:val="21"/>
              </w:rPr>
              <w:t>响应</w:t>
            </w:r>
            <w:r>
              <w:rPr>
                <w:rFonts w:hint="eastAsia" w:hAnsi="宋体" w:cs="宋体"/>
                <w:b/>
                <w:bCs/>
                <w:szCs w:val="22"/>
              </w:rPr>
              <w:t>文件电子版须包含可编辑的word（或excel）文本及响应文件正本扫描件（格式为pdf）</w:t>
            </w:r>
            <w:r>
              <w:rPr>
                <w:rFonts w:hint="eastAsia" w:hAnsi="宋体" w:cs="宋体"/>
                <w:szCs w:val="22"/>
              </w:rPr>
              <w:t>【</w:t>
            </w:r>
            <w:r>
              <w:rPr>
                <w:rFonts w:hint="eastAsia" w:hAnsi="宋体" w:cs="宋体"/>
                <w:b/>
                <w:bCs/>
                <w:szCs w:val="22"/>
              </w:rPr>
              <w:t>注：响应文件正本扫描件一份（签字盖章后响应文件正本的所有内容（包含封面）彩色扫描为pdf格式，确保扫描件与纸质文件一致；如扫描件与纸质文件正本不一致,以纸质文件为准】</w:t>
            </w:r>
            <w:r>
              <w:rPr>
                <w:rFonts w:hint="eastAsia" w:hAnsi="宋体" w:cs="宋体"/>
                <w:szCs w:val="21"/>
              </w:rPr>
              <w:t>。</w:t>
            </w:r>
          </w:p>
          <w:p>
            <w:pPr>
              <w:autoSpaceDE w:val="0"/>
              <w:autoSpaceDN w:val="0"/>
              <w:adjustRightInd w:val="0"/>
              <w:spacing w:line="360" w:lineRule="auto"/>
              <w:jc w:val="left"/>
              <w:rPr>
                <w:rFonts w:hAnsi="宋体"/>
                <w:szCs w:val="21"/>
              </w:rPr>
            </w:pPr>
            <w:r>
              <w:rPr>
                <w:rFonts w:hint="eastAsia"/>
                <w:szCs w:val="21"/>
              </w:rPr>
              <w:t>注：同一供应商同时参与多个标段磋商的，须分标段制作、递交</w:t>
            </w:r>
            <w:r>
              <w:rPr>
                <w:rFonts w:hint="eastAsia" w:hAnsi="宋体" w:cs="宋体"/>
                <w:szCs w:val="21"/>
              </w:rPr>
              <w:t>响应</w:t>
            </w:r>
            <w:r>
              <w:rPr>
                <w:rFonts w:hint="eastAsia"/>
                <w:szCs w:val="21"/>
              </w:rPr>
              <w:t>文件。若采购人需要，成交单位在收到成交通知书后应再按采购人要求提供相应份数的</w:t>
            </w:r>
            <w:r>
              <w:rPr>
                <w:rFonts w:hint="eastAsia" w:hAnsi="宋体" w:cs="宋体"/>
                <w:szCs w:val="21"/>
              </w:rPr>
              <w:t>响应</w:t>
            </w:r>
            <w:r>
              <w:rPr>
                <w:rFonts w:hint="eastAsia"/>
                <w:szCs w:val="21"/>
              </w:rPr>
              <w:t>文件副本（须与成交的</w:t>
            </w:r>
            <w:r>
              <w:rPr>
                <w:rFonts w:hint="eastAsia" w:hAnsi="宋体" w:cs="宋体"/>
                <w:szCs w:val="21"/>
              </w:rPr>
              <w:t>响应</w:t>
            </w:r>
            <w:r>
              <w:rPr>
                <w:rFonts w:hint="eastAsia"/>
                <w:szCs w:val="21"/>
              </w:rPr>
              <w:t>文件正本一致）。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20.5</w:t>
            </w:r>
          </w:p>
        </w:tc>
        <w:tc>
          <w:tcPr>
            <w:tcW w:w="2105" w:type="dxa"/>
            <w:vAlign w:val="center"/>
          </w:tcPr>
          <w:p>
            <w:pPr>
              <w:spacing w:line="360" w:lineRule="auto"/>
              <w:jc w:val="center"/>
              <w:rPr>
                <w:rFonts w:hAnsi="宋体"/>
                <w:szCs w:val="21"/>
              </w:rPr>
            </w:pPr>
            <w:r>
              <w:rPr>
                <w:rFonts w:hint="eastAsia" w:hAnsi="宋体"/>
                <w:kern w:val="0"/>
                <w:szCs w:val="21"/>
              </w:rPr>
              <w:t>备品备件</w:t>
            </w:r>
          </w:p>
        </w:tc>
        <w:tc>
          <w:tcPr>
            <w:tcW w:w="6324" w:type="dxa"/>
            <w:vAlign w:val="center"/>
          </w:tcPr>
          <w:p>
            <w:pPr>
              <w:autoSpaceDE w:val="0"/>
              <w:autoSpaceDN w:val="0"/>
              <w:adjustRightInd w:val="0"/>
              <w:spacing w:line="360" w:lineRule="auto"/>
              <w:jc w:val="left"/>
              <w:rPr>
                <w:rFonts w:hAnsi="宋体"/>
                <w:b/>
                <w:bCs/>
                <w:szCs w:val="21"/>
              </w:rPr>
            </w:pPr>
            <w:r>
              <w:rPr>
                <w:rFonts w:hAnsi="宋体"/>
                <w:b/>
                <w:bCs/>
                <w:sz w:val="24"/>
              </w:rPr>
              <w:fldChar w:fldCharType="begin"/>
            </w:r>
            <w:r>
              <w:rPr>
                <w:rFonts w:hAnsi="宋体"/>
                <w:b/>
                <w:bCs/>
                <w:sz w:val="24"/>
              </w:rPr>
              <w:instrText xml:space="preserve"> eq \o\ac(</w:instrText>
            </w:r>
            <w:r>
              <w:rPr>
                <w:rFonts w:hint="eastAsia" w:hAnsi="宋体"/>
                <w:b/>
                <w:bCs/>
                <w:sz w:val="24"/>
              </w:rPr>
              <w:instrText xml:space="preserve">□</w:instrText>
            </w:r>
            <w:r>
              <w:rPr>
                <w:rFonts w:hAnsi="宋体"/>
                <w:b/>
                <w:bCs/>
                <w:sz w:val="24"/>
              </w:rPr>
              <w:instrText xml:space="preserve">,</w:instrText>
            </w:r>
            <w:r>
              <w:rPr>
                <w:rFonts w:hint="eastAsia" w:hAnsi="宋体"/>
                <w:b/>
                <w:bCs/>
                <w:sz w:val="24"/>
              </w:rPr>
              <w:instrText xml:space="preserve">√</w:instrText>
            </w:r>
            <w:r>
              <w:rPr>
                <w:rFonts w:hAnsi="宋体"/>
                <w:b/>
                <w:bCs/>
                <w:sz w:val="24"/>
              </w:rPr>
              <w:instrText xml:space="preserve">)</w:instrText>
            </w:r>
            <w:r>
              <w:rPr>
                <w:rFonts w:hAnsi="宋体"/>
                <w:b/>
                <w:bCs/>
                <w:sz w:val="24"/>
              </w:rPr>
              <w:fldChar w:fldCharType="end"/>
            </w:r>
            <w:r>
              <w:rPr>
                <w:rFonts w:hint="eastAsia" w:hAnsi="宋体"/>
                <w:b/>
                <w:bCs/>
                <w:szCs w:val="21"/>
              </w:rPr>
              <w:t>包含在磋商报价中</w:t>
            </w:r>
          </w:p>
          <w:p>
            <w:pPr>
              <w:spacing w:line="360" w:lineRule="auto"/>
              <w:rPr>
                <w:rFonts w:hAnsi="宋体"/>
                <w:szCs w:val="21"/>
              </w:rPr>
            </w:pPr>
            <w:r>
              <w:rPr>
                <w:rFonts w:hint="eastAsia" w:hAnsi="宋体"/>
                <w:szCs w:val="21"/>
              </w:rPr>
              <w:t>□不包含在磋商报价中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20.9</w:t>
            </w:r>
          </w:p>
        </w:tc>
        <w:tc>
          <w:tcPr>
            <w:tcW w:w="2105" w:type="dxa"/>
            <w:vAlign w:val="center"/>
          </w:tcPr>
          <w:p>
            <w:pPr>
              <w:spacing w:line="360" w:lineRule="auto"/>
              <w:jc w:val="center"/>
              <w:rPr>
                <w:rFonts w:hAnsi="宋体"/>
                <w:kern w:val="0"/>
                <w:szCs w:val="21"/>
              </w:rPr>
            </w:pPr>
            <w:r>
              <w:rPr>
                <w:rFonts w:hint="eastAsia" w:hAnsi="宋体"/>
                <w:szCs w:val="21"/>
              </w:rPr>
              <w:t>报价货币</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21.1</w:t>
            </w:r>
          </w:p>
        </w:tc>
        <w:tc>
          <w:tcPr>
            <w:tcW w:w="2105" w:type="dxa"/>
            <w:vAlign w:val="center"/>
          </w:tcPr>
          <w:p>
            <w:pPr>
              <w:spacing w:line="360" w:lineRule="auto"/>
              <w:jc w:val="center"/>
              <w:rPr>
                <w:rFonts w:hAnsi="宋体"/>
                <w:szCs w:val="21"/>
              </w:rPr>
            </w:pPr>
            <w:r>
              <w:rPr>
                <w:rFonts w:hint="eastAsia" w:hAnsi="宋体"/>
                <w:szCs w:val="21"/>
              </w:rPr>
              <w:t>响应文件的密封</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供应商应将响应文件正、副本及电子文件（U盘）一起装入包装并加以密封，并保证其密封完好，并在骑缝处加盖密封章或供应商单位公章（单位鲜章）。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21.2</w:t>
            </w:r>
          </w:p>
        </w:tc>
        <w:tc>
          <w:tcPr>
            <w:tcW w:w="2105" w:type="dxa"/>
            <w:vAlign w:val="center"/>
          </w:tcPr>
          <w:p>
            <w:pPr>
              <w:spacing w:line="360" w:lineRule="auto"/>
              <w:jc w:val="center"/>
              <w:rPr>
                <w:rFonts w:hAnsi="宋体"/>
                <w:szCs w:val="21"/>
              </w:rPr>
            </w:pPr>
            <w:r>
              <w:rPr>
                <w:rFonts w:hint="eastAsia" w:hAnsi="宋体"/>
                <w:szCs w:val="21"/>
              </w:rPr>
              <w:t>响应文件的标记</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响应文件的封套上应注明项目名称、项目编号、所投标段号（若分标段时）、供应商名称等内容。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22.1</w:t>
            </w:r>
          </w:p>
        </w:tc>
        <w:tc>
          <w:tcPr>
            <w:tcW w:w="2105" w:type="dxa"/>
            <w:vAlign w:val="center"/>
          </w:tcPr>
          <w:p>
            <w:pPr>
              <w:pStyle w:val="26"/>
              <w:spacing w:before="0" w:beforeAutospacing="0" w:after="0" w:afterAutospacing="0" w:line="276" w:lineRule="auto"/>
              <w:jc w:val="center"/>
              <w:rPr>
                <w:sz w:val="21"/>
                <w:szCs w:val="21"/>
              </w:rPr>
            </w:pPr>
            <w:r>
              <w:rPr>
                <w:rFonts w:hint="eastAsia"/>
                <w:sz w:val="21"/>
                <w:szCs w:val="21"/>
              </w:rPr>
              <w:t>提交响应文件的截止时间及地点</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详见 第一章 竞争性磋商公告 “四、响应文件提交”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22.4</w:t>
            </w:r>
          </w:p>
        </w:tc>
        <w:tc>
          <w:tcPr>
            <w:tcW w:w="2105" w:type="dxa"/>
            <w:vAlign w:val="center"/>
          </w:tcPr>
          <w:p>
            <w:pPr>
              <w:pStyle w:val="26"/>
              <w:spacing w:before="0" w:beforeAutospacing="0" w:after="0" w:afterAutospacing="0" w:line="360" w:lineRule="auto"/>
              <w:jc w:val="center"/>
              <w:rPr>
                <w:sz w:val="21"/>
                <w:szCs w:val="21"/>
              </w:rPr>
            </w:pPr>
            <w:r>
              <w:rPr>
                <w:rFonts w:hint="eastAsia"/>
                <w:sz w:val="21"/>
                <w:szCs w:val="21"/>
              </w:rPr>
              <w:t>响应文件是否退还</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24.2</w:t>
            </w:r>
          </w:p>
        </w:tc>
        <w:tc>
          <w:tcPr>
            <w:tcW w:w="2105" w:type="dxa"/>
            <w:vAlign w:val="center"/>
          </w:tcPr>
          <w:p>
            <w:pPr>
              <w:pStyle w:val="26"/>
              <w:spacing w:before="0" w:beforeAutospacing="0" w:after="0" w:afterAutospacing="0" w:line="360" w:lineRule="auto"/>
              <w:ind w:left="-31" w:leftChars="-15"/>
              <w:jc w:val="center"/>
              <w:rPr>
                <w:sz w:val="21"/>
                <w:szCs w:val="21"/>
              </w:rPr>
            </w:pPr>
            <w:r>
              <w:rPr>
                <w:rFonts w:hint="eastAsia"/>
                <w:sz w:val="21"/>
                <w:szCs w:val="21"/>
              </w:rPr>
              <w:t>磋商小组</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磋商小组由采购人依法组建，磋商由磋商小组负责。磋商小组由采购人代表和评审专家共3人以上单数组成，其中评审专家人数不得少于磋商小组成员总数的2/3。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24.5</w:t>
            </w:r>
          </w:p>
        </w:tc>
        <w:tc>
          <w:tcPr>
            <w:tcW w:w="2105" w:type="dxa"/>
            <w:vAlign w:val="center"/>
          </w:tcPr>
          <w:p>
            <w:pPr>
              <w:pStyle w:val="26"/>
              <w:spacing w:before="0" w:beforeAutospacing="0" w:after="0" w:afterAutospacing="0" w:line="360" w:lineRule="auto"/>
              <w:jc w:val="center"/>
              <w:rPr>
                <w:sz w:val="21"/>
                <w:szCs w:val="21"/>
              </w:rPr>
            </w:pPr>
            <w:r>
              <w:rPr>
                <w:rFonts w:hint="eastAsia"/>
                <w:sz w:val="21"/>
                <w:szCs w:val="21"/>
              </w:rPr>
              <w:t>评审方法</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28.1</w:t>
            </w:r>
          </w:p>
        </w:tc>
        <w:tc>
          <w:tcPr>
            <w:tcW w:w="2105" w:type="dxa"/>
            <w:vAlign w:val="center"/>
          </w:tcPr>
          <w:p>
            <w:pPr>
              <w:spacing w:line="360" w:lineRule="auto"/>
              <w:jc w:val="center"/>
              <w:rPr>
                <w:rFonts w:hAnsi="宋体"/>
                <w:snapToGrid/>
                <w:kern w:val="0"/>
                <w:szCs w:val="21"/>
              </w:rPr>
            </w:pPr>
            <w:r>
              <w:rPr>
                <w:rFonts w:hint="eastAsia" w:hAnsi="宋体"/>
                <w:szCs w:val="21"/>
              </w:rPr>
              <w:t>履约保证金金额</w:t>
            </w:r>
          </w:p>
        </w:tc>
        <w:tc>
          <w:tcPr>
            <w:tcW w:w="6324" w:type="dxa"/>
            <w:vAlign w:val="center"/>
          </w:tcPr>
          <w:p>
            <w:pPr>
              <w:spacing w:line="360" w:lineRule="auto"/>
              <w:jc w:val="left"/>
              <w:rPr>
                <w:rFonts w:hAnsi="宋体"/>
                <w:szCs w:val="21"/>
              </w:rPr>
            </w:pPr>
            <w:r>
              <w:rPr>
                <w:rStyle w:val="34"/>
                <w:rFonts w:hint="eastAsia" w:hAnsi="宋体"/>
                <w:kern w:val="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29.1</w:t>
            </w:r>
          </w:p>
        </w:tc>
        <w:tc>
          <w:tcPr>
            <w:tcW w:w="2105" w:type="dxa"/>
            <w:vAlign w:val="center"/>
          </w:tcPr>
          <w:p>
            <w:pPr>
              <w:spacing w:line="360" w:lineRule="auto"/>
              <w:jc w:val="center"/>
              <w:rPr>
                <w:rFonts w:hAnsi="宋体"/>
                <w:szCs w:val="21"/>
              </w:rPr>
            </w:pPr>
            <w:r>
              <w:rPr>
                <w:rFonts w:hint="eastAsia" w:hAnsi="宋体"/>
                <w:szCs w:val="21"/>
              </w:rPr>
              <w:t>采购代理服务费</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采购代理服务费按国家计委关于《招标代理服务收费管理暂行办法》（计价格【2002】1980号文）的规定，以成交金额为计算基数按“服务招标”收取采购代理服务费；采购代理服务费及其它相关费用在发放成交通知书前由成交单位一次性缴清给本项目的采购代理机构。采购代理服务费按差额定率累进法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31.5</w:t>
            </w:r>
          </w:p>
        </w:tc>
        <w:tc>
          <w:tcPr>
            <w:tcW w:w="2105" w:type="dxa"/>
            <w:vAlign w:val="center"/>
          </w:tcPr>
          <w:p>
            <w:pPr>
              <w:pStyle w:val="26"/>
              <w:spacing w:before="0" w:beforeAutospacing="0" w:after="0" w:afterAutospacing="0" w:line="360" w:lineRule="auto"/>
              <w:jc w:val="center"/>
              <w:rPr>
                <w:sz w:val="21"/>
                <w:szCs w:val="21"/>
              </w:rPr>
            </w:pPr>
            <w:r>
              <w:rPr>
                <w:rFonts w:hint="eastAsia"/>
                <w:sz w:val="21"/>
                <w:szCs w:val="21"/>
              </w:rPr>
              <w:t>需要补充的其他内容</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供应商在提交响应文件时，除按竞争性磋商文件的要求携带必须的资料外,还必须携带如下证明文件（或材料）,交由现场工作人员登记：</w:t>
            </w:r>
          </w:p>
          <w:p>
            <w:pPr>
              <w:autoSpaceDE w:val="0"/>
              <w:autoSpaceDN w:val="0"/>
              <w:adjustRightInd w:val="0"/>
              <w:spacing w:line="360" w:lineRule="auto"/>
              <w:jc w:val="left"/>
              <w:rPr>
                <w:rFonts w:hAnsi="宋体"/>
                <w:szCs w:val="21"/>
              </w:rPr>
            </w:pPr>
            <w:r>
              <w:rPr>
                <w:rFonts w:hAnsi="宋体"/>
                <w:szCs w:val="21"/>
              </w:rPr>
              <w:t>1</w:t>
            </w:r>
            <w:r>
              <w:rPr>
                <w:rFonts w:hint="eastAsia" w:hAnsi="宋体"/>
                <w:szCs w:val="21"/>
              </w:rPr>
              <w:t>.若法定代表人参加采购时，应提供：</w:t>
            </w:r>
          </w:p>
          <w:p>
            <w:pPr>
              <w:autoSpaceDE w:val="0"/>
              <w:autoSpaceDN w:val="0"/>
              <w:adjustRightInd w:val="0"/>
              <w:spacing w:line="360" w:lineRule="auto"/>
              <w:jc w:val="left"/>
              <w:rPr>
                <w:rFonts w:hAnsi="宋体"/>
                <w:szCs w:val="21"/>
              </w:rPr>
            </w:pPr>
            <w:r>
              <w:rPr>
                <w:rFonts w:hint="eastAsia" w:hAnsi="宋体"/>
                <w:szCs w:val="21"/>
              </w:rPr>
              <w:t>a.法定代表人身份证明书</w:t>
            </w:r>
            <w:r>
              <w:rPr>
                <w:rFonts w:hint="eastAsia" w:hAnsi="宋体"/>
                <w:b/>
                <w:bCs/>
                <w:szCs w:val="21"/>
              </w:rPr>
              <w:t>原件</w:t>
            </w:r>
            <w:r>
              <w:rPr>
                <w:rFonts w:hint="eastAsia" w:hAnsi="宋体"/>
                <w:szCs w:val="21"/>
              </w:rPr>
              <w:t>；b.法定代表人身份证</w:t>
            </w:r>
            <w:r>
              <w:rPr>
                <w:rFonts w:hint="eastAsia" w:hAnsi="宋体"/>
                <w:b/>
                <w:bCs/>
                <w:szCs w:val="21"/>
              </w:rPr>
              <w:t>原件</w:t>
            </w:r>
            <w:r>
              <w:rPr>
                <w:rFonts w:hint="eastAsia" w:hAnsi="宋体"/>
                <w:szCs w:val="21"/>
              </w:rPr>
              <w:t>。</w:t>
            </w:r>
            <w:r>
              <w:rPr>
                <w:rFonts w:hint="eastAsia" w:hAnsi="宋体"/>
                <w:b/>
                <w:bCs/>
                <w:szCs w:val="21"/>
              </w:rPr>
              <w:t>原件一式两份，一份单独提交，一份装入响应文件正本中。</w:t>
            </w:r>
          </w:p>
          <w:p>
            <w:pPr>
              <w:autoSpaceDE w:val="0"/>
              <w:autoSpaceDN w:val="0"/>
              <w:adjustRightInd w:val="0"/>
              <w:spacing w:line="360" w:lineRule="auto"/>
              <w:jc w:val="left"/>
              <w:rPr>
                <w:rFonts w:hAnsi="宋体"/>
                <w:szCs w:val="21"/>
              </w:rPr>
            </w:pPr>
            <w:r>
              <w:rPr>
                <w:rFonts w:hAnsi="宋体"/>
                <w:szCs w:val="21"/>
              </w:rPr>
              <w:t>2</w:t>
            </w:r>
            <w:r>
              <w:rPr>
                <w:rFonts w:hint="eastAsia" w:hAnsi="宋体"/>
                <w:szCs w:val="21"/>
              </w:rPr>
              <w:t>.若法定代表人不能到场参加的，由委托代理人参加采购时，应提供：a.法定代表人身份证明书</w:t>
            </w:r>
            <w:r>
              <w:rPr>
                <w:rFonts w:hint="eastAsia" w:hAnsi="宋体"/>
                <w:b/>
                <w:bCs/>
                <w:szCs w:val="21"/>
              </w:rPr>
              <w:t>原件</w:t>
            </w:r>
            <w:r>
              <w:rPr>
                <w:rFonts w:hint="eastAsia" w:hAnsi="宋体"/>
                <w:szCs w:val="21"/>
              </w:rPr>
              <w:t>；b.法定代表人授权委托书</w:t>
            </w:r>
            <w:r>
              <w:rPr>
                <w:rFonts w:hint="eastAsia" w:hAnsi="宋体"/>
                <w:b/>
                <w:bCs/>
                <w:szCs w:val="21"/>
              </w:rPr>
              <w:t>原件</w:t>
            </w:r>
            <w:r>
              <w:rPr>
                <w:rFonts w:hint="eastAsia" w:hAnsi="宋体"/>
                <w:szCs w:val="21"/>
              </w:rPr>
              <w:t>；c.委托代理人身份证</w:t>
            </w:r>
            <w:r>
              <w:rPr>
                <w:rFonts w:hint="eastAsia" w:hAnsi="宋体"/>
                <w:b/>
                <w:bCs/>
                <w:szCs w:val="21"/>
              </w:rPr>
              <w:t>原件</w:t>
            </w:r>
            <w:r>
              <w:rPr>
                <w:rFonts w:hint="eastAsia" w:hAnsi="宋体"/>
                <w:szCs w:val="21"/>
              </w:rPr>
              <w:t>。</w:t>
            </w:r>
            <w:r>
              <w:rPr>
                <w:rFonts w:hint="eastAsia" w:hAnsi="宋体"/>
                <w:b/>
                <w:bCs/>
                <w:szCs w:val="21"/>
              </w:rPr>
              <w:t>原件一式两份，一份单独提交，一份装入响应文件正本中。</w:t>
            </w:r>
          </w:p>
          <w:p>
            <w:pPr>
              <w:autoSpaceDE w:val="0"/>
              <w:autoSpaceDN w:val="0"/>
              <w:adjustRightInd w:val="0"/>
              <w:spacing w:line="360" w:lineRule="auto"/>
              <w:jc w:val="left"/>
              <w:rPr>
                <w:rFonts w:hAnsi="宋体"/>
                <w:szCs w:val="21"/>
              </w:rPr>
            </w:pPr>
            <w:r>
              <w:rPr>
                <w:rFonts w:hint="eastAsia" w:hAnsi="宋体"/>
                <w:szCs w:val="21"/>
              </w:rPr>
              <w:t>工作人员将如实记录供应商提交的证件（或资料）情况，并交由磋商小组审查讨论。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30" w:type="dxa"/>
            <w:vAlign w:val="center"/>
          </w:tcPr>
          <w:p>
            <w:pPr>
              <w:spacing w:line="360" w:lineRule="auto"/>
              <w:jc w:val="center"/>
              <w:rPr>
                <w:rFonts w:hAnsi="宋体"/>
                <w:szCs w:val="21"/>
              </w:rPr>
            </w:pPr>
            <w:r>
              <w:rPr>
                <w:rFonts w:hint="eastAsia" w:hAnsi="宋体"/>
                <w:szCs w:val="21"/>
              </w:rPr>
              <w:t>★32</w:t>
            </w:r>
          </w:p>
        </w:tc>
        <w:tc>
          <w:tcPr>
            <w:tcW w:w="2105" w:type="dxa"/>
            <w:vAlign w:val="center"/>
          </w:tcPr>
          <w:p>
            <w:pPr>
              <w:pStyle w:val="15"/>
              <w:spacing w:line="360" w:lineRule="auto"/>
              <w:jc w:val="center"/>
              <w:rPr>
                <w:rFonts w:hAnsi="宋体"/>
                <w:szCs w:val="21"/>
              </w:rPr>
            </w:pPr>
            <w:r>
              <w:rPr>
                <w:rFonts w:hint="eastAsia" w:hAnsi="宋体"/>
                <w:szCs w:val="21"/>
              </w:rPr>
              <w:t>其它内容</w:t>
            </w:r>
          </w:p>
        </w:tc>
        <w:tc>
          <w:tcPr>
            <w:tcW w:w="6324" w:type="dxa"/>
            <w:vAlign w:val="center"/>
          </w:tcPr>
          <w:p>
            <w:pPr>
              <w:autoSpaceDE w:val="0"/>
              <w:autoSpaceDN w:val="0"/>
              <w:adjustRightInd w:val="0"/>
              <w:spacing w:line="360" w:lineRule="auto"/>
              <w:jc w:val="left"/>
              <w:rPr>
                <w:rFonts w:hAnsi="宋体"/>
                <w:szCs w:val="21"/>
              </w:rPr>
            </w:pPr>
            <w:r>
              <w:rPr>
                <w:rFonts w:hint="eastAsia" w:hAnsi="宋体"/>
                <w:szCs w:val="21"/>
              </w:rPr>
              <w:t>根据《财政部关于在政府采购活动中查询及使用信用记录有关问题的通知》（财库〔2016〕125号）相关要求，采购人或者采购代理机构对信用记录进行核实，对列入失信被执行人、重大税收违法案件当事人名单、政府采购严重违法失信行为记录名单及其他不符合《中华人民共和国政府采购法》第二十二条规定条件的供应商，拒绝其参与政府采购活动。</w:t>
            </w:r>
          </w:p>
        </w:tc>
      </w:tr>
    </w:tbl>
    <w:p>
      <w:pPr>
        <w:pStyle w:val="4"/>
        <w:widowControl/>
        <w:spacing w:before="240" w:after="240" w:line="360" w:lineRule="auto"/>
        <w:jc w:val="center"/>
        <w:rPr>
          <w:rFonts w:hint="default" w:hAnsi="黑体"/>
          <w:b/>
          <w:kern w:val="0"/>
          <w:szCs w:val="32"/>
        </w:rPr>
      </w:pPr>
      <w:bookmarkStart w:id="53" w:name="_Toc72489526"/>
      <w:r>
        <w:rPr>
          <w:rFonts w:hAnsi="黑体"/>
          <w:b/>
          <w:kern w:val="0"/>
          <w:szCs w:val="32"/>
        </w:rPr>
        <w:t>一、总则</w:t>
      </w:r>
      <w:bookmarkEnd w:id="53"/>
    </w:p>
    <w:p>
      <w:pPr>
        <w:pStyle w:val="110"/>
        <w:widowControl/>
        <w:spacing w:line="360" w:lineRule="auto"/>
        <w:rPr>
          <w:rFonts w:ascii="黑体" w:hAnsi="黑体"/>
          <w:b/>
          <w:bCs/>
        </w:rPr>
      </w:pPr>
      <w:bookmarkStart w:id="54" w:name="_Toc46924537"/>
      <w:bookmarkStart w:id="55" w:name="_Toc72489527"/>
      <w:r>
        <w:rPr>
          <w:rFonts w:hint="eastAsia" w:ascii="黑体" w:hAnsi="黑体"/>
          <w:b/>
          <w:bCs/>
        </w:rPr>
        <w:t>1、项目概况</w:t>
      </w:r>
      <w:bookmarkEnd w:id="54"/>
      <w:bookmarkEnd w:id="55"/>
    </w:p>
    <w:p>
      <w:pPr>
        <w:keepNext/>
        <w:keepLines/>
        <w:widowControl/>
        <w:spacing w:line="360" w:lineRule="auto"/>
        <w:ind w:firstLine="420" w:firstLineChars="200"/>
        <w:rPr>
          <w:rFonts w:hAnsi="宋体"/>
          <w:szCs w:val="21"/>
        </w:rPr>
      </w:pPr>
      <w:r>
        <w:rPr>
          <w:rFonts w:hint="eastAsia" w:hAnsi="宋体"/>
          <w:szCs w:val="21"/>
        </w:rPr>
        <w:t>1.1根据《中华人民共和国政府采购法》、《中华人民共和国政府采购法实施条例》、《政府采购竞争性磋商采购方式管理暂行办法》等有关法律、法规和规章的规定</w:t>
      </w:r>
      <w:r>
        <w:rPr>
          <w:rFonts w:hAnsi="宋体"/>
          <w:szCs w:val="21"/>
        </w:rPr>
        <w:t>,</w:t>
      </w:r>
      <w:r>
        <w:rPr>
          <w:rFonts w:hint="eastAsia" w:hAnsi="宋体"/>
          <w:szCs w:val="21"/>
        </w:rPr>
        <w:t>经相关主管部门批准，采购代理机构受采购人委托，采用竞争性磋商方式选定供应商承担本项目。</w:t>
      </w:r>
    </w:p>
    <w:p>
      <w:pPr>
        <w:spacing w:line="360" w:lineRule="auto"/>
        <w:ind w:firstLine="420" w:firstLineChars="200"/>
        <w:rPr>
          <w:rFonts w:hAnsi="宋体"/>
          <w:szCs w:val="21"/>
        </w:rPr>
      </w:pPr>
      <w:r>
        <w:rPr>
          <w:rFonts w:hint="eastAsia" w:hAnsi="宋体" w:cs="宋体"/>
          <w:szCs w:val="21"/>
        </w:rPr>
        <w:t>1.2本项目采购人：</w:t>
      </w:r>
      <w:r>
        <w:rPr>
          <w:rFonts w:hint="eastAsia" w:hAnsi="宋体"/>
          <w:szCs w:val="21"/>
        </w:rPr>
        <w:t>详见《供应商须知前附表》。</w:t>
      </w:r>
    </w:p>
    <w:p>
      <w:pPr>
        <w:spacing w:line="360" w:lineRule="auto"/>
        <w:ind w:firstLine="420" w:firstLineChars="200"/>
        <w:rPr>
          <w:rFonts w:hAnsi="宋体"/>
          <w:szCs w:val="21"/>
        </w:rPr>
      </w:pPr>
      <w:r>
        <w:rPr>
          <w:rFonts w:hint="eastAsia" w:hAnsi="宋体"/>
          <w:szCs w:val="21"/>
        </w:rPr>
        <w:t>1.3</w:t>
      </w:r>
      <w:r>
        <w:rPr>
          <w:rFonts w:hint="eastAsia" w:hAnsi="宋体" w:cs="宋体"/>
          <w:szCs w:val="21"/>
        </w:rPr>
        <w:t>本项目采购代理机构：</w:t>
      </w:r>
      <w:r>
        <w:rPr>
          <w:rFonts w:hint="eastAsia" w:hAnsi="宋体"/>
          <w:szCs w:val="21"/>
        </w:rPr>
        <w:t>详见《供应商须知前附表》。</w:t>
      </w:r>
    </w:p>
    <w:p>
      <w:pPr>
        <w:spacing w:line="360" w:lineRule="auto"/>
        <w:ind w:firstLine="420" w:firstLineChars="200"/>
        <w:rPr>
          <w:rFonts w:hAnsi="宋体"/>
          <w:szCs w:val="21"/>
        </w:rPr>
      </w:pPr>
      <w:r>
        <w:rPr>
          <w:rFonts w:hint="eastAsia" w:hAnsi="宋体"/>
          <w:szCs w:val="21"/>
        </w:rPr>
        <w:t>1.4项目名称及项目编号：详见《供应商须知前附表》。</w:t>
      </w:r>
    </w:p>
    <w:p>
      <w:pPr>
        <w:pStyle w:val="110"/>
        <w:keepLines w:val="0"/>
        <w:widowControl/>
        <w:spacing w:line="360" w:lineRule="auto"/>
        <w:rPr>
          <w:rFonts w:ascii="黑体" w:hAnsi="黑体"/>
          <w:b/>
          <w:bCs/>
        </w:rPr>
      </w:pPr>
      <w:bookmarkStart w:id="56" w:name="_Toc72489528"/>
      <w:bookmarkStart w:id="57" w:name="_Toc46924538"/>
      <w:r>
        <w:rPr>
          <w:rFonts w:hint="eastAsia" w:ascii="黑体" w:hAnsi="黑体"/>
          <w:b/>
          <w:bCs/>
        </w:rPr>
        <w:t>2、资金来源及预算金额</w:t>
      </w:r>
      <w:bookmarkEnd w:id="56"/>
      <w:bookmarkEnd w:id="57"/>
    </w:p>
    <w:p>
      <w:pPr>
        <w:spacing w:line="360" w:lineRule="auto"/>
        <w:ind w:firstLine="420" w:firstLineChars="200"/>
        <w:rPr>
          <w:rFonts w:hAnsi="宋体"/>
          <w:szCs w:val="21"/>
        </w:rPr>
      </w:pPr>
      <w:r>
        <w:rPr>
          <w:rFonts w:hint="eastAsia" w:hAnsi="宋体"/>
          <w:szCs w:val="21"/>
        </w:rPr>
        <w:t>2.1资金来源及预算金额：详见《供应商须知前附表》。</w:t>
      </w:r>
    </w:p>
    <w:p>
      <w:pPr>
        <w:pStyle w:val="110"/>
        <w:keepLines w:val="0"/>
        <w:widowControl/>
        <w:spacing w:line="360" w:lineRule="auto"/>
        <w:rPr>
          <w:rFonts w:ascii="黑体" w:hAnsi="黑体"/>
          <w:b/>
          <w:bCs/>
        </w:rPr>
      </w:pPr>
      <w:bookmarkStart w:id="58" w:name="_Toc72489529"/>
      <w:bookmarkStart w:id="59" w:name="_Toc46924539"/>
      <w:r>
        <w:rPr>
          <w:rFonts w:hint="eastAsia" w:ascii="黑体" w:hAnsi="黑体"/>
          <w:b/>
          <w:bCs/>
        </w:rPr>
        <w:t>3、采购</w:t>
      </w:r>
      <w:r>
        <w:rPr>
          <w:rFonts w:hint="eastAsia" w:ascii="黑体" w:hAnsi="黑体"/>
          <w:b/>
          <w:bCs/>
          <w:lang w:eastAsia="zh-CN"/>
        </w:rPr>
        <w:t>需求</w:t>
      </w:r>
      <w:r>
        <w:rPr>
          <w:rFonts w:hint="eastAsia" w:ascii="黑体" w:hAnsi="黑体"/>
          <w:b/>
          <w:bCs/>
        </w:rPr>
        <w:t>、</w:t>
      </w:r>
      <w:r>
        <w:rPr>
          <w:rFonts w:hint="eastAsia" w:ascii="黑体" w:hAnsi="黑体"/>
          <w:b/>
          <w:bCs/>
          <w:lang w:eastAsia="zh-CN"/>
        </w:rPr>
        <w:t>项目实施地点及合同履行期限</w:t>
      </w:r>
      <w:bookmarkEnd w:id="58"/>
      <w:bookmarkEnd w:id="59"/>
    </w:p>
    <w:p>
      <w:pPr>
        <w:spacing w:line="360" w:lineRule="auto"/>
        <w:ind w:firstLine="420" w:firstLineChars="200"/>
        <w:rPr>
          <w:rFonts w:hAnsi="宋体"/>
          <w:szCs w:val="21"/>
        </w:rPr>
      </w:pPr>
      <w:r>
        <w:rPr>
          <w:rFonts w:hint="eastAsia" w:hAnsi="宋体"/>
          <w:szCs w:val="21"/>
        </w:rPr>
        <w:t>3.1采购需求：详见《供应商须知前附表》。</w:t>
      </w:r>
    </w:p>
    <w:p>
      <w:pPr>
        <w:spacing w:line="360" w:lineRule="auto"/>
        <w:ind w:firstLine="420" w:firstLineChars="200"/>
        <w:rPr>
          <w:rFonts w:hAnsi="宋体"/>
          <w:szCs w:val="21"/>
        </w:rPr>
      </w:pPr>
      <w:r>
        <w:rPr>
          <w:rFonts w:hint="eastAsia" w:hAnsi="宋体"/>
          <w:szCs w:val="21"/>
        </w:rPr>
        <w:t>3.2项目实施地点：详见《供应商须知前附表》。</w:t>
      </w:r>
    </w:p>
    <w:p>
      <w:pPr>
        <w:spacing w:line="360" w:lineRule="auto"/>
        <w:ind w:firstLine="420" w:firstLineChars="200"/>
        <w:rPr>
          <w:rFonts w:hAnsi="宋体"/>
          <w:szCs w:val="21"/>
        </w:rPr>
      </w:pPr>
      <w:r>
        <w:rPr>
          <w:rFonts w:hint="eastAsia" w:hAnsi="宋体"/>
          <w:szCs w:val="21"/>
        </w:rPr>
        <w:t>3.</w:t>
      </w:r>
      <w:r>
        <w:rPr>
          <w:rFonts w:hAnsi="宋体"/>
          <w:szCs w:val="21"/>
        </w:rPr>
        <w:t>3</w:t>
      </w:r>
      <w:r>
        <w:rPr>
          <w:rFonts w:hint="eastAsia" w:hAnsi="宋体"/>
          <w:szCs w:val="21"/>
        </w:rPr>
        <w:t>合同履行期限：详见《供应商须知前附表》。</w:t>
      </w:r>
    </w:p>
    <w:p>
      <w:pPr>
        <w:pStyle w:val="110"/>
        <w:keepLines w:val="0"/>
        <w:widowControl/>
        <w:spacing w:line="360" w:lineRule="auto"/>
        <w:rPr>
          <w:rFonts w:ascii="黑体" w:hAnsi="黑体"/>
          <w:b/>
          <w:bCs/>
        </w:rPr>
      </w:pPr>
      <w:bookmarkStart w:id="60" w:name="_Toc46924540"/>
      <w:bookmarkStart w:id="61" w:name="_Toc72489530"/>
      <w:r>
        <w:rPr>
          <w:rFonts w:hint="eastAsia" w:ascii="黑体" w:hAnsi="黑体"/>
          <w:b/>
          <w:bCs/>
        </w:rPr>
        <w:t>★4、供应商资格要求</w:t>
      </w:r>
      <w:bookmarkEnd w:id="60"/>
      <w:bookmarkEnd w:id="61"/>
    </w:p>
    <w:p>
      <w:pPr>
        <w:spacing w:line="360" w:lineRule="auto"/>
        <w:ind w:firstLine="420" w:firstLineChars="200"/>
        <w:rPr>
          <w:rFonts w:hAnsi="宋体"/>
          <w:szCs w:val="21"/>
        </w:rPr>
      </w:pPr>
      <w:r>
        <w:rPr>
          <w:rFonts w:hint="eastAsia" w:hAnsi="宋体"/>
          <w:szCs w:val="21"/>
        </w:rPr>
        <w:t>4.1供应商资格要求：详见《供应商须知前附表》。</w:t>
      </w:r>
    </w:p>
    <w:p>
      <w:pPr>
        <w:spacing w:line="360" w:lineRule="auto"/>
        <w:ind w:firstLine="420" w:firstLineChars="200"/>
        <w:rPr>
          <w:rFonts w:hAnsi="宋体"/>
          <w:szCs w:val="21"/>
        </w:rPr>
      </w:pPr>
      <w:r>
        <w:rPr>
          <w:rFonts w:hint="eastAsia" w:hAnsi="宋体"/>
          <w:szCs w:val="21"/>
        </w:rPr>
        <w:t>4.</w:t>
      </w:r>
      <w:r>
        <w:rPr>
          <w:rFonts w:hAnsi="宋体"/>
          <w:szCs w:val="21"/>
        </w:rPr>
        <w:t>2</w:t>
      </w:r>
      <w:r>
        <w:rPr>
          <w:rFonts w:hint="eastAsia" w:hAnsi="宋体"/>
          <w:szCs w:val="21"/>
        </w:rPr>
        <w:t>是否接受联合体参加：不接受。</w:t>
      </w:r>
    </w:p>
    <w:p>
      <w:pPr>
        <w:spacing w:line="360" w:lineRule="auto"/>
        <w:ind w:firstLine="420" w:firstLineChars="200"/>
        <w:rPr>
          <w:rFonts w:hAnsi="宋体"/>
          <w:szCs w:val="21"/>
        </w:rPr>
      </w:pPr>
      <w:r>
        <w:rPr>
          <w:rFonts w:hint="eastAsia" w:hAnsi="宋体"/>
          <w:szCs w:val="21"/>
        </w:rPr>
        <w:t>4.</w:t>
      </w:r>
      <w:r>
        <w:rPr>
          <w:rFonts w:hAnsi="宋体"/>
          <w:szCs w:val="21"/>
        </w:rPr>
        <w:t>3</w:t>
      </w:r>
      <w:r>
        <w:rPr>
          <w:rFonts w:hint="eastAsia" w:hAnsi="宋体"/>
          <w:szCs w:val="21"/>
        </w:rPr>
        <w:t>如供应商为满足供应商资格要求提供虚假材料，一经查实，视为未实质性响应竞争性磋商文件，供应商响应文件将按无效响应处理。</w:t>
      </w:r>
    </w:p>
    <w:p>
      <w:pPr>
        <w:spacing w:line="360" w:lineRule="auto"/>
        <w:ind w:firstLine="420" w:firstLineChars="200"/>
        <w:rPr>
          <w:rFonts w:hAnsi="宋体"/>
          <w:szCs w:val="21"/>
        </w:rPr>
      </w:pPr>
      <w:r>
        <w:rPr>
          <w:rFonts w:hint="eastAsia" w:hAnsi="宋体"/>
          <w:szCs w:val="21"/>
        </w:rPr>
        <w:t>4.</w:t>
      </w:r>
      <w:r>
        <w:rPr>
          <w:rFonts w:hAnsi="宋体"/>
          <w:szCs w:val="21"/>
        </w:rPr>
        <w:t>4</w:t>
      </w:r>
      <w:r>
        <w:rPr>
          <w:rFonts w:hint="eastAsia" w:hAnsi="宋体"/>
          <w:szCs w:val="21"/>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pPr>
        <w:spacing w:line="360" w:lineRule="auto"/>
        <w:ind w:firstLine="420" w:firstLineChars="200"/>
        <w:rPr>
          <w:rFonts w:hAnsi="宋体"/>
          <w:szCs w:val="21"/>
        </w:rPr>
      </w:pPr>
      <w:r>
        <w:rPr>
          <w:rFonts w:hint="eastAsia" w:hAnsi="宋体"/>
          <w:szCs w:val="21"/>
        </w:rPr>
        <w:t>4.</w:t>
      </w:r>
      <w:r>
        <w:rPr>
          <w:rFonts w:hAnsi="宋体"/>
          <w:szCs w:val="21"/>
        </w:rPr>
        <w:t>5</w:t>
      </w:r>
      <w:r>
        <w:rPr>
          <w:rFonts w:hint="eastAsia" w:hAnsi="宋体"/>
          <w:szCs w:val="21"/>
        </w:rPr>
        <w:t>供应商不得与采购人、采购代理机构或其附属机构有任何关联。</w:t>
      </w:r>
    </w:p>
    <w:p>
      <w:pPr>
        <w:spacing w:line="360" w:lineRule="auto"/>
        <w:ind w:firstLine="420" w:firstLineChars="200"/>
        <w:rPr>
          <w:rFonts w:hAnsi="宋体"/>
          <w:szCs w:val="21"/>
        </w:rPr>
      </w:pPr>
      <w:r>
        <w:rPr>
          <w:rFonts w:hint="eastAsia" w:hAnsi="宋体"/>
          <w:szCs w:val="21"/>
        </w:rPr>
        <w:t>4.</w:t>
      </w:r>
      <w:r>
        <w:rPr>
          <w:rFonts w:hAnsi="宋体"/>
          <w:szCs w:val="21"/>
        </w:rPr>
        <w:t>6</w:t>
      </w:r>
      <w:r>
        <w:rPr>
          <w:rFonts w:hint="eastAsia" w:hAnsi="宋体"/>
          <w:szCs w:val="21"/>
        </w:rPr>
        <w:t>符合上述条件的供应商应承担履约中应承担的全部责任与义务。</w:t>
      </w:r>
    </w:p>
    <w:p>
      <w:pPr>
        <w:pStyle w:val="110"/>
        <w:keepLines w:val="0"/>
        <w:widowControl/>
        <w:spacing w:line="360" w:lineRule="auto"/>
        <w:rPr>
          <w:rFonts w:ascii="黑体" w:hAnsi="黑体"/>
          <w:b/>
          <w:bCs/>
        </w:rPr>
      </w:pPr>
      <w:bookmarkStart w:id="62" w:name="_Toc46924541"/>
      <w:bookmarkStart w:id="63" w:name="_Toc72489531"/>
      <w:r>
        <w:rPr>
          <w:rFonts w:hint="eastAsia" w:ascii="黑体" w:hAnsi="黑体"/>
          <w:b/>
          <w:bCs/>
        </w:rPr>
        <w:t>5、费用承担</w:t>
      </w:r>
      <w:bookmarkEnd w:id="62"/>
      <w:bookmarkEnd w:id="63"/>
    </w:p>
    <w:p>
      <w:pPr>
        <w:spacing w:line="360" w:lineRule="auto"/>
        <w:ind w:firstLine="420" w:firstLineChars="200"/>
        <w:rPr>
          <w:rFonts w:hAnsi="宋体"/>
          <w:szCs w:val="21"/>
        </w:rPr>
      </w:pPr>
      <w:r>
        <w:rPr>
          <w:rFonts w:hint="eastAsia" w:hAnsi="宋体"/>
          <w:szCs w:val="21"/>
        </w:rPr>
        <w:t>5.1无论是否成交，供应商自行承担所有与参加本次竞争性磋商采购活动所产生的全部费用。</w:t>
      </w:r>
    </w:p>
    <w:p>
      <w:pPr>
        <w:pStyle w:val="110"/>
        <w:keepLines w:val="0"/>
        <w:widowControl/>
        <w:spacing w:line="360" w:lineRule="auto"/>
        <w:rPr>
          <w:rFonts w:ascii="黑体" w:hAnsi="黑体"/>
          <w:b/>
          <w:bCs/>
        </w:rPr>
      </w:pPr>
      <w:bookmarkStart w:id="64" w:name="_Toc46924542"/>
      <w:bookmarkStart w:id="65" w:name="_Toc72489532"/>
      <w:r>
        <w:rPr>
          <w:rFonts w:hint="eastAsia" w:ascii="黑体" w:hAnsi="黑体"/>
          <w:b/>
          <w:bCs/>
        </w:rPr>
        <w:t>6、现场考察</w:t>
      </w:r>
      <w:bookmarkEnd w:id="64"/>
      <w:bookmarkEnd w:id="65"/>
    </w:p>
    <w:p>
      <w:pPr>
        <w:spacing w:line="360" w:lineRule="auto"/>
        <w:ind w:firstLine="420" w:firstLineChars="200"/>
        <w:rPr>
          <w:rFonts w:hAnsi="宋体"/>
          <w:szCs w:val="21"/>
        </w:rPr>
      </w:pPr>
      <w:r>
        <w:rPr>
          <w:rFonts w:hint="eastAsia" w:hAnsi="宋体"/>
          <w:szCs w:val="21"/>
        </w:rPr>
        <w:t>6.1供应商须知前附表规定组织现场考察的，采购人按《供应商须知前附表》规定的时间、集中地点组织进行现场考察。</w:t>
      </w:r>
    </w:p>
    <w:p>
      <w:pPr>
        <w:spacing w:line="360" w:lineRule="auto"/>
        <w:ind w:firstLine="420" w:firstLineChars="200"/>
        <w:rPr>
          <w:rFonts w:hAnsi="宋体"/>
          <w:szCs w:val="21"/>
        </w:rPr>
      </w:pPr>
      <w:r>
        <w:rPr>
          <w:rFonts w:hint="eastAsia" w:hAnsi="宋体"/>
          <w:szCs w:val="21"/>
        </w:rPr>
        <w:t>6.2现场考察所发生的费用由供应商自理。</w:t>
      </w:r>
    </w:p>
    <w:p>
      <w:pPr>
        <w:spacing w:line="360" w:lineRule="auto"/>
        <w:ind w:firstLine="420" w:firstLineChars="200"/>
        <w:rPr>
          <w:rFonts w:hAnsi="宋体"/>
          <w:szCs w:val="21"/>
        </w:rPr>
      </w:pPr>
      <w:r>
        <w:rPr>
          <w:rFonts w:hint="eastAsia" w:hAnsi="宋体"/>
          <w:szCs w:val="21"/>
        </w:rPr>
        <w:t>6.3除采购人的原因外，供应商自行负责在现场考察中所发生的人员伤亡和财产损失。</w:t>
      </w:r>
    </w:p>
    <w:p>
      <w:pPr>
        <w:spacing w:line="360" w:lineRule="auto"/>
        <w:ind w:firstLine="420" w:firstLineChars="200"/>
        <w:rPr>
          <w:rFonts w:hAnsi="宋体"/>
          <w:szCs w:val="21"/>
        </w:rPr>
      </w:pPr>
      <w:r>
        <w:rPr>
          <w:rFonts w:hint="eastAsia" w:hAnsi="宋体"/>
          <w:szCs w:val="21"/>
        </w:rPr>
        <w:t>6.4采购人在现场考察中介绍的项目场地和相关的周边环境情况，仅供供应商在编制响应文件时参考，采购人不对供应商据此作出的判断和决策负责。</w:t>
      </w:r>
    </w:p>
    <w:p>
      <w:pPr>
        <w:pStyle w:val="110"/>
        <w:keepLines w:val="0"/>
        <w:widowControl/>
        <w:spacing w:line="360" w:lineRule="auto"/>
        <w:rPr>
          <w:rFonts w:ascii="黑体" w:hAnsi="黑体"/>
          <w:b/>
          <w:bCs/>
        </w:rPr>
      </w:pPr>
      <w:bookmarkStart w:id="66" w:name="_Toc46924543"/>
      <w:bookmarkStart w:id="67" w:name="_Toc72489533"/>
      <w:r>
        <w:rPr>
          <w:rFonts w:hint="eastAsia" w:ascii="黑体" w:hAnsi="黑体"/>
          <w:b/>
          <w:bCs/>
        </w:rPr>
        <w:t>7、磋商前答疑会</w:t>
      </w:r>
      <w:bookmarkEnd w:id="66"/>
      <w:bookmarkEnd w:id="67"/>
    </w:p>
    <w:p>
      <w:pPr>
        <w:spacing w:line="360" w:lineRule="auto"/>
        <w:ind w:firstLine="420" w:firstLineChars="200"/>
        <w:rPr>
          <w:rFonts w:hAnsi="宋体"/>
          <w:szCs w:val="21"/>
        </w:rPr>
      </w:pPr>
      <w:r>
        <w:rPr>
          <w:rFonts w:hint="eastAsia" w:hAnsi="宋体"/>
          <w:szCs w:val="21"/>
        </w:rPr>
        <w:t>7.1供应商须知前附表规定召开采购前答疑会的，采购人按《供应商须知前附表》规定的时间和地点召开采购前答疑会，书面澄清供应商提出的问题。</w:t>
      </w:r>
    </w:p>
    <w:p>
      <w:pPr>
        <w:pStyle w:val="110"/>
        <w:keepLines w:val="0"/>
        <w:widowControl/>
        <w:spacing w:line="360" w:lineRule="auto"/>
        <w:rPr>
          <w:rFonts w:ascii="黑体" w:hAnsi="黑体"/>
          <w:b/>
          <w:bCs/>
        </w:rPr>
      </w:pPr>
      <w:bookmarkStart w:id="68" w:name="_Toc46924544"/>
      <w:bookmarkStart w:id="69" w:name="_Toc72489534"/>
      <w:r>
        <w:rPr>
          <w:rFonts w:hint="eastAsia" w:ascii="黑体" w:hAnsi="黑体"/>
          <w:b/>
          <w:bCs/>
        </w:rPr>
        <w:t>8、质疑</w:t>
      </w:r>
      <w:bookmarkEnd w:id="68"/>
      <w:bookmarkEnd w:id="69"/>
    </w:p>
    <w:p>
      <w:pPr>
        <w:spacing w:line="348" w:lineRule="auto"/>
        <w:ind w:firstLine="420" w:firstLineChars="200"/>
        <w:rPr>
          <w:rFonts w:hAnsi="宋体"/>
          <w:szCs w:val="21"/>
        </w:rPr>
      </w:pPr>
      <w:r>
        <w:rPr>
          <w:rFonts w:hint="eastAsia" w:hAnsi="宋体"/>
          <w:szCs w:val="21"/>
        </w:rPr>
        <w:t>8.1供应商认为竞争性磋商文件、磋商过程和成交结果使自己的权益受到损害的，可以在知道或者应知其权益受到损害之日起7个工作日内，以书面形式向采购人或采购代理机构提出质疑。质疑内容不得含有虚假、恶意成分，当事人对自己提出的主张，有责任提供证据，提出质疑时应同时提交相关证据材料和注明事实的确切来源。</w:t>
      </w:r>
    </w:p>
    <w:p>
      <w:pPr>
        <w:spacing w:line="360" w:lineRule="auto"/>
        <w:ind w:firstLine="420" w:firstLineChars="200"/>
        <w:rPr>
          <w:rFonts w:hAnsi="宋体"/>
          <w:szCs w:val="21"/>
        </w:rPr>
      </w:pPr>
      <w:r>
        <w:rPr>
          <w:rFonts w:hint="eastAsia" w:hAnsi="宋体"/>
          <w:szCs w:val="21"/>
        </w:rPr>
        <w:t>8.</w:t>
      </w:r>
      <w:r>
        <w:rPr>
          <w:rFonts w:hAnsi="宋体"/>
          <w:szCs w:val="21"/>
        </w:rPr>
        <w:t>2</w:t>
      </w:r>
      <w:r>
        <w:rPr>
          <w:rFonts w:hint="eastAsia" w:hAnsi="宋体"/>
          <w:szCs w:val="21"/>
        </w:rPr>
        <w:t>供应商提供的质疑函应符合中华人民共和国财政部令第94号《政府采购质疑和投诉办法》的规定。供应商在法定质疑期内一次性提出针对同一采购程序环节的质疑。供应商提出质疑应当提交质疑函和必要的证明材料，供应商提供的质疑函（如材料中有外文资料应同时附上中文译本）应当包括以下主要内容：</w:t>
      </w:r>
    </w:p>
    <w:p>
      <w:pPr>
        <w:spacing w:line="360" w:lineRule="auto"/>
        <w:ind w:firstLine="420" w:firstLineChars="200"/>
        <w:rPr>
          <w:rFonts w:hAnsi="宋体"/>
          <w:szCs w:val="21"/>
        </w:rPr>
      </w:pPr>
      <w:r>
        <w:rPr>
          <w:rFonts w:hint="eastAsia" w:hAnsi="宋体"/>
          <w:szCs w:val="21"/>
        </w:rPr>
        <w:t>（1）供应商的姓名或者名称、地址、邮编、联系人及联系电话；</w:t>
      </w:r>
    </w:p>
    <w:p>
      <w:pPr>
        <w:spacing w:line="360" w:lineRule="auto"/>
        <w:ind w:firstLine="420" w:firstLineChars="200"/>
        <w:rPr>
          <w:rFonts w:hAnsi="宋体"/>
          <w:szCs w:val="21"/>
        </w:rPr>
      </w:pPr>
      <w:r>
        <w:rPr>
          <w:rFonts w:hint="eastAsia" w:hAnsi="宋体"/>
          <w:szCs w:val="21"/>
        </w:rPr>
        <w:t>（2）质疑项目的名称、编号；</w:t>
      </w:r>
    </w:p>
    <w:p>
      <w:pPr>
        <w:spacing w:line="360" w:lineRule="auto"/>
        <w:ind w:firstLine="420" w:firstLineChars="200"/>
        <w:rPr>
          <w:rFonts w:hAnsi="宋体"/>
          <w:szCs w:val="21"/>
        </w:rPr>
      </w:pPr>
      <w:r>
        <w:rPr>
          <w:rFonts w:hint="eastAsia" w:hAnsi="宋体"/>
          <w:szCs w:val="21"/>
        </w:rPr>
        <w:t>（3）具体、明确的质疑事项和与质疑事项相关的请求；</w:t>
      </w:r>
    </w:p>
    <w:p>
      <w:pPr>
        <w:spacing w:line="360" w:lineRule="auto"/>
        <w:ind w:firstLine="420" w:firstLineChars="200"/>
        <w:rPr>
          <w:rFonts w:hAnsi="宋体"/>
          <w:szCs w:val="21"/>
        </w:rPr>
      </w:pPr>
      <w:r>
        <w:rPr>
          <w:rFonts w:hint="eastAsia" w:hAnsi="宋体"/>
          <w:szCs w:val="21"/>
        </w:rPr>
        <w:t>（4）事实依据；</w:t>
      </w:r>
    </w:p>
    <w:p>
      <w:pPr>
        <w:spacing w:line="360" w:lineRule="auto"/>
        <w:ind w:firstLine="420" w:firstLineChars="200"/>
        <w:rPr>
          <w:rFonts w:hAnsi="宋体"/>
          <w:szCs w:val="21"/>
        </w:rPr>
      </w:pPr>
      <w:r>
        <w:rPr>
          <w:rFonts w:hint="eastAsia" w:hAnsi="宋体"/>
          <w:szCs w:val="21"/>
        </w:rPr>
        <w:t>（5）必要的法律依据；</w:t>
      </w:r>
    </w:p>
    <w:p>
      <w:pPr>
        <w:spacing w:line="360" w:lineRule="auto"/>
        <w:ind w:firstLine="420" w:firstLineChars="200"/>
        <w:rPr>
          <w:rFonts w:hAnsi="宋体"/>
          <w:szCs w:val="21"/>
        </w:rPr>
      </w:pPr>
      <w:r>
        <w:rPr>
          <w:rFonts w:hint="eastAsia" w:hAnsi="宋体"/>
          <w:szCs w:val="21"/>
        </w:rPr>
        <w:t>（6）提出质疑的日期。</w:t>
      </w:r>
    </w:p>
    <w:p>
      <w:pPr>
        <w:spacing w:line="360" w:lineRule="auto"/>
        <w:ind w:firstLine="420" w:firstLineChars="200"/>
        <w:rPr>
          <w:rFonts w:hAnsi="宋体"/>
          <w:szCs w:val="21"/>
        </w:rPr>
      </w:pPr>
      <w:r>
        <w:rPr>
          <w:rFonts w:hint="eastAsia" w:hAnsi="宋体"/>
          <w:szCs w:val="21"/>
        </w:rPr>
        <w:t>供应商为自然人的，应当由本人签字；供应商为法人或者其他组织的，应当由法定代表人、主要负责人，或者其授权代表签字或者盖章，并加盖公章。质疑函须提供签字、加盖公章的原件。</w:t>
      </w:r>
    </w:p>
    <w:p>
      <w:pPr>
        <w:spacing w:line="360" w:lineRule="auto"/>
        <w:ind w:firstLine="420" w:firstLineChars="200"/>
        <w:rPr>
          <w:rFonts w:hAnsi="宋体"/>
          <w:szCs w:val="21"/>
        </w:rPr>
      </w:pPr>
      <w:r>
        <w:rPr>
          <w:rFonts w:hint="eastAsia" w:hAnsi="宋体"/>
          <w:szCs w:val="21"/>
        </w:rPr>
        <w:t>8.</w:t>
      </w:r>
      <w:r>
        <w:rPr>
          <w:rFonts w:hAnsi="宋体"/>
          <w:szCs w:val="21"/>
        </w:rPr>
        <w:t>3</w:t>
      </w:r>
      <w:r>
        <w:rPr>
          <w:rFonts w:hint="eastAsia" w:hAnsi="宋体"/>
          <w:szCs w:val="21"/>
        </w:rPr>
        <w:t>采购人、采购代理机构将在收到供应商的书面质疑函后七个工作日内作出答复，但答复的内容不涉及商业秘密。</w:t>
      </w:r>
    </w:p>
    <w:p>
      <w:pPr>
        <w:spacing w:line="360" w:lineRule="auto"/>
        <w:ind w:firstLine="420" w:firstLineChars="200"/>
        <w:rPr>
          <w:rFonts w:hAnsi="宋体"/>
          <w:szCs w:val="21"/>
        </w:rPr>
      </w:pPr>
      <w:r>
        <w:rPr>
          <w:rFonts w:hint="eastAsia" w:hAnsi="宋体"/>
          <w:szCs w:val="21"/>
        </w:rPr>
        <w:t>8.</w:t>
      </w:r>
      <w:r>
        <w:rPr>
          <w:rFonts w:hAnsi="宋体"/>
          <w:szCs w:val="21"/>
        </w:rPr>
        <w:t>4</w:t>
      </w:r>
      <w:r>
        <w:rPr>
          <w:rFonts w:hint="eastAsia" w:hAnsi="宋体"/>
          <w:szCs w:val="21"/>
        </w:rPr>
        <w:t>参与政府采购活动的供应商对评审（磋商）过程或者成交结果提出质疑的，采购人、采购代理机构可以组织原磋商小组协助答复质疑事项，并依据磋商小组出具的意见进行答复。质疑答复导致成交结果改变的，采购人或采购代理机构应当将相关情况报财政部门备案。</w:t>
      </w:r>
    </w:p>
    <w:p>
      <w:pPr>
        <w:pStyle w:val="110"/>
        <w:keepLines w:val="0"/>
        <w:widowControl/>
        <w:spacing w:line="360" w:lineRule="auto"/>
        <w:rPr>
          <w:rFonts w:ascii="黑体" w:hAnsi="黑体"/>
          <w:b/>
          <w:bCs/>
        </w:rPr>
      </w:pPr>
      <w:bookmarkStart w:id="70" w:name="_Toc46924545"/>
      <w:bookmarkStart w:id="71" w:name="_Toc72489535"/>
      <w:r>
        <w:rPr>
          <w:rFonts w:hint="eastAsia" w:ascii="黑体" w:hAnsi="黑体"/>
          <w:b/>
          <w:bCs/>
        </w:rPr>
        <w:t>9、投诉</w:t>
      </w:r>
      <w:bookmarkEnd w:id="70"/>
      <w:bookmarkEnd w:id="71"/>
    </w:p>
    <w:p>
      <w:pPr>
        <w:spacing w:line="360" w:lineRule="auto"/>
        <w:ind w:firstLine="420" w:firstLineChars="200"/>
        <w:rPr>
          <w:rFonts w:hAnsi="宋体"/>
          <w:szCs w:val="21"/>
        </w:rPr>
      </w:pPr>
      <w:r>
        <w:rPr>
          <w:rFonts w:hint="eastAsia" w:hAnsi="宋体"/>
          <w:szCs w:val="21"/>
        </w:rPr>
        <w:t>9.1投诉必须首先经过质疑程序。质疑供应商对采购人、采购代理机构的答复不满意，或者采购人、采购代理机构未在规定的时间内做出答复的，可以在答复期满后十五个工作日内书面向同级财政部门提出投诉。供应商提供的投诉书和必要的证明材料应符合中华人民共和国财政部令第94号《政府采购质疑和投诉办法》的规定。</w:t>
      </w:r>
    </w:p>
    <w:p>
      <w:pPr>
        <w:pStyle w:val="4"/>
        <w:keepLines w:val="0"/>
        <w:spacing w:before="240" w:after="240" w:line="360" w:lineRule="auto"/>
        <w:jc w:val="center"/>
        <w:rPr>
          <w:rFonts w:hint="default" w:hAnsi="黑体"/>
          <w:b/>
          <w:kern w:val="0"/>
          <w:szCs w:val="32"/>
        </w:rPr>
      </w:pPr>
      <w:bookmarkStart w:id="72" w:name="_Toc72489536"/>
      <w:bookmarkStart w:id="73" w:name="_Toc329810192"/>
      <w:bookmarkStart w:id="74" w:name="_Toc383175058"/>
      <w:bookmarkStart w:id="75" w:name="_Toc383175282"/>
      <w:bookmarkStart w:id="76" w:name="_Toc383175480"/>
      <w:bookmarkStart w:id="77" w:name="_Toc432106481"/>
      <w:bookmarkStart w:id="78" w:name="_Toc432194832"/>
      <w:bookmarkStart w:id="79" w:name="_Toc470507046"/>
      <w:bookmarkStart w:id="80" w:name="_Toc482343732"/>
      <w:r>
        <w:rPr>
          <w:rFonts w:hAnsi="黑体"/>
          <w:b/>
          <w:kern w:val="0"/>
          <w:szCs w:val="32"/>
        </w:rPr>
        <w:t>二、磋商文件</w:t>
      </w:r>
      <w:bookmarkEnd w:id="72"/>
    </w:p>
    <w:p>
      <w:pPr>
        <w:pStyle w:val="110"/>
        <w:keepLines w:val="0"/>
        <w:widowControl/>
        <w:spacing w:line="360" w:lineRule="auto"/>
        <w:rPr>
          <w:rFonts w:ascii="黑体" w:hAnsi="黑体"/>
          <w:b/>
          <w:bCs/>
        </w:rPr>
      </w:pPr>
      <w:bookmarkStart w:id="81" w:name="_Toc46924547"/>
      <w:bookmarkStart w:id="82" w:name="_Toc72489537"/>
      <w:r>
        <w:rPr>
          <w:rFonts w:hint="eastAsia" w:ascii="黑体" w:hAnsi="黑体"/>
          <w:b/>
          <w:bCs/>
        </w:rPr>
        <w:t>10、磋商文件的组成</w:t>
      </w:r>
      <w:bookmarkEnd w:id="73"/>
      <w:bookmarkEnd w:id="74"/>
      <w:bookmarkEnd w:id="75"/>
      <w:bookmarkEnd w:id="76"/>
      <w:bookmarkEnd w:id="77"/>
      <w:bookmarkEnd w:id="78"/>
      <w:bookmarkEnd w:id="79"/>
      <w:bookmarkEnd w:id="80"/>
      <w:bookmarkEnd w:id="81"/>
      <w:bookmarkEnd w:id="82"/>
    </w:p>
    <w:p>
      <w:pPr>
        <w:spacing w:line="336" w:lineRule="auto"/>
        <w:ind w:firstLine="420" w:firstLineChars="200"/>
        <w:rPr>
          <w:rFonts w:hAnsi="宋体"/>
          <w:szCs w:val="21"/>
        </w:rPr>
      </w:pPr>
      <w:r>
        <w:rPr>
          <w:rFonts w:hint="eastAsia" w:hAnsi="宋体"/>
          <w:szCs w:val="21"/>
        </w:rPr>
        <w:t>采购人要求提供的货物、工程或者服务、采购过程及合同条款在竞争性磋商文件中均有说明，竞争性磋商文件共六章，各章的内容如下：</w:t>
      </w:r>
    </w:p>
    <w:p>
      <w:pPr>
        <w:spacing w:line="336" w:lineRule="auto"/>
        <w:ind w:firstLine="420" w:firstLineChars="200"/>
        <w:rPr>
          <w:rFonts w:hAnsi="宋体"/>
          <w:szCs w:val="21"/>
        </w:rPr>
      </w:pPr>
      <w:r>
        <w:rPr>
          <w:rFonts w:hint="eastAsia" w:hAnsi="宋体"/>
          <w:szCs w:val="21"/>
        </w:rPr>
        <w:t>第一章  竞争性磋商公告</w:t>
      </w:r>
    </w:p>
    <w:p>
      <w:pPr>
        <w:spacing w:line="336" w:lineRule="auto"/>
        <w:ind w:firstLine="420" w:firstLineChars="200"/>
        <w:rPr>
          <w:rFonts w:hAnsi="宋体"/>
          <w:szCs w:val="21"/>
        </w:rPr>
      </w:pPr>
      <w:r>
        <w:rPr>
          <w:rFonts w:hint="eastAsia" w:hAnsi="宋体"/>
          <w:szCs w:val="21"/>
        </w:rPr>
        <w:t>第二章  供应商须知</w:t>
      </w:r>
    </w:p>
    <w:p>
      <w:pPr>
        <w:spacing w:line="336" w:lineRule="auto"/>
        <w:ind w:firstLine="420" w:firstLineChars="200"/>
        <w:rPr>
          <w:rFonts w:hAnsi="宋体"/>
          <w:szCs w:val="21"/>
        </w:rPr>
      </w:pPr>
      <w:r>
        <w:rPr>
          <w:rFonts w:hint="eastAsia" w:hAnsi="宋体"/>
          <w:szCs w:val="21"/>
        </w:rPr>
        <w:t>第三章  合同书样式及主要条款</w:t>
      </w:r>
    </w:p>
    <w:p>
      <w:pPr>
        <w:spacing w:line="336" w:lineRule="auto"/>
        <w:ind w:firstLine="420" w:firstLineChars="200"/>
        <w:rPr>
          <w:rFonts w:hAnsi="宋体"/>
          <w:szCs w:val="21"/>
        </w:rPr>
      </w:pPr>
      <w:r>
        <w:rPr>
          <w:rFonts w:hint="eastAsia" w:hAnsi="宋体"/>
          <w:szCs w:val="21"/>
        </w:rPr>
        <w:t>第四章  响应文件格式</w:t>
      </w:r>
    </w:p>
    <w:p>
      <w:pPr>
        <w:spacing w:line="336" w:lineRule="auto"/>
        <w:ind w:firstLine="420" w:firstLineChars="200"/>
        <w:rPr>
          <w:rFonts w:hAnsi="宋体"/>
          <w:szCs w:val="21"/>
        </w:rPr>
      </w:pPr>
      <w:r>
        <w:rPr>
          <w:rFonts w:hint="eastAsia" w:hAnsi="宋体"/>
          <w:szCs w:val="21"/>
        </w:rPr>
        <w:t>第五章  采购需求</w:t>
      </w:r>
    </w:p>
    <w:p>
      <w:pPr>
        <w:spacing w:line="336" w:lineRule="auto"/>
        <w:ind w:firstLine="420" w:firstLineChars="200"/>
        <w:rPr>
          <w:rFonts w:hAnsi="宋体"/>
          <w:szCs w:val="21"/>
        </w:rPr>
      </w:pPr>
      <w:r>
        <w:rPr>
          <w:rFonts w:hint="eastAsia" w:hAnsi="宋体"/>
          <w:szCs w:val="21"/>
        </w:rPr>
        <w:t>第六章  评审方法</w:t>
      </w:r>
    </w:p>
    <w:p>
      <w:pPr>
        <w:pStyle w:val="110"/>
        <w:keepLines w:val="0"/>
        <w:widowControl/>
        <w:spacing w:line="360" w:lineRule="auto"/>
        <w:rPr>
          <w:rFonts w:hAnsi="宋体"/>
          <w:b/>
          <w:bCs/>
        </w:rPr>
      </w:pPr>
      <w:bookmarkStart w:id="83" w:name="_Toc46924548"/>
      <w:bookmarkStart w:id="84" w:name="_Toc72489538"/>
      <w:r>
        <w:rPr>
          <w:rFonts w:hint="eastAsia" w:ascii="黑体" w:hAnsi="黑体"/>
          <w:b/>
          <w:bCs/>
        </w:rPr>
        <w:t>11、竞争性磋商文件的询问、澄清、修改</w:t>
      </w:r>
      <w:bookmarkEnd w:id="83"/>
      <w:bookmarkEnd w:id="84"/>
      <w:r>
        <w:rPr>
          <w:rFonts w:ascii="黑体" w:hAnsi="黑体"/>
          <w:b/>
          <w:bCs/>
        </w:rPr>
        <w:tab/>
      </w:r>
    </w:p>
    <w:p>
      <w:pPr>
        <w:spacing w:line="348" w:lineRule="auto"/>
        <w:ind w:firstLine="420" w:firstLineChars="200"/>
        <w:rPr>
          <w:rFonts w:hAnsi="宋体"/>
          <w:szCs w:val="21"/>
        </w:rPr>
      </w:pPr>
      <w:r>
        <w:rPr>
          <w:rFonts w:hint="eastAsia" w:hAnsi="宋体"/>
          <w:szCs w:val="21"/>
        </w:rPr>
        <w:t>11.1竞争性磋商文件的询问时间：供应商应认真阅读竞争性磋商文件，如有疑问的，供应商可以向采购人或采购代理机构提出询问，采购人或者采购代理机构在接到询问后的3个工作日内对供应商依法提出的询问作出答复，但答复的内容不涉及商业秘密。</w:t>
      </w:r>
    </w:p>
    <w:p>
      <w:pPr>
        <w:spacing w:line="348" w:lineRule="auto"/>
        <w:ind w:firstLine="420" w:firstLineChars="200"/>
        <w:rPr>
          <w:rFonts w:hAnsi="宋体"/>
          <w:szCs w:val="21"/>
        </w:rPr>
      </w:pPr>
      <w:r>
        <w:rPr>
          <w:rFonts w:hint="eastAsia" w:hAnsi="宋体"/>
          <w:szCs w:val="21"/>
        </w:rPr>
        <w:t>11.2竞争性磋商文件询问联系方式：详见《供应商须知前附表》。</w:t>
      </w:r>
    </w:p>
    <w:p>
      <w:pPr>
        <w:spacing w:line="348" w:lineRule="auto"/>
        <w:ind w:firstLine="420" w:firstLineChars="200"/>
        <w:rPr>
          <w:rFonts w:hAnsi="宋体"/>
          <w:szCs w:val="21"/>
        </w:rPr>
      </w:pPr>
      <w:r>
        <w:rPr>
          <w:rFonts w:hint="eastAsia" w:hAnsi="宋体"/>
          <w:szCs w:val="21"/>
        </w:rPr>
        <w:t>11.3提交首次响应文件截止之日前，采购人、采购代理机构或者磋商小组可以对已发出的磋商文件进行必要的澄清或者修改，澄清或者修改的内容作为磋商文件的组成部分。</w:t>
      </w:r>
    </w:p>
    <w:p>
      <w:pPr>
        <w:spacing w:line="348" w:lineRule="auto"/>
        <w:ind w:firstLine="420" w:firstLineChars="200"/>
        <w:rPr>
          <w:rFonts w:hAnsi="宋体"/>
          <w:szCs w:val="21"/>
        </w:rPr>
      </w:pPr>
      <w:r>
        <w:rPr>
          <w:rFonts w:hint="eastAsia" w:hAnsi="宋体"/>
          <w:szCs w:val="21"/>
        </w:rPr>
        <w:t>11.4竞争性磋商文件澄清、修改时间：澄清或者修改的内容可能影响响应文件编制的，采购人、采购代理机构将在提交首次响应文件截止时间至少5日前，以书面形式通知所有获取磋商文件的供应商；不足5日的，采购人、采购代理机构将顺延提交首次响应文件截止时间。</w:t>
      </w:r>
    </w:p>
    <w:p>
      <w:pPr>
        <w:spacing w:line="348" w:lineRule="auto"/>
        <w:ind w:firstLine="420" w:firstLineChars="200"/>
        <w:rPr>
          <w:rFonts w:hAnsi="宋体"/>
          <w:szCs w:val="21"/>
        </w:rPr>
      </w:pPr>
      <w:r>
        <w:rPr>
          <w:rFonts w:hint="eastAsia" w:hAnsi="宋体"/>
          <w:szCs w:val="21"/>
        </w:rPr>
        <w:t>11.5供应商确认收到竞争性磋商文件澄清、修改时间：供应商确认收到竞争性磋商文件澄清、修改后，应在收到澄清、修改后24小时内以书面形式通知采购人或采购代理机构，确认已收到该澄清、修改。</w:t>
      </w:r>
    </w:p>
    <w:p>
      <w:pPr>
        <w:spacing w:line="348" w:lineRule="auto"/>
        <w:ind w:firstLine="420" w:firstLineChars="200"/>
        <w:rPr>
          <w:rFonts w:hAnsi="宋体"/>
          <w:szCs w:val="21"/>
        </w:rPr>
      </w:pPr>
      <w:r>
        <w:rPr>
          <w:rFonts w:hint="eastAsia" w:hAnsi="宋体"/>
          <w:szCs w:val="21"/>
        </w:rPr>
        <w:t>11.6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w:t>
      </w:r>
    </w:p>
    <w:p>
      <w:pPr>
        <w:spacing w:line="348" w:lineRule="auto"/>
        <w:ind w:firstLine="420" w:firstLineChars="200"/>
        <w:rPr>
          <w:rFonts w:hAnsi="宋体"/>
          <w:szCs w:val="21"/>
        </w:rPr>
      </w:pPr>
      <w:r>
        <w:rPr>
          <w:rFonts w:hint="eastAsia" w:hAnsi="宋体"/>
          <w:szCs w:val="21"/>
        </w:rPr>
        <w:t>11.7实质性变动采购需求中的技术、服务要求以及合同草案条款不得对涉及对竞争性磋商文件公平、公正性内容进行修改、变动。</w:t>
      </w:r>
    </w:p>
    <w:p>
      <w:pPr>
        <w:pStyle w:val="4"/>
        <w:keepLines w:val="0"/>
        <w:spacing w:before="240" w:after="240" w:line="360" w:lineRule="auto"/>
        <w:jc w:val="center"/>
        <w:rPr>
          <w:rFonts w:hint="default" w:hAnsi="黑体"/>
          <w:b/>
          <w:kern w:val="0"/>
          <w:szCs w:val="32"/>
        </w:rPr>
      </w:pPr>
      <w:bookmarkStart w:id="85" w:name="_Toc72489539"/>
      <w:r>
        <w:rPr>
          <w:rFonts w:hAnsi="黑体"/>
          <w:b/>
          <w:kern w:val="0"/>
          <w:szCs w:val="32"/>
        </w:rPr>
        <w:t>三、响应文件</w:t>
      </w:r>
      <w:bookmarkEnd w:id="85"/>
    </w:p>
    <w:p>
      <w:pPr>
        <w:pStyle w:val="110"/>
        <w:keepLines w:val="0"/>
        <w:widowControl/>
        <w:spacing w:line="360" w:lineRule="auto"/>
        <w:rPr>
          <w:rFonts w:ascii="黑体" w:hAnsi="黑体"/>
          <w:b/>
          <w:bCs/>
        </w:rPr>
      </w:pPr>
      <w:bookmarkStart w:id="86" w:name="_Toc46924550"/>
      <w:bookmarkStart w:id="87" w:name="_Toc72489540"/>
      <w:r>
        <w:rPr>
          <w:rFonts w:hint="eastAsia" w:ascii="黑体" w:hAnsi="黑体"/>
          <w:b/>
          <w:bCs/>
        </w:rPr>
        <w:t>12、</w:t>
      </w:r>
      <w:bookmarkStart w:id="88" w:name="_Toc86124052"/>
      <w:bookmarkStart w:id="89" w:name="_Toc329810195"/>
      <w:bookmarkStart w:id="90" w:name="_Toc383175061"/>
      <w:bookmarkStart w:id="91" w:name="_Toc383175285"/>
      <w:bookmarkStart w:id="92" w:name="_Toc383175483"/>
      <w:bookmarkStart w:id="93" w:name="_Toc432106484"/>
      <w:bookmarkStart w:id="94" w:name="_Toc432194835"/>
      <w:bookmarkStart w:id="95" w:name="_Toc470507049"/>
      <w:bookmarkStart w:id="96" w:name="_Toc482343735"/>
      <w:r>
        <w:rPr>
          <w:rFonts w:hint="eastAsia" w:ascii="黑体" w:hAnsi="黑体"/>
          <w:b/>
          <w:bCs/>
        </w:rPr>
        <w:t>响应文件编写注意事项</w:t>
      </w:r>
      <w:bookmarkEnd w:id="86"/>
      <w:bookmarkEnd w:id="87"/>
      <w:bookmarkEnd w:id="88"/>
      <w:bookmarkEnd w:id="89"/>
      <w:bookmarkEnd w:id="90"/>
      <w:bookmarkEnd w:id="91"/>
      <w:bookmarkEnd w:id="92"/>
      <w:bookmarkEnd w:id="93"/>
      <w:bookmarkEnd w:id="94"/>
      <w:bookmarkEnd w:id="95"/>
      <w:bookmarkEnd w:id="96"/>
    </w:p>
    <w:p>
      <w:pPr>
        <w:spacing w:line="360" w:lineRule="auto"/>
        <w:ind w:firstLine="420" w:firstLineChars="200"/>
        <w:rPr>
          <w:rFonts w:hAnsi="宋体"/>
          <w:szCs w:val="21"/>
        </w:rPr>
      </w:pPr>
      <w:r>
        <w:rPr>
          <w:rFonts w:hint="eastAsia" w:hAnsi="宋体"/>
          <w:szCs w:val="21"/>
        </w:rPr>
        <w:t>12</w:t>
      </w:r>
      <w:r>
        <w:rPr>
          <w:rFonts w:hAnsi="宋体"/>
          <w:szCs w:val="21"/>
        </w:rPr>
        <w:t>.1</w:t>
      </w:r>
      <w:r>
        <w:rPr>
          <w:rFonts w:hint="eastAsia" w:hAnsi="宋体"/>
          <w:szCs w:val="21"/>
        </w:rPr>
        <w:t>供应商应仔细阅读竞争性磋商文件，在完全了解采购的内容、技术性能要求（见第五章《采购需求》）和商务条件后，根据竞争性磋商文件要求编写响应文件。</w:t>
      </w:r>
    </w:p>
    <w:p>
      <w:pPr>
        <w:spacing w:line="360" w:lineRule="auto"/>
        <w:ind w:firstLine="420" w:firstLineChars="200"/>
        <w:rPr>
          <w:rFonts w:hAnsi="宋体"/>
          <w:szCs w:val="21"/>
        </w:rPr>
      </w:pPr>
      <w:r>
        <w:rPr>
          <w:rFonts w:hint="eastAsia" w:hAnsi="宋体"/>
          <w:szCs w:val="21"/>
        </w:rPr>
        <w:t>12</w:t>
      </w:r>
      <w:r>
        <w:rPr>
          <w:rFonts w:hAnsi="宋体"/>
          <w:szCs w:val="21"/>
        </w:rPr>
        <w:t>.2</w:t>
      </w:r>
      <w:r>
        <w:rPr>
          <w:rFonts w:hint="eastAsia" w:hAnsi="宋体"/>
          <w:szCs w:val="21"/>
        </w:rPr>
        <w:t>对磋商文件提出的实质性要求和条件作出响应是指供应商的响应文件必须对竞争性磋商文件中规定的实质性要求和条件作出满足或者优于原要求和条件的承诺，并提供相应的证明材料，否则按无效响应处理。</w:t>
      </w:r>
    </w:p>
    <w:p>
      <w:pPr>
        <w:pStyle w:val="110"/>
        <w:keepLines w:val="0"/>
        <w:widowControl/>
        <w:spacing w:line="360" w:lineRule="auto"/>
        <w:rPr>
          <w:rFonts w:ascii="黑体" w:hAnsi="黑体"/>
          <w:b/>
          <w:bCs/>
        </w:rPr>
      </w:pPr>
      <w:bookmarkStart w:id="97" w:name="_Toc46924551"/>
      <w:bookmarkStart w:id="98" w:name="_Toc72489541"/>
      <w:r>
        <w:rPr>
          <w:rFonts w:hint="eastAsia" w:ascii="黑体" w:hAnsi="黑体"/>
          <w:b/>
          <w:bCs/>
        </w:rPr>
        <w:t>13、语言文字</w:t>
      </w:r>
      <w:bookmarkEnd w:id="97"/>
      <w:bookmarkEnd w:id="98"/>
    </w:p>
    <w:p>
      <w:pPr>
        <w:spacing w:line="360" w:lineRule="auto"/>
        <w:ind w:firstLine="420" w:firstLineChars="200"/>
        <w:rPr>
          <w:rFonts w:hAnsi="宋体"/>
          <w:szCs w:val="21"/>
        </w:rPr>
      </w:pPr>
      <w:r>
        <w:rPr>
          <w:rFonts w:hint="eastAsia" w:hAnsi="宋体"/>
          <w:szCs w:val="21"/>
        </w:rPr>
        <w:t>13.1供应商的响应文件以及供应商与采购人、采购代理机构、磋商小组就有关磋商的所有来往函电统一使用中文（特别规定除外）。</w:t>
      </w:r>
    </w:p>
    <w:p>
      <w:pPr>
        <w:pStyle w:val="110"/>
        <w:keepLines w:val="0"/>
        <w:widowControl/>
        <w:spacing w:line="360" w:lineRule="auto"/>
        <w:rPr>
          <w:rFonts w:ascii="黑体" w:hAnsi="黑体"/>
          <w:b/>
          <w:bCs/>
        </w:rPr>
      </w:pPr>
      <w:bookmarkStart w:id="99" w:name="_Toc46924552"/>
      <w:bookmarkStart w:id="100" w:name="_Toc72489542"/>
      <w:r>
        <w:rPr>
          <w:rFonts w:hint="eastAsia" w:ascii="黑体" w:hAnsi="黑体"/>
          <w:b/>
          <w:bCs/>
        </w:rPr>
        <w:t>14、计量单位</w:t>
      </w:r>
      <w:bookmarkEnd w:id="99"/>
      <w:bookmarkEnd w:id="100"/>
    </w:p>
    <w:p>
      <w:pPr>
        <w:spacing w:line="360" w:lineRule="auto"/>
        <w:ind w:firstLine="420" w:firstLineChars="200"/>
        <w:rPr>
          <w:rFonts w:hAnsi="宋体"/>
          <w:szCs w:val="21"/>
        </w:rPr>
      </w:pPr>
      <w:r>
        <w:rPr>
          <w:rFonts w:hint="eastAsia" w:hAnsi="宋体"/>
          <w:szCs w:val="21"/>
        </w:rPr>
        <w:t>14.1响应文件中使用的计量单位除磋商文件中有特殊规定外，一律使用中华人民共和国法定计量单位。</w:t>
      </w:r>
    </w:p>
    <w:p>
      <w:pPr>
        <w:pStyle w:val="110"/>
        <w:keepLines w:val="0"/>
        <w:widowControl/>
        <w:spacing w:line="360" w:lineRule="auto"/>
        <w:rPr>
          <w:rFonts w:ascii="黑体" w:hAnsi="黑体"/>
          <w:b/>
          <w:bCs/>
        </w:rPr>
      </w:pPr>
      <w:bookmarkStart w:id="101" w:name="_Toc46924553"/>
      <w:bookmarkStart w:id="102" w:name="_Toc72489543"/>
      <w:r>
        <w:rPr>
          <w:rFonts w:hint="eastAsia" w:ascii="黑体" w:hAnsi="黑体"/>
          <w:b/>
          <w:bCs/>
        </w:rPr>
        <w:t>15、响应文件的组成</w:t>
      </w:r>
      <w:bookmarkEnd w:id="101"/>
      <w:bookmarkEnd w:id="102"/>
    </w:p>
    <w:p>
      <w:pPr>
        <w:spacing w:line="360" w:lineRule="auto"/>
        <w:ind w:firstLine="420" w:firstLineChars="200"/>
        <w:rPr>
          <w:rFonts w:hAnsi="宋体"/>
          <w:szCs w:val="21"/>
        </w:rPr>
      </w:pPr>
      <w:r>
        <w:rPr>
          <w:rFonts w:hint="eastAsia" w:hAnsi="宋体"/>
          <w:szCs w:val="21"/>
        </w:rPr>
        <w:t>15.1供应商编写的响应文件应按第四章《响应文件格式》要求填写。有关文件的提交如未特别注明需提供原件的，可提供复印件。</w:t>
      </w:r>
    </w:p>
    <w:p>
      <w:pPr>
        <w:spacing w:line="360" w:lineRule="auto"/>
        <w:ind w:firstLine="420" w:firstLineChars="200"/>
        <w:rPr>
          <w:rFonts w:hAnsi="宋体"/>
          <w:szCs w:val="21"/>
        </w:rPr>
      </w:pPr>
      <w:r>
        <w:rPr>
          <w:rFonts w:hint="eastAsia" w:hAnsi="宋体"/>
          <w:szCs w:val="21"/>
        </w:rPr>
        <w:t>15.2本项目若分包（标段）时，供应商同时参与多个包（标段）采购的，响应文件应按包（标段）分别编制，单独成册。</w:t>
      </w:r>
    </w:p>
    <w:p>
      <w:pPr>
        <w:pStyle w:val="110"/>
        <w:keepLines w:val="0"/>
        <w:widowControl/>
        <w:spacing w:line="360" w:lineRule="auto"/>
        <w:rPr>
          <w:rFonts w:ascii="黑体" w:hAnsi="黑体"/>
          <w:b/>
          <w:bCs/>
        </w:rPr>
      </w:pPr>
      <w:bookmarkStart w:id="103" w:name="_Toc46924554"/>
      <w:bookmarkStart w:id="104" w:name="_Toc72489544"/>
      <w:r>
        <w:rPr>
          <w:rFonts w:hint="eastAsia" w:ascii="黑体" w:hAnsi="黑体"/>
          <w:b/>
          <w:bCs/>
        </w:rPr>
        <w:t>★16、响应文件的格式要求</w:t>
      </w:r>
      <w:bookmarkEnd w:id="103"/>
      <w:bookmarkEnd w:id="104"/>
    </w:p>
    <w:p>
      <w:pPr>
        <w:spacing w:line="360" w:lineRule="auto"/>
        <w:ind w:firstLine="420" w:firstLineChars="200"/>
        <w:rPr>
          <w:rFonts w:hAnsi="宋体"/>
          <w:szCs w:val="21"/>
        </w:rPr>
      </w:pPr>
      <w:r>
        <w:rPr>
          <w:rFonts w:hint="eastAsia" w:hAnsi="宋体"/>
          <w:szCs w:val="21"/>
        </w:rPr>
        <w:t>16.1供应商应按第四章《响应文件格式》提供的格式完整地填写，未按竞争性磋商文件规定格式填写的响应文件按无效响应处理。</w:t>
      </w:r>
    </w:p>
    <w:p>
      <w:pPr>
        <w:pStyle w:val="110"/>
        <w:keepLines w:val="0"/>
        <w:widowControl/>
        <w:spacing w:line="360" w:lineRule="auto"/>
        <w:rPr>
          <w:rFonts w:ascii="黑体" w:hAnsi="黑体"/>
          <w:b/>
          <w:bCs/>
        </w:rPr>
      </w:pPr>
      <w:bookmarkStart w:id="105" w:name="_Toc46924555"/>
      <w:bookmarkStart w:id="106" w:name="_Toc72489545"/>
      <w:r>
        <w:rPr>
          <w:rFonts w:hint="eastAsia" w:ascii="黑体" w:hAnsi="黑体"/>
          <w:b/>
          <w:bCs/>
        </w:rPr>
        <w:t>★17、响应文件有效期</w:t>
      </w:r>
      <w:bookmarkEnd w:id="105"/>
      <w:bookmarkEnd w:id="106"/>
    </w:p>
    <w:p>
      <w:pPr>
        <w:spacing w:line="360" w:lineRule="auto"/>
        <w:ind w:firstLine="420" w:firstLineChars="200"/>
        <w:rPr>
          <w:rFonts w:hAnsi="宋体"/>
          <w:szCs w:val="21"/>
        </w:rPr>
      </w:pPr>
      <w:r>
        <w:rPr>
          <w:rFonts w:hint="eastAsia" w:hAnsi="宋体"/>
          <w:szCs w:val="21"/>
        </w:rPr>
        <w:t>17</w:t>
      </w:r>
      <w:r>
        <w:rPr>
          <w:rFonts w:hAnsi="宋体"/>
          <w:szCs w:val="21"/>
        </w:rPr>
        <w:t>.1</w:t>
      </w:r>
      <w:r>
        <w:rPr>
          <w:rFonts w:hint="eastAsia" w:hAnsi="宋体"/>
          <w:szCs w:val="21"/>
        </w:rPr>
        <w:t>在《供应商须知前附表》规定的有效期内，供应商不得要求撤销或修改其响应文件。</w:t>
      </w:r>
    </w:p>
    <w:p>
      <w:pPr>
        <w:spacing w:line="360" w:lineRule="auto"/>
        <w:ind w:firstLine="420" w:firstLineChars="200"/>
        <w:rPr>
          <w:rFonts w:hAnsi="宋体"/>
          <w:szCs w:val="21"/>
        </w:rPr>
      </w:pPr>
      <w:r>
        <w:rPr>
          <w:rFonts w:hint="eastAsia" w:hAnsi="宋体"/>
          <w:szCs w:val="21"/>
        </w:rPr>
        <w:t>17</w:t>
      </w:r>
      <w:r>
        <w:rPr>
          <w:rFonts w:hAnsi="宋体"/>
          <w:szCs w:val="21"/>
        </w:rPr>
        <w:t>.2</w:t>
      </w:r>
      <w:r>
        <w:rPr>
          <w:rFonts w:hint="eastAsia" w:hAnsi="宋体"/>
          <w:szCs w:val="21"/>
        </w:rPr>
        <w:t>因特殊情况需要延长响应文件有效期的，采购人或采购代理机构以书面形式通知供应商延长有效期。供应商同意延长的，应相应延长其响应文件中所有内容及采购保证金的有效期，但不得要求或被允许修改或撤销其响应文件；供应商拒绝延长的，其响应文件失效，但供应商有权收回其采购保证金。</w:t>
      </w:r>
      <w:bookmarkStart w:id="363" w:name="_GoBack"/>
      <w:bookmarkEnd w:id="363"/>
    </w:p>
    <w:p>
      <w:pPr>
        <w:pStyle w:val="110"/>
        <w:keepLines w:val="0"/>
        <w:widowControl/>
        <w:spacing w:line="360" w:lineRule="auto"/>
        <w:rPr>
          <w:rFonts w:ascii="黑体" w:hAnsi="黑体"/>
          <w:b/>
          <w:bCs/>
        </w:rPr>
      </w:pPr>
      <w:bookmarkStart w:id="107" w:name="_Toc46924556"/>
      <w:bookmarkStart w:id="108" w:name="_Toc72489546"/>
      <w:r>
        <w:rPr>
          <w:rFonts w:hint="eastAsia" w:ascii="黑体" w:hAnsi="黑体"/>
          <w:b/>
          <w:bCs/>
        </w:rPr>
        <w:t>★18、磋商保证金交纳及退还</w:t>
      </w:r>
      <w:bookmarkEnd w:id="107"/>
      <w:bookmarkEnd w:id="108"/>
    </w:p>
    <w:p>
      <w:pPr>
        <w:spacing w:line="360" w:lineRule="auto"/>
        <w:ind w:firstLine="420" w:firstLineChars="200"/>
        <w:rPr>
          <w:rFonts w:hAnsi="宋体"/>
          <w:szCs w:val="21"/>
        </w:rPr>
      </w:pPr>
      <w:r>
        <w:rPr>
          <w:rFonts w:hint="eastAsia" w:hAnsi="宋体"/>
          <w:szCs w:val="21"/>
        </w:rPr>
        <w:t>18.1供应商应按《供应商须知前附表》规定的金额、形式向采购代理机构交纳磋商保证金，磋商保证金</w:t>
      </w:r>
      <w:r>
        <w:rPr>
          <w:rFonts w:hAnsi="宋体"/>
          <w:szCs w:val="21"/>
        </w:rPr>
        <w:t>须在</w:t>
      </w:r>
      <w:r>
        <w:rPr>
          <w:rFonts w:hint="eastAsia" w:hAnsi="宋体"/>
          <w:szCs w:val="21"/>
        </w:rPr>
        <w:t>响应文件提交截止时间前从供应商基本账户交纳</w:t>
      </w:r>
      <w:r>
        <w:rPr>
          <w:rFonts w:hAnsi="宋体"/>
          <w:szCs w:val="21"/>
        </w:rPr>
        <w:t>到指定的帐户</w:t>
      </w:r>
      <w:r>
        <w:rPr>
          <w:rFonts w:hint="eastAsia" w:hAnsi="宋体"/>
          <w:szCs w:val="21"/>
        </w:rPr>
        <w:t>，供应商未按照磋商文件要求提交磋商保证金的，响应无效。</w:t>
      </w:r>
    </w:p>
    <w:p>
      <w:pPr>
        <w:spacing w:line="360" w:lineRule="auto"/>
        <w:ind w:firstLine="420" w:firstLineChars="200"/>
        <w:rPr>
          <w:rFonts w:hAnsi="宋体"/>
          <w:szCs w:val="21"/>
        </w:rPr>
      </w:pPr>
      <w:r>
        <w:rPr>
          <w:rFonts w:hint="eastAsia" w:hAnsi="宋体"/>
          <w:szCs w:val="21"/>
        </w:rPr>
        <w:t>18.2采购代理机构在</w:t>
      </w:r>
      <w:r>
        <w:rPr>
          <w:rFonts w:hAnsi="宋体"/>
          <w:szCs w:val="21"/>
        </w:rPr>
        <w:t>成交通知书发出后5个工作日内退还</w:t>
      </w:r>
      <w:r>
        <w:rPr>
          <w:rFonts w:hint="eastAsia" w:hAnsi="宋体"/>
          <w:szCs w:val="21"/>
        </w:rPr>
        <w:t>未成交供应商的磋商保证金，</w:t>
      </w:r>
      <w:r>
        <w:rPr>
          <w:rFonts w:hAnsi="宋体"/>
          <w:szCs w:val="21"/>
        </w:rPr>
        <w:t>成交</w:t>
      </w:r>
      <w:r>
        <w:rPr>
          <w:rFonts w:hint="eastAsia" w:hAnsi="宋体"/>
          <w:szCs w:val="21"/>
        </w:rPr>
        <w:t>供应商</w:t>
      </w:r>
      <w:r>
        <w:rPr>
          <w:rFonts w:hAnsi="宋体"/>
          <w:szCs w:val="21"/>
        </w:rPr>
        <w:t>的</w:t>
      </w:r>
      <w:r>
        <w:rPr>
          <w:rFonts w:hint="eastAsia" w:hAnsi="宋体"/>
          <w:szCs w:val="21"/>
        </w:rPr>
        <w:t>磋商保证金</w:t>
      </w:r>
      <w:r>
        <w:rPr>
          <w:rFonts w:hAnsi="宋体"/>
          <w:szCs w:val="21"/>
        </w:rPr>
        <w:t>在</w:t>
      </w:r>
      <w:r>
        <w:rPr>
          <w:rFonts w:hint="eastAsia" w:hAnsi="宋体"/>
          <w:szCs w:val="21"/>
        </w:rPr>
        <w:t>采购</w:t>
      </w:r>
      <w:r>
        <w:rPr>
          <w:rFonts w:hAnsi="宋体"/>
          <w:szCs w:val="21"/>
        </w:rPr>
        <w:t>合同签订后5个工作日内退还</w:t>
      </w:r>
      <w:r>
        <w:rPr>
          <w:rFonts w:hint="eastAsia" w:hAnsi="宋体"/>
          <w:szCs w:val="21"/>
        </w:rPr>
        <w:t>，但因供应商自身原因导致无法及时退还的除外。出现下列情形之一的，磋商保证金不予退还：</w:t>
      </w:r>
    </w:p>
    <w:p>
      <w:pPr>
        <w:spacing w:line="360" w:lineRule="auto"/>
        <w:ind w:firstLine="420" w:firstLineChars="200"/>
        <w:rPr>
          <w:rFonts w:hAnsi="宋体"/>
          <w:szCs w:val="21"/>
        </w:rPr>
      </w:pPr>
      <w:r>
        <w:rPr>
          <w:rFonts w:hAnsi="宋体"/>
          <w:szCs w:val="21"/>
        </w:rPr>
        <w:t>（</w:t>
      </w:r>
      <w:r>
        <w:rPr>
          <w:rFonts w:hint="eastAsia" w:hAnsi="宋体"/>
          <w:szCs w:val="21"/>
        </w:rPr>
        <w:t>1</w:t>
      </w:r>
      <w:r>
        <w:rPr>
          <w:rFonts w:hAnsi="宋体"/>
          <w:szCs w:val="21"/>
        </w:rPr>
        <w:t>）</w:t>
      </w:r>
      <w:r>
        <w:rPr>
          <w:rFonts w:hint="eastAsia" w:hAnsi="宋体"/>
          <w:szCs w:val="21"/>
        </w:rPr>
        <w:t>供应商</w:t>
      </w:r>
      <w:r>
        <w:rPr>
          <w:rFonts w:hAnsi="宋体"/>
          <w:szCs w:val="21"/>
        </w:rPr>
        <w:t>在提交响应文件截止时间后撤回响应文件的；</w:t>
      </w:r>
    </w:p>
    <w:p>
      <w:pPr>
        <w:spacing w:line="360" w:lineRule="auto"/>
        <w:ind w:firstLine="420" w:firstLineChars="200"/>
        <w:rPr>
          <w:rFonts w:hAnsi="宋体"/>
          <w:szCs w:val="21"/>
        </w:rPr>
      </w:pPr>
      <w:r>
        <w:rPr>
          <w:rFonts w:hAnsi="宋体"/>
          <w:szCs w:val="21"/>
        </w:rPr>
        <w:t>（</w:t>
      </w:r>
      <w:r>
        <w:rPr>
          <w:rFonts w:hint="eastAsia" w:hAnsi="宋体"/>
          <w:szCs w:val="21"/>
        </w:rPr>
        <w:t>2</w:t>
      </w:r>
      <w:r>
        <w:rPr>
          <w:rFonts w:hAnsi="宋体"/>
          <w:szCs w:val="21"/>
        </w:rPr>
        <w:t>）</w:t>
      </w:r>
      <w:r>
        <w:rPr>
          <w:rFonts w:hint="eastAsia" w:hAnsi="宋体"/>
          <w:szCs w:val="21"/>
        </w:rPr>
        <w:t>供应商</w:t>
      </w:r>
      <w:r>
        <w:rPr>
          <w:rFonts w:hAnsi="宋体"/>
          <w:szCs w:val="21"/>
        </w:rPr>
        <w:t>在响应文件中提供虚假材料的；</w:t>
      </w:r>
    </w:p>
    <w:p>
      <w:pPr>
        <w:spacing w:line="360" w:lineRule="auto"/>
        <w:ind w:firstLine="420" w:firstLineChars="200"/>
        <w:rPr>
          <w:rFonts w:hAnsi="宋体"/>
          <w:szCs w:val="21"/>
        </w:rPr>
      </w:pPr>
      <w:r>
        <w:rPr>
          <w:rFonts w:hAnsi="宋体"/>
          <w:szCs w:val="21"/>
        </w:rPr>
        <w:t>（</w:t>
      </w:r>
      <w:r>
        <w:rPr>
          <w:rFonts w:hint="eastAsia" w:hAnsi="宋体"/>
          <w:szCs w:val="21"/>
        </w:rPr>
        <w:t>3</w:t>
      </w:r>
      <w:r>
        <w:rPr>
          <w:rFonts w:hAnsi="宋体"/>
          <w:szCs w:val="21"/>
        </w:rPr>
        <w:t>）除因不可抗力或磋商文件认可的情形以外，成交</w:t>
      </w:r>
      <w:r>
        <w:rPr>
          <w:rFonts w:hint="eastAsia" w:hAnsi="宋体"/>
          <w:szCs w:val="21"/>
        </w:rPr>
        <w:t>供应商</w:t>
      </w:r>
      <w:r>
        <w:rPr>
          <w:rFonts w:hAnsi="宋体"/>
          <w:szCs w:val="21"/>
        </w:rPr>
        <w:t>不与</w:t>
      </w:r>
      <w:r>
        <w:rPr>
          <w:rFonts w:hint="eastAsia" w:hAnsi="宋体"/>
          <w:szCs w:val="21"/>
        </w:rPr>
        <w:t>采购人</w:t>
      </w:r>
      <w:r>
        <w:rPr>
          <w:rFonts w:hAnsi="宋体"/>
          <w:szCs w:val="21"/>
        </w:rPr>
        <w:t>签订合同的；</w:t>
      </w:r>
    </w:p>
    <w:p>
      <w:pPr>
        <w:spacing w:line="360" w:lineRule="auto"/>
        <w:ind w:firstLine="420" w:firstLineChars="200"/>
        <w:rPr>
          <w:rFonts w:hAnsi="宋体"/>
          <w:szCs w:val="21"/>
        </w:rPr>
      </w:pPr>
      <w:r>
        <w:rPr>
          <w:rFonts w:hAnsi="宋体"/>
          <w:szCs w:val="21"/>
        </w:rPr>
        <w:t>（</w:t>
      </w:r>
      <w:r>
        <w:rPr>
          <w:rFonts w:hint="eastAsia" w:hAnsi="宋体"/>
          <w:szCs w:val="21"/>
        </w:rPr>
        <w:t>4</w:t>
      </w:r>
      <w:r>
        <w:rPr>
          <w:rFonts w:hAnsi="宋体"/>
          <w:szCs w:val="21"/>
        </w:rPr>
        <w:t>）</w:t>
      </w:r>
      <w:r>
        <w:rPr>
          <w:rFonts w:hint="eastAsia" w:hAnsi="宋体"/>
          <w:szCs w:val="21"/>
        </w:rPr>
        <w:t>供应商</w:t>
      </w:r>
      <w:r>
        <w:rPr>
          <w:rFonts w:hAnsi="宋体"/>
          <w:szCs w:val="21"/>
        </w:rPr>
        <w:t>与</w:t>
      </w:r>
      <w:r>
        <w:rPr>
          <w:rFonts w:hint="eastAsia" w:hAnsi="宋体"/>
          <w:szCs w:val="21"/>
        </w:rPr>
        <w:t>采购人</w:t>
      </w:r>
      <w:r>
        <w:rPr>
          <w:rFonts w:hAnsi="宋体"/>
          <w:szCs w:val="21"/>
        </w:rPr>
        <w:t>、其他</w:t>
      </w:r>
      <w:r>
        <w:rPr>
          <w:rFonts w:hint="eastAsia" w:hAnsi="宋体"/>
          <w:szCs w:val="21"/>
        </w:rPr>
        <w:t>供应商</w:t>
      </w:r>
      <w:r>
        <w:rPr>
          <w:rFonts w:hAnsi="宋体"/>
          <w:szCs w:val="21"/>
        </w:rPr>
        <w:t>或者</w:t>
      </w:r>
      <w:r>
        <w:rPr>
          <w:rFonts w:hint="eastAsia" w:hAnsi="宋体"/>
          <w:szCs w:val="21"/>
        </w:rPr>
        <w:t>采购代理机构</w:t>
      </w:r>
      <w:r>
        <w:rPr>
          <w:rFonts w:hAnsi="宋体"/>
          <w:szCs w:val="21"/>
        </w:rPr>
        <w:t>恶意串通的；</w:t>
      </w:r>
    </w:p>
    <w:p>
      <w:pPr>
        <w:spacing w:line="360" w:lineRule="auto"/>
        <w:ind w:firstLine="420" w:firstLineChars="200"/>
        <w:rPr>
          <w:rFonts w:hAnsi="宋体"/>
          <w:szCs w:val="21"/>
        </w:rPr>
      </w:pPr>
      <w:r>
        <w:rPr>
          <w:rFonts w:hAnsi="宋体"/>
          <w:szCs w:val="21"/>
        </w:rPr>
        <w:t>（</w:t>
      </w:r>
      <w:r>
        <w:rPr>
          <w:rFonts w:hint="eastAsia" w:hAnsi="宋体"/>
          <w:szCs w:val="21"/>
        </w:rPr>
        <w:t>5</w:t>
      </w:r>
      <w:r>
        <w:rPr>
          <w:rFonts w:hAnsi="宋体"/>
          <w:szCs w:val="21"/>
        </w:rPr>
        <w:t>）</w:t>
      </w:r>
      <w:r>
        <w:rPr>
          <w:rFonts w:hint="eastAsia" w:hAnsi="宋体"/>
          <w:szCs w:val="21"/>
        </w:rPr>
        <w:t>竞争性磋商</w:t>
      </w:r>
      <w:r>
        <w:rPr>
          <w:rFonts w:hAnsi="宋体"/>
          <w:szCs w:val="21"/>
        </w:rPr>
        <w:t>文件规定的其他情形。</w:t>
      </w:r>
    </w:p>
    <w:p>
      <w:pPr>
        <w:pStyle w:val="110"/>
        <w:keepLines w:val="0"/>
        <w:widowControl/>
        <w:spacing w:line="360" w:lineRule="auto"/>
        <w:rPr>
          <w:rFonts w:ascii="黑体" w:hAnsi="黑体"/>
          <w:b/>
          <w:bCs/>
        </w:rPr>
      </w:pPr>
      <w:bookmarkStart w:id="109" w:name="_Toc46924557"/>
      <w:bookmarkStart w:id="110" w:name="_Toc72489547"/>
      <w:r>
        <w:rPr>
          <w:rFonts w:hint="eastAsia" w:ascii="黑体" w:hAnsi="黑体"/>
          <w:b/>
          <w:bCs/>
        </w:rPr>
        <w:t>19、</w:t>
      </w:r>
      <w:r>
        <w:rPr>
          <w:rFonts w:ascii="黑体" w:hAnsi="黑体"/>
          <w:b/>
          <w:bCs/>
        </w:rPr>
        <w:t>响应文件的</w:t>
      </w:r>
      <w:r>
        <w:rPr>
          <w:rFonts w:hint="eastAsia" w:ascii="黑体" w:hAnsi="黑体"/>
          <w:b/>
          <w:bCs/>
        </w:rPr>
        <w:t>编制</w:t>
      </w:r>
      <w:bookmarkEnd w:id="109"/>
      <w:bookmarkEnd w:id="110"/>
    </w:p>
    <w:p>
      <w:pPr>
        <w:spacing w:line="360" w:lineRule="auto"/>
        <w:ind w:firstLine="420" w:firstLineChars="200"/>
        <w:rPr>
          <w:rFonts w:hAnsi="宋体"/>
          <w:szCs w:val="21"/>
        </w:rPr>
      </w:pPr>
      <w:r>
        <w:rPr>
          <w:rFonts w:hint="eastAsia" w:hAnsi="宋体"/>
          <w:szCs w:val="21"/>
        </w:rPr>
        <w:t>19.1响应文件须用不褪色的墨水书写或打印。并按竞争性磋商文件要求由供应商的法定代表人或委托代理人签字或盖章并加盖供应商的公章。委托代理人签字的，响应文件应附法定代表人签署的授权委托书。</w:t>
      </w:r>
    </w:p>
    <w:p>
      <w:pPr>
        <w:spacing w:line="360" w:lineRule="auto"/>
        <w:ind w:firstLine="420" w:firstLineChars="200"/>
        <w:rPr>
          <w:rFonts w:hAnsi="宋体"/>
          <w:szCs w:val="21"/>
        </w:rPr>
      </w:pPr>
      <w:r>
        <w:rPr>
          <w:rFonts w:hint="eastAsia" w:hAnsi="宋体"/>
          <w:szCs w:val="21"/>
        </w:rPr>
        <w:t>19.2响应文件应尽量避免涂改、行间插字或删除。如果出现上述情况，改动之处应加盖供应商的公章或供应商法定代表人或委托代理人签字确认。</w:t>
      </w:r>
    </w:p>
    <w:p>
      <w:pPr>
        <w:spacing w:line="360" w:lineRule="auto"/>
        <w:ind w:firstLine="420" w:firstLineChars="200"/>
        <w:rPr>
          <w:rFonts w:hAnsi="宋体"/>
          <w:szCs w:val="21"/>
        </w:rPr>
      </w:pPr>
      <w:r>
        <w:rPr>
          <w:rFonts w:hint="eastAsia" w:hAnsi="宋体"/>
          <w:szCs w:val="21"/>
        </w:rPr>
        <w:t>19.3响应文件应以竞争性磋商文件格式部分要求为准，响应文件应由法定代表人或委托代理人在竞争性磋商文件规定签字处逐一签字或盖章，要求盖章处应加盖公章，若以“投标专用章”或“合同专用章”代替的，须出具供应商单位公章对“投标专用章”或“合同专用章”的授权函原件。</w:t>
      </w:r>
    </w:p>
    <w:p>
      <w:pPr>
        <w:spacing w:line="360" w:lineRule="auto"/>
        <w:ind w:firstLine="420" w:firstLineChars="200"/>
        <w:rPr>
          <w:rFonts w:hAnsi="宋体"/>
          <w:szCs w:val="21"/>
        </w:rPr>
      </w:pPr>
      <w:r>
        <w:rPr>
          <w:rFonts w:hint="eastAsia" w:hAnsi="宋体"/>
          <w:szCs w:val="21"/>
        </w:rPr>
        <w:t>19.4响应文件份数：详见《供应商须知前附表》；响应文件正本与副本必须清晰并注明“正本”、“副本”字样以及项目名称、项目编号、供应商名称等内容，若副本和正本不符，以正本为准，副本可以是正本的复印件。</w:t>
      </w:r>
    </w:p>
    <w:p>
      <w:pPr>
        <w:spacing w:line="360" w:lineRule="auto"/>
        <w:ind w:firstLine="420" w:firstLineChars="200"/>
        <w:rPr>
          <w:rFonts w:hAnsi="宋体"/>
          <w:szCs w:val="21"/>
        </w:rPr>
      </w:pPr>
      <w:r>
        <w:rPr>
          <w:rFonts w:hint="eastAsia" w:hAnsi="宋体"/>
          <w:szCs w:val="21"/>
        </w:rPr>
        <w:t>19.</w:t>
      </w:r>
      <w:r>
        <w:rPr>
          <w:rFonts w:hAnsi="宋体"/>
          <w:szCs w:val="21"/>
        </w:rPr>
        <w:t>5</w:t>
      </w:r>
      <w:r>
        <w:rPr>
          <w:rFonts w:hint="eastAsia" w:hAnsi="宋体"/>
          <w:szCs w:val="21"/>
        </w:rPr>
        <w:t>响应文件和来往函件均应采用中文书写，计量单位使用中国或国际标准单位。</w:t>
      </w:r>
    </w:p>
    <w:p>
      <w:pPr>
        <w:spacing w:line="360" w:lineRule="auto"/>
        <w:ind w:firstLine="420" w:firstLineChars="200"/>
        <w:rPr>
          <w:rFonts w:hAnsi="宋体"/>
          <w:szCs w:val="21"/>
        </w:rPr>
      </w:pPr>
      <w:r>
        <w:rPr>
          <w:rFonts w:hint="eastAsia" w:hAnsi="宋体"/>
          <w:szCs w:val="21"/>
        </w:rPr>
        <w:t>19.</w:t>
      </w:r>
      <w:r>
        <w:rPr>
          <w:rFonts w:hAnsi="宋体"/>
          <w:szCs w:val="21"/>
        </w:rPr>
        <w:t>6</w:t>
      </w:r>
      <w:r>
        <w:rPr>
          <w:rFonts w:hint="eastAsia" w:hAnsi="宋体"/>
          <w:szCs w:val="21"/>
        </w:rPr>
        <w:t>最后报价采用人民币进行报价，若中文文字形式表示的数值与数字形式表示的数值不一致，以中文文字形式表示的数值为准。</w:t>
      </w:r>
    </w:p>
    <w:p>
      <w:pPr>
        <w:spacing w:line="336" w:lineRule="auto"/>
        <w:ind w:firstLine="420" w:firstLineChars="200"/>
        <w:rPr>
          <w:rFonts w:hAnsi="宋体"/>
          <w:szCs w:val="21"/>
        </w:rPr>
      </w:pPr>
      <w:r>
        <w:rPr>
          <w:rFonts w:hint="eastAsia" w:hAnsi="宋体"/>
          <w:szCs w:val="21"/>
        </w:rPr>
        <w:t>19.</w:t>
      </w:r>
      <w:r>
        <w:rPr>
          <w:rFonts w:hAnsi="宋体"/>
          <w:szCs w:val="21"/>
        </w:rPr>
        <w:t>7</w:t>
      </w:r>
      <w:r>
        <w:rPr>
          <w:rFonts w:hint="eastAsia" w:hAnsi="宋体"/>
          <w:szCs w:val="21"/>
        </w:rPr>
        <w:t>响应文件的组成应包括下列内容（但不限于）：详见：本章15、响应文件的组成及《响应文件格式》部分。</w:t>
      </w:r>
    </w:p>
    <w:p>
      <w:pPr>
        <w:spacing w:line="360" w:lineRule="auto"/>
        <w:ind w:firstLine="420" w:firstLineChars="200"/>
        <w:rPr>
          <w:rFonts w:hAnsi="宋体"/>
          <w:szCs w:val="21"/>
        </w:rPr>
      </w:pPr>
      <w:r>
        <w:rPr>
          <w:rFonts w:hint="eastAsia" w:hAnsi="宋体"/>
          <w:szCs w:val="21"/>
        </w:rPr>
        <w:t>19.8不提倡豪华装帧，响应文件正本与副本应分别装订成册，响应文件装订应牢固，不得采用活页夹等可随时拆换的方式装订；响应文件应编制目录，并且逐页标注连续页码。采购人对由于响应文件装订松散而造成的丢失或其他后果不承担任何责任。</w:t>
      </w:r>
    </w:p>
    <w:p>
      <w:pPr>
        <w:spacing w:line="360" w:lineRule="auto"/>
        <w:ind w:firstLine="420" w:firstLineChars="200"/>
        <w:rPr>
          <w:rFonts w:hAnsi="宋体"/>
          <w:szCs w:val="21"/>
        </w:rPr>
      </w:pPr>
      <w:r>
        <w:rPr>
          <w:rFonts w:hint="eastAsia" w:hAnsi="宋体"/>
          <w:szCs w:val="21"/>
        </w:rPr>
        <w:t>19.9响应文件中提供的资料（包括复印件）、关键内容、相关证件及证明材料必须清晰可辨，若出现字迹潦草、表达不清、资料内容不全或关键字迹模糊、无法辨认、未按要求填写而导致非唯一理解，视为未实质性响应竞争性磋商文件，响应文件按无效响应处理。</w:t>
      </w:r>
      <w:bookmarkStart w:id="111" w:name="_Toc86124056"/>
      <w:bookmarkStart w:id="112" w:name="_Toc329810197"/>
      <w:bookmarkStart w:id="113" w:name="_Toc383175063"/>
      <w:bookmarkStart w:id="114" w:name="_Toc383175287"/>
      <w:bookmarkStart w:id="115" w:name="_Toc383175485"/>
      <w:bookmarkStart w:id="116" w:name="_Toc432106486"/>
      <w:bookmarkStart w:id="117" w:name="_Toc432194837"/>
      <w:bookmarkStart w:id="118" w:name="_Toc470507051"/>
      <w:bookmarkStart w:id="119" w:name="_Toc482343737"/>
    </w:p>
    <w:p>
      <w:pPr>
        <w:pStyle w:val="110"/>
        <w:keepLines w:val="0"/>
        <w:widowControl/>
        <w:spacing w:line="360" w:lineRule="auto"/>
        <w:rPr>
          <w:rFonts w:ascii="黑体" w:hAnsi="黑体"/>
          <w:b/>
          <w:bCs/>
        </w:rPr>
      </w:pPr>
      <w:bookmarkStart w:id="120" w:name="_Toc46924558"/>
      <w:bookmarkStart w:id="121" w:name="_Toc72489548"/>
      <w:r>
        <w:rPr>
          <w:rFonts w:hint="eastAsia" w:ascii="黑体" w:hAnsi="黑体"/>
          <w:b/>
          <w:bCs/>
        </w:rPr>
        <w:t>20、</w:t>
      </w:r>
      <w:r>
        <w:rPr>
          <w:rFonts w:ascii="黑体" w:hAnsi="黑体"/>
          <w:b/>
          <w:bCs/>
        </w:rPr>
        <w:t>报价</w:t>
      </w:r>
      <w:bookmarkEnd w:id="111"/>
      <w:r>
        <w:rPr>
          <w:rFonts w:ascii="黑体" w:hAnsi="黑体"/>
          <w:b/>
          <w:bCs/>
        </w:rPr>
        <w:t>和报价货币</w:t>
      </w:r>
      <w:bookmarkEnd w:id="112"/>
      <w:bookmarkEnd w:id="113"/>
      <w:bookmarkEnd w:id="114"/>
      <w:bookmarkEnd w:id="115"/>
      <w:bookmarkEnd w:id="116"/>
      <w:bookmarkEnd w:id="117"/>
      <w:bookmarkEnd w:id="118"/>
      <w:bookmarkEnd w:id="119"/>
      <w:bookmarkEnd w:id="120"/>
      <w:bookmarkEnd w:id="121"/>
    </w:p>
    <w:p>
      <w:pPr>
        <w:spacing w:line="360" w:lineRule="auto"/>
        <w:ind w:firstLine="420" w:firstLineChars="200"/>
        <w:rPr>
          <w:rFonts w:hAnsi="宋体"/>
          <w:szCs w:val="21"/>
        </w:rPr>
      </w:pPr>
      <w:r>
        <w:rPr>
          <w:rFonts w:hint="eastAsia" w:hAnsi="宋体"/>
          <w:szCs w:val="21"/>
        </w:rPr>
        <w:t>20.1磋商结束后，磋商小组将要求所有实质性响应的供应商在规定时间内提交最后报价，提交最后报价的供应商不得少于3家。最后报价超过采购预算金额的供应商将被视为未实质性响应竞争性磋商文件要求，按无效响应处理。</w:t>
      </w:r>
    </w:p>
    <w:p>
      <w:pPr>
        <w:spacing w:line="360" w:lineRule="auto"/>
        <w:ind w:firstLine="420" w:firstLineChars="200"/>
        <w:rPr>
          <w:rFonts w:hAnsi="宋体"/>
          <w:szCs w:val="21"/>
        </w:rPr>
      </w:pPr>
      <w:r>
        <w:rPr>
          <w:rFonts w:hint="eastAsia" w:hAnsi="宋体"/>
          <w:szCs w:val="21"/>
        </w:rPr>
        <w:t>20.2供应商应依据磋商文件的要求及有关资料，执行国家或行业现行技术经济标准、定额及规范，自行测算出满足采购要求的货物、工程或者服务的竞争性报价，该报价应符合市场行情并能保证供应商完成履行合同所需的一切工作。合同一旦签订，此价格在合同实施期间将不因市场价格等的变化而调整。</w:t>
      </w:r>
    </w:p>
    <w:p>
      <w:pPr>
        <w:spacing w:line="360" w:lineRule="auto"/>
        <w:ind w:firstLine="420" w:firstLineChars="200"/>
        <w:rPr>
          <w:rFonts w:hAnsi="宋体"/>
          <w:szCs w:val="21"/>
        </w:rPr>
      </w:pPr>
      <w:r>
        <w:rPr>
          <w:rFonts w:hint="eastAsia" w:hAnsi="宋体"/>
          <w:szCs w:val="21"/>
        </w:rPr>
        <w:t>20.3最后报价是供应商响应文件的有效组成部分，供应商必须对所参加项目内所有内容进行完整唯一报价，不得缺项、漏项，否则按无效响应处理。</w:t>
      </w:r>
    </w:p>
    <w:p>
      <w:pPr>
        <w:spacing w:line="360" w:lineRule="auto"/>
        <w:ind w:firstLine="420" w:firstLineChars="200"/>
        <w:rPr>
          <w:rFonts w:hAnsi="宋体"/>
          <w:szCs w:val="21"/>
        </w:rPr>
      </w:pPr>
      <w:r>
        <w:rPr>
          <w:rFonts w:hint="eastAsia" w:hAnsi="宋体"/>
          <w:szCs w:val="21"/>
        </w:rPr>
        <w:t>20.4无论分项价格是否填报完全，供应商的最后报价将被视为已经包含了所有分项价格以及与项目相关的所有货物、工程或者服务费用。由于供应商分项报价填报不完整、不清楚或存在其它任何失误所导致的任何不利后果均由供应商自行承担。</w:t>
      </w:r>
    </w:p>
    <w:p>
      <w:pPr>
        <w:spacing w:line="360" w:lineRule="auto"/>
        <w:ind w:firstLine="420" w:firstLineChars="200"/>
        <w:rPr>
          <w:rFonts w:hAnsi="宋体"/>
          <w:szCs w:val="21"/>
        </w:rPr>
      </w:pPr>
      <w:r>
        <w:rPr>
          <w:rFonts w:hint="eastAsia" w:hAnsi="宋体"/>
          <w:szCs w:val="21"/>
        </w:rPr>
        <w:t>20.5备品备件要求：见《供应商须知前附表》</w:t>
      </w:r>
    </w:p>
    <w:p>
      <w:pPr>
        <w:spacing w:line="360" w:lineRule="auto"/>
        <w:ind w:firstLine="420" w:firstLineChars="200"/>
        <w:rPr>
          <w:rFonts w:hAnsi="宋体"/>
          <w:szCs w:val="21"/>
        </w:rPr>
      </w:pPr>
      <w:r>
        <w:rPr>
          <w:rFonts w:hint="eastAsia" w:hAnsi="宋体"/>
          <w:szCs w:val="21"/>
        </w:rPr>
        <w:t>20.6最后报价文件应由法定代表人或其委托代理人签字，在规定的时间统一密封递交。若已递交的最后报价中出现含义不明确、同类问题表述不一致或者签署不完整、有明显文字和计算错误的，可以进行澄清、补充和修正，但不得改变响应文件中实质性内容。</w:t>
      </w:r>
    </w:p>
    <w:p>
      <w:pPr>
        <w:spacing w:line="336" w:lineRule="auto"/>
        <w:ind w:firstLine="420" w:firstLineChars="200"/>
        <w:rPr>
          <w:rFonts w:hAnsi="宋体"/>
          <w:szCs w:val="21"/>
        </w:rPr>
      </w:pPr>
      <w:r>
        <w:rPr>
          <w:rFonts w:hint="eastAsia" w:hAnsi="宋体"/>
          <w:szCs w:val="21"/>
        </w:rPr>
        <w:t>20.7供应商不得哄抬报价，也不应低于成本价报价。磋商小组认为供应商的最后报价或者某些分项报价明显不合理或者低于成本，有可能影响服务质量和不能诚信履约的，将要求其在规定的期限内提供书面文件予以解释说明，并提交相关证明材料。供应商不能证明其报价合理性的，磋商小组将认定供应商响应文件无效。</w:t>
      </w:r>
    </w:p>
    <w:p>
      <w:pPr>
        <w:spacing w:line="360" w:lineRule="auto"/>
        <w:ind w:firstLine="420" w:firstLineChars="200"/>
        <w:rPr>
          <w:rFonts w:hAnsi="宋体"/>
          <w:szCs w:val="21"/>
        </w:rPr>
      </w:pPr>
      <w:r>
        <w:rPr>
          <w:rFonts w:hint="eastAsia" w:hAnsi="宋体"/>
          <w:szCs w:val="21"/>
        </w:rPr>
        <w:t>20.8供应商应保证其提供的货物、工程或者服务在采购人使用期间不受第三方可能提出的侵犯其所有权、知识产权、商标权、专利权、著作权等相关权利的起诉。</w:t>
      </w:r>
    </w:p>
    <w:p>
      <w:pPr>
        <w:spacing w:line="360" w:lineRule="auto"/>
        <w:ind w:firstLine="420" w:firstLineChars="200"/>
        <w:rPr>
          <w:rFonts w:hAnsi="宋体"/>
          <w:szCs w:val="21"/>
        </w:rPr>
      </w:pPr>
      <w:r>
        <w:rPr>
          <w:rFonts w:hint="eastAsia" w:hAnsi="宋体"/>
          <w:szCs w:val="21"/>
        </w:rPr>
        <w:t>20.9报价货币为人民币。</w:t>
      </w:r>
    </w:p>
    <w:p>
      <w:pPr>
        <w:pStyle w:val="4"/>
        <w:keepLines w:val="0"/>
        <w:spacing w:before="240" w:after="240" w:line="360" w:lineRule="auto"/>
        <w:jc w:val="center"/>
        <w:rPr>
          <w:rFonts w:hint="default" w:hAnsi="黑体"/>
          <w:b/>
          <w:kern w:val="0"/>
          <w:szCs w:val="32"/>
        </w:rPr>
      </w:pPr>
      <w:bookmarkStart w:id="122" w:name="_Toc72489549"/>
      <w:r>
        <w:rPr>
          <w:rFonts w:hAnsi="黑体"/>
          <w:b/>
          <w:kern w:val="0"/>
          <w:szCs w:val="32"/>
        </w:rPr>
        <w:t>四、提交响应文件</w:t>
      </w:r>
      <w:bookmarkEnd w:id="122"/>
    </w:p>
    <w:p>
      <w:pPr>
        <w:pStyle w:val="110"/>
        <w:keepLines w:val="0"/>
        <w:widowControl/>
        <w:spacing w:line="360" w:lineRule="auto"/>
        <w:rPr>
          <w:rFonts w:ascii="黑体" w:hAnsi="黑体"/>
          <w:b/>
          <w:bCs/>
        </w:rPr>
      </w:pPr>
      <w:bookmarkStart w:id="123" w:name="_Toc46924560"/>
      <w:bookmarkStart w:id="124" w:name="_Toc72489550"/>
      <w:r>
        <w:rPr>
          <w:rFonts w:hint="eastAsia" w:ascii="黑体" w:hAnsi="黑体"/>
          <w:b/>
          <w:bCs/>
        </w:rPr>
        <w:t>21、</w:t>
      </w:r>
      <w:r>
        <w:rPr>
          <w:rFonts w:ascii="黑体" w:hAnsi="黑体"/>
          <w:b/>
          <w:bCs/>
        </w:rPr>
        <w:t>响应文件的</w:t>
      </w:r>
      <w:r>
        <w:rPr>
          <w:rFonts w:hint="eastAsia" w:ascii="黑体" w:hAnsi="黑体"/>
          <w:b/>
          <w:bCs/>
        </w:rPr>
        <w:t>密封和标记</w:t>
      </w:r>
      <w:bookmarkEnd w:id="123"/>
      <w:bookmarkEnd w:id="124"/>
    </w:p>
    <w:p>
      <w:pPr>
        <w:spacing w:line="360" w:lineRule="auto"/>
        <w:ind w:firstLine="420" w:firstLineChars="200"/>
        <w:rPr>
          <w:rFonts w:hAnsi="宋体"/>
          <w:szCs w:val="21"/>
        </w:rPr>
      </w:pPr>
      <w:r>
        <w:rPr>
          <w:rFonts w:hint="eastAsia" w:hAnsi="宋体"/>
          <w:szCs w:val="21"/>
        </w:rPr>
        <w:t>21.1供应商应将响应文件正、副本及电子文件（U盘）一起装入包装并加以密封，并保证其密封完好，并在骑缝处加盖密封章或供应商单位公章（单位鲜章）。</w:t>
      </w:r>
    </w:p>
    <w:p>
      <w:pPr>
        <w:spacing w:line="360" w:lineRule="auto"/>
        <w:ind w:firstLine="420" w:firstLineChars="200"/>
        <w:rPr>
          <w:rFonts w:hAnsi="宋体"/>
          <w:szCs w:val="21"/>
        </w:rPr>
      </w:pPr>
      <w:r>
        <w:rPr>
          <w:rFonts w:hint="eastAsia" w:hAnsi="宋体"/>
          <w:szCs w:val="21"/>
        </w:rPr>
        <w:t>21.2响应文件的封套上应注明项目名称、项目编号、所投标段号（若分标段时）、供应商名称等内容。</w:t>
      </w:r>
    </w:p>
    <w:p>
      <w:pPr>
        <w:spacing w:line="360" w:lineRule="auto"/>
        <w:ind w:firstLine="420" w:firstLineChars="200"/>
        <w:rPr>
          <w:rFonts w:hAnsi="宋体"/>
          <w:szCs w:val="21"/>
        </w:rPr>
      </w:pPr>
      <w:r>
        <w:rPr>
          <w:rFonts w:hint="eastAsia" w:hAnsi="宋体"/>
          <w:szCs w:val="21"/>
        </w:rPr>
        <w:t>21.3在截止时间后送达的响应文件或者未送达指定地点的响应文件或者未按照磋商文件要求密封的响应文件，采购人、采购代理机构将拒收。</w:t>
      </w:r>
    </w:p>
    <w:p>
      <w:pPr>
        <w:spacing w:line="360" w:lineRule="auto"/>
        <w:ind w:firstLine="420" w:firstLineChars="200"/>
        <w:rPr>
          <w:rFonts w:hAnsi="宋体"/>
          <w:szCs w:val="21"/>
        </w:rPr>
      </w:pPr>
      <w:r>
        <w:rPr>
          <w:rFonts w:hint="eastAsia" w:hAnsi="宋体"/>
          <w:szCs w:val="21"/>
        </w:rPr>
        <w:t>21.4供应商在提交截止时间前，可以对所提交的响应文件进行补充、修改或者撤回，并书面通知采购人或者采购代理机构。补充、修改的内容应当按照磋商文件要求签署、盖章、密封后，作为响应文件的组成部分。</w:t>
      </w:r>
    </w:p>
    <w:p>
      <w:pPr>
        <w:pStyle w:val="110"/>
        <w:keepLines w:val="0"/>
        <w:widowControl/>
        <w:spacing w:line="360" w:lineRule="auto"/>
        <w:rPr>
          <w:rFonts w:ascii="黑体" w:hAnsi="黑体"/>
          <w:b/>
          <w:bCs/>
        </w:rPr>
      </w:pPr>
      <w:bookmarkStart w:id="125" w:name="_Toc46924561"/>
      <w:bookmarkStart w:id="126" w:name="_Toc72489551"/>
      <w:r>
        <w:rPr>
          <w:rFonts w:hint="eastAsia" w:ascii="黑体" w:hAnsi="黑体"/>
          <w:b/>
          <w:bCs/>
        </w:rPr>
        <w:t>22、</w:t>
      </w:r>
      <w:r>
        <w:rPr>
          <w:rFonts w:ascii="黑体" w:hAnsi="黑体"/>
          <w:b/>
          <w:bCs/>
        </w:rPr>
        <w:t>响应文件的</w:t>
      </w:r>
      <w:r>
        <w:rPr>
          <w:rFonts w:hint="eastAsia" w:ascii="黑体" w:hAnsi="黑体"/>
          <w:b/>
          <w:bCs/>
        </w:rPr>
        <w:t>提交</w:t>
      </w:r>
      <w:bookmarkEnd w:id="125"/>
      <w:bookmarkEnd w:id="126"/>
    </w:p>
    <w:p>
      <w:pPr>
        <w:spacing w:line="360" w:lineRule="auto"/>
        <w:ind w:firstLine="420" w:firstLineChars="200"/>
        <w:rPr>
          <w:rFonts w:hAnsi="宋体"/>
          <w:szCs w:val="21"/>
        </w:rPr>
      </w:pPr>
      <w:bookmarkStart w:id="127" w:name="_Toc296602445"/>
      <w:r>
        <w:rPr>
          <w:rFonts w:hint="eastAsia" w:hAnsi="宋体"/>
          <w:szCs w:val="21"/>
        </w:rPr>
        <w:t>22.1</w:t>
      </w:r>
      <w:bookmarkEnd w:id="127"/>
      <w:r>
        <w:rPr>
          <w:rFonts w:hint="eastAsia" w:hAnsi="宋体"/>
          <w:szCs w:val="21"/>
        </w:rPr>
        <w:t>提交响应文件的截止时间及地点：详见《供应商须知前附表》</w:t>
      </w:r>
    </w:p>
    <w:p>
      <w:pPr>
        <w:spacing w:line="360" w:lineRule="auto"/>
        <w:ind w:firstLine="420" w:firstLineChars="200"/>
        <w:rPr>
          <w:rFonts w:hAnsi="宋体"/>
          <w:szCs w:val="21"/>
        </w:rPr>
      </w:pPr>
      <w:r>
        <w:rPr>
          <w:rFonts w:hint="eastAsia" w:hAnsi="宋体"/>
          <w:szCs w:val="21"/>
        </w:rPr>
        <w:t>22.2供应商须在竞争性磋商文件要求的响应文件提交截止时间前，按竞争性磋商文件的要求，将密封完好的响应文件送达指定地点，</w:t>
      </w:r>
      <w:bookmarkStart w:id="128" w:name="_Hlk46786794"/>
      <w:r>
        <w:rPr>
          <w:rFonts w:hint="eastAsia" w:hAnsi="宋体"/>
          <w:szCs w:val="21"/>
        </w:rPr>
        <w:t>供应商的法定代表人或其授权代理人</w:t>
      </w:r>
      <w:bookmarkEnd w:id="128"/>
      <w:r>
        <w:rPr>
          <w:rFonts w:hint="eastAsia" w:hAnsi="宋体"/>
          <w:szCs w:val="21"/>
        </w:rPr>
        <w:t>准时参加。采购人或者采购代理机构收到响应文件后，将如实记载响应文件的送达时间和密封情况，签收保存。任何单位和个人不得在磋商前开启响应文件。</w:t>
      </w:r>
    </w:p>
    <w:p>
      <w:pPr>
        <w:spacing w:line="360" w:lineRule="auto"/>
        <w:ind w:firstLine="420" w:firstLineChars="200"/>
        <w:rPr>
          <w:rFonts w:hAnsi="宋体"/>
          <w:szCs w:val="21"/>
        </w:rPr>
      </w:pPr>
      <w:r>
        <w:rPr>
          <w:rFonts w:hint="eastAsia" w:hAnsi="宋体"/>
          <w:szCs w:val="21"/>
        </w:rPr>
        <w:t>22.3在截止时间后送达的响应文件或者未送达指定地点的响应文件或者未按照磋商文件要求密封的响应文件，采购人、采购代理机构将拒收。</w:t>
      </w:r>
    </w:p>
    <w:p>
      <w:pPr>
        <w:spacing w:line="360" w:lineRule="auto"/>
        <w:ind w:firstLine="420" w:firstLineChars="200"/>
        <w:rPr>
          <w:rFonts w:hAnsi="宋体"/>
          <w:szCs w:val="21"/>
        </w:rPr>
      </w:pPr>
      <w:r>
        <w:rPr>
          <w:rFonts w:hint="eastAsia" w:hAnsi="宋体"/>
          <w:szCs w:val="21"/>
        </w:rPr>
        <w:t>22.4除《供应商须知前附表》另有规定外，供应商所提交的响应文件不予退还。</w:t>
      </w:r>
    </w:p>
    <w:p>
      <w:pPr>
        <w:spacing w:line="360" w:lineRule="auto"/>
        <w:ind w:firstLine="420" w:firstLineChars="200"/>
        <w:rPr>
          <w:rFonts w:hAnsi="宋体"/>
          <w:szCs w:val="21"/>
        </w:rPr>
      </w:pPr>
      <w:r>
        <w:rPr>
          <w:rFonts w:hint="eastAsia" w:hAnsi="宋体"/>
          <w:szCs w:val="21"/>
        </w:rPr>
        <w:t>22.5响应文件应由供应商的法定代表人或其授权代理人现场提交，采购人或采购代理机构拒绝一切电传、电报、传真或非法定代表人或委托代理人提交。</w:t>
      </w:r>
    </w:p>
    <w:p>
      <w:pPr>
        <w:pStyle w:val="110"/>
        <w:keepLines w:val="0"/>
        <w:widowControl/>
        <w:spacing w:line="360" w:lineRule="auto"/>
        <w:rPr>
          <w:rFonts w:ascii="黑体" w:hAnsi="黑体"/>
          <w:b/>
          <w:bCs/>
        </w:rPr>
      </w:pPr>
      <w:bookmarkStart w:id="129" w:name="_Toc46924562"/>
      <w:bookmarkStart w:id="130" w:name="_Toc72489552"/>
      <w:r>
        <w:rPr>
          <w:rFonts w:hint="eastAsia" w:ascii="黑体" w:hAnsi="黑体"/>
          <w:b/>
          <w:bCs/>
        </w:rPr>
        <w:t>23、响应文件的补充、修改或者撤回</w:t>
      </w:r>
      <w:bookmarkEnd w:id="129"/>
      <w:bookmarkEnd w:id="130"/>
    </w:p>
    <w:p>
      <w:pPr>
        <w:spacing w:line="360" w:lineRule="auto"/>
        <w:ind w:firstLine="420" w:firstLineChars="200"/>
        <w:rPr>
          <w:rFonts w:hAnsi="宋体"/>
          <w:szCs w:val="21"/>
        </w:rPr>
      </w:pPr>
      <w:r>
        <w:rPr>
          <w:rFonts w:hint="eastAsia" w:hAnsi="宋体"/>
          <w:szCs w:val="21"/>
        </w:rPr>
        <w:t>23.1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360" w:lineRule="auto"/>
        <w:ind w:firstLine="420" w:firstLineChars="200"/>
        <w:rPr>
          <w:rFonts w:hAnsi="宋体"/>
          <w:szCs w:val="21"/>
        </w:rPr>
      </w:pPr>
      <w:r>
        <w:rPr>
          <w:rFonts w:hint="eastAsia" w:hAnsi="宋体"/>
          <w:szCs w:val="21"/>
        </w:rPr>
        <w:t>23.2 供应商在提交截止时间前撤回已提交的响应文件的，采购人或者采购代理机构将自收到供应商书面撤回通知之日起5个工作日内，退还已收取的磋商保证金，但因供应商自身原因导致无法及时退还的除外。</w:t>
      </w:r>
    </w:p>
    <w:p>
      <w:pPr>
        <w:pStyle w:val="4"/>
        <w:keepLines w:val="0"/>
        <w:spacing w:before="240" w:after="240" w:line="360" w:lineRule="auto"/>
        <w:jc w:val="center"/>
        <w:rPr>
          <w:rFonts w:hint="default" w:hAnsi="黑体"/>
          <w:b/>
          <w:kern w:val="0"/>
          <w:szCs w:val="32"/>
        </w:rPr>
      </w:pPr>
      <w:bookmarkStart w:id="131" w:name="_Toc72489553"/>
      <w:r>
        <w:rPr>
          <w:rFonts w:hAnsi="黑体"/>
          <w:b/>
          <w:kern w:val="0"/>
          <w:szCs w:val="32"/>
        </w:rPr>
        <w:t>五、磋商</w:t>
      </w:r>
      <w:bookmarkEnd w:id="131"/>
    </w:p>
    <w:p>
      <w:pPr>
        <w:pStyle w:val="110"/>
        <w:keepLines w:val="0"/>
        <w:widowControl/>
        <w:spacing w:line="360" w:lineRule="auto"/>
        <w:rPr>
          <w:rFonts w:ascii="黑体" w:hAnsi="黑体"/>
          <w:b/>
          <w:bCs/>
        </w:rPr>
      </w:pPr>
      <w:bookmarkStart w:id="132" w:name="_Toc46924564"/>
      <w:bookmarkStart w:id="133" w:name="_Toc72489554"/>
      <w:r>
        <w:rPr>
          <w:rFonts w:hint="eastAsia" w:ascii="黑体" w:hAnsi="黑体"/>
          <w:b/>
          <w:bCs/>
        </w:rPr>
        <w:t>24、磋商小组</w:t>
      </w:r>
      <w:bookmarkEnd w:id="132"/>
      <w:bookmarkEnd w:id="133"/>
    </w:p>
    <w:p>
      <w:pPr>
        <w:spacing w:line="360" w:lineRule="auto"/>
        <w:ind w:firstLine="420" w:firstLineChars="200"/>
        <w:rPr>
          <w:rFonts w:hAnsi="宋体"/>
          <w:szCs w:val="21"/>
        </w:rPr>
      </w:pPr>
      <w:r>
        <w:rPr>
          <w:rFonts w:hint="eastAsia" w:hAnsi="宋体"/>
          <w:szCs w:val="21"/>
        </w:rPr>
        <w:t>24.1磋商小组将在规定的时间和地点进行磋商，供应商的法定代表人或其授权代理人准时参加。</w:t>
      </w:r>
    </w:p>
    <w:p>
      <w:pPr>
        <w:spacing w:line="360" w:lineRule="auto"/>
        <w:ind w:firstLine="420" w:firstLineChars="200"/>
        <w:rPr>
          <w:rFonts w:hAnsi="宋体"/>
          <w:szCs w:val="21"/>
        </w:rPr>
      </w:pPr>
      <w:r>
        <w:rPr>
          <w:rFonts w:hint="eastAsia" w:hAnsi="宋体"/>
          <w:szCs w:val="21"/>
        </w:rPr>
        <w:t>24.2磋商小组由采购人依法组建，磋商由磋商小组负责。磋商小组由采购人代表和评审专家共3人以上单数组成，其中评审专家人数不得少于磋商小组成员总数的2/3。磋商小组应当推选组长，但采购人代表不得担任组长。</w:t>
      </w:r>
    </w:p>
    <w:p>
      <w:pPr>
        <w:spacing w:line="360" w:lineRule="auto"/>
        <w:ind w:firstLine="420" w:firstLineChars="200"/>
        <w:rPr>
          <w:rFonts w:hAnsi="宋体"/>
          <w:szCs w:val="21"/>
        </w:rPr>
      </w:pPr>
      <w:r>
        <w:rPr>
          <w:rFonts w:hint="eastAsia" w:hAnsi="宋体"/>
          <w:szCs w:val="21"/>
        </w:rPr>
        <w:t>24.3磋商小组成员人数及名单在磋商结束之前保密。</w:t>
      </w:r>
    </w:p>
    <w:p>
      <w:pPr>
        <w:spacing w:line="360" w:lineRule="auto"/>
        <w:ind w:firstLine="420" w:firstLineChars="200"/>
        <w:rPr>
          <w:rFonts w:hAnsi="宋体"/>
          <w:szCs w:val="21"/>
        </w:rPr>
      </w:pPr>
      <w:r>
        <w:rPr>
          <w:rFonts w:hint="eastAsia" w:hAnsi="宋体"/>
          <w:szCs w:val="21"/>
        </w:rPr>
        <w:t>24.4采购人委派代表参加磋商会议的，要向采购代理机构出具授权函。除授权代表外，采购人可以委派纪检监察等相关人员进入磋商现场，对磋商工作实施监督，但不得超过2人。</w:t>
      </w:r>
    </w:p>
    <w:p>
      <w:pPr>
        <w:spacing w:line="360" w:lineRule="auto"/>
        <w:ind w:firstLine="420" w:firstLineChars="200"/>
        <w:rPr>
          <w:rFonts w:hAnsi="宋体"/>
          <w:szCs w:val="21"/>
        </w:rPr>
      </w:pPr>
      <w:r>
        <w:rPr>
          <w:rFonts w:hint="eastAsia" w:hAnsi="宋体"/>
          <w:szCs w:val="21"/>
        </w:rPr>
        <w:t>24.5评审方法：综合评分法，是指响应文件满足磋商文件全部实质性要求且按评审因素的量化指标评审得分最高的供应商为成交候选供应商的评审方法。</w:t>
      </w:r>
    </w:p>
    <w:p>
      <w:pPr>
        <w:spacing w:line="360" w:lineRule="auto"/>
        <w:ind w:firstLine="420" w:firstLineChars="200"/>
        <w:rPr>
          <w:rFonts w:hAnsi="宋体"/>
          <w:szCs w:val="21"/>
        </w:rPr>
      </w:pPr>
      <w:r>
        <w:rPr>
          <w:rFonts w:hint="eastAsia" w:hAnsi="宋体"/>
          <w:szCs w:val="21"/>
        </w:rPr>
        <w:t>24.6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firstLineChars="200"/>
        <w:rPr>
          <w:rFonts w:hAnsi="宋体"/>
          <w:szCs w:val="21"/>
        </w:rPr>
      </w:pPr>
      <w:r>
        <w:rPr>
          <w:rFonts w:hint="eastAsia" w:hAnsi="宋体"/>
          <w:szCs w:val="21"/>
        </w:rPr>
        <w:t>24.7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pPr>
        <w:spacing w:line="360" w:lineRule="auto"/>
        <w:ind w:firstLine="420" w:firstLineChars="200"/>
        <w:rPr>
          <w:rFonts w:hAnsi="宋体"/>
          <w:szCs w:val="21"/>
        </w:rPr>
      </w:pPr>
      <w:r>
        <w:rPr>
          <w:rFonts w:hint="eastAsia" w:hAnsi="宋体"/>
          <w:szCs w:val="21"/>
        </w:rPr>
        <w:t>24.8在磋商中，磋商的任何一方不得透露与磋商有关的其他供应商的技术资料、价格和其他信息。评审结束后，至确定成交供应商与采购人签订合同后止，凡与审查、澄清、评价、比较、推荐成交候选供应商意见有关的内容，任何人均不得向供应商及与磋商无关的其他人透露。</w:t>
      </w:r>
    </w:p>
    <w:p>
      <w:pPr>
        <w:spacing w:line="360" w:lineRule="auto"/>
        <w:ind w:firstLine="420" w:firstLineChars="200"/>
        <w:rPr>
          <w:rFonts w:hAnsi="宋体"/>
          <w:szCs w:val="21"/>
        </w:rPr>
      </w:pPr>
      <w:r>
        <w:rPr>
          <w:rFonts w:hint="eastAsia" w:hAnsi="宋体"/>
          <w:szCs w:val="21"/>
        </w:rPr>
        <w:t>24.9从响应文件提交截止日起到确定成交供应商之日止，供应商不得与参加磋商的有关人员私下接触。在磋商过程中，如果供应商试图在响应文件审查、澄清、比较及推荐方面向参与磋商的有关人员施加任何影响，其响应文件按无效响应处理。</w:t>
      </w:r>
    </w:p>
    <w:p>
      <w:pPr>
        <w:spacing w:line="360" w:lineRule="auto"/>
        <w:ind w:firstLine="420" w:firstLineChars="200"/>
        <w:rPr>
          <w:rFonts w:hAnsi="宋体"/>
          <w:szCs w:val="21"/>
        </w:rPr>
      </w:pPr>
      <w:r>
        <w:rPr>
          <w:rFonts w:hint="eastAsia" w:hAnsi="宋体"/>
          <w:szCs w:val="21"/>
        </w:rPr>
        <w:t>24.10磋商小组根据竞争性磋商文件规定的磋商程序和方法对各供应商的响应文件进行综合评分，按照评审得分由高到低顺序推荐3名以上成交候选供应商；评审得分相同的，按照最后报价（符合中小企业划分标准或残疾人福利性单位产品的用扣除后的价格参与评审）由低到高的顺序推荐。评审得分且最后报价相同的，按照技术指标优劣顺序推荐。</w:t>
      </w:r>
    </w:p>
    <w:p>
      <w:pPr>
        <w:spacing w:line="360" w:lineRule="auto"/>
        <w:ind w:firstLine="420" w:firstLineChars="200"/>
        <w:rPr>
          <w:rFonts w:hAnsi="宋体"/>
          <w:szCs w:val="21"/>
        </w:rPr>
      </w:pPr>
      <w:r>
        <w:rPr>
          <w:rFonts w:hint="eastAsia" w:hAnsi="宋体"/>
          <w:szCs w:val="21"/>
        </w:rPr>
        <w:t>24.</w:t>
      </w:r>
      <w:bookmarkStart w:id="134" w:name="_Toc86124068"/>
      <w:bookmarkStart w:id="135" w:name="_Toc329810208"/>
      <w:bookmarkStart w:id="136" w:name="_Toc378499713"/>
      <w:bookmarkStart w:id="137" w:name="_Toc383175073"/>
      <w:bookmarkStart w:id="138" w:name="_Toc383175297"/>
      <w:bookmarkStart w:id="139" w:name="_Toc383175495"/>
      <w:bookmarkStart w:id="140" w:name="_Toc432106496"/>
      <w:bookmarkStart w:id="141" w:name="_Toc432194847"/>
      <w:bookmarkStart w:id="142" w:name="_Toc470507061"/>
      <w:bookmarkStart w:id="143" w:name="_Toc482343747"/>
      <w:r>
        <w:rPr>
          <w:rFonts w:hint="eastAsia" w:hAnsi="宋体"/>
          <w:szCs w:val="21"/>
        </w:rPr>
        <w:t>11磋商小组发现磋商文件存在歧义、重大缺陷导致评审工作无法进行，或者磋商文件内容违反国家有关规定的，要停止评审工作并向采购人或采购代理机构书面说明情况，采购人或采购代理机构应当修改磋商文件后重新组织采购活动；发现供应商提供虚假材料、串通等违法违规行为的，要及时向采购人或采购代理机构报告。</w:t>
      </w:r>
      <w:bookmarkEnd w:id="134"/>
      <w:bookmarkEnd w:id="135"/>
      <w:bookmarkEnd w:id="136"/>
      <w:bookmarkEnd w:id="137"/>
      <w:bookmarkEnd w:id="138"/>
      <w:bookmarkEnd w:id="139"/>
      <w:bookmarkEnd w:id="140"/>
      <w:bookmarkEnd w:id="141"/>
      <w:bookmarkEnd w:id="142"/>
      <w:bookmarkEnd w:id="143"/>
    </w:p>
    <w:p>
      <w:pPr>
        <w:spacing w:line="360" w:lineRule="auto"/>
        <w:ind w:firstLine="420" w:firstLineChars="200"/>
        <w:rPr>
          <w:rFonts w:hAnsi="宋体"/>
          <w:szCs w:val="21"/>
        </w:rPr>
      </w:pPr>
      <w:r>
        <w:rPr>
          <w:rFonts w:hint="eastAsia" w:hAnsi="宋体"/>
          <w:szCs w:val="21"/>
        </w:rPr>
        <w:t>24.12出现下列情形之一的，将终止竞争性磋商采购活动，并发布项目终止公告并说明原因，重新开展采购活动：</w:t>
      </w:r>
    </w:p>
    <w:p>
      <w:pPr>
        <w:spacing w:line="360" w:lineRule="auto"/>
        <w:ind w:firstLine="420" w:firstLineChars="200"/>
        <w:rPr>
          <w:rFonts w:hAnsi="宋体"/>
          <w:szCs w:val="21"/>
        </w:rPr>
      </w:pPr>
      <w:r>
        <w:rPr>
          <w:rFonts w:hint="eastAsia" w:hAnsi="宋体"/>
          <w:szCs w:val="21"/>
        </w:rPr>
        <w:t>（1）因情况变化，不再符合规定的竞争性磋商采购方式适用情形的；</w:t>
      </w:r>
    </w:p>
    <w:p>
      <w:pPr>
        <w:spacing w:line="360" w:lineRule="auto"/>
        <w:ind w:firstLine="420" w:firstLineChars="200"/>
        <w:rPr>
          <w:rFonts w:hAnsi="宋体"/>
          <w:szCs w:val="21"/>
        </w:rPr>
      </w:pPr>
      <w:r>
        <w:rPr>
          <w:rFonts w:hint="eastAsia" w:hAnsi="宋体"/>
          <w:szCs w:val="21"/>
        </w:rPr>
        <w:t>（2）出现影响采购公正的违法、违规行为的；</w:t>
      </w:r>
    </w:p>
    <w:p>
      <w:pPr>
        <w:spacing w:line="360" w:lineRule="auto"/>
        <w:ind w:firstLine="420" w:firstLineChars="200"/>
        <w:rPr>
          <w:rFonts w:hAnsi="宋体"/>
          <w:szCs w:val="21"/>
        </w:rPr>
      </w:pPr>
      <w:r>
        <w:rPr>
          <w:rFonts w:hint="eastAsia" w:hAnsi="宋体"/>
          <w:szCs w:val="21"/>
        </w:rPr>
        <w:t>（3）在采购过程中符合要求的供应商或者报价未超过采购预算的供应商不足3家的。</w:t>
      </w:r>
    </w:p>
    <w:p>
      <w:pPr>
        <w:pStyle w:val="4"/>
        <w:keepLines w:val="0"/>
        <w:spacing w:before="240" w:after="240" w:line="360" w:lineRule="auto"/>
        <w:jc w:val="center"/>
        <w:rPr>
          <w:rFonts w:hint="default" w:hAnsi="黑体"/>
          <w:b/>
          <w:kern w:val="0"/>
          <w:szCs w:val="32"/>
        </w:rPr>
      </w:pPr>
      <w:bookmarkStart w:id="144" w:name="_Toc72489555"/>
      <w:r>
        <w:rPr>
          <w:rFonts w:hAnsi="黑体"/>
          <w:b/>
          <w:kern w:val="0"/>
          <w:szCs w:val="32"/>
        </w:rPr>
        <w:t>六、成交结果</w:t>
      </w:r>
      <w:bookmarkEnd w:id="144"/>
    </w:p>
    <w:p>
      <w:pPr>
        <w:pStyle w:val="110"/>
        <w:keepLines w:val="0"/>
        <w:widowControl/>
        <w:spacing w:line="360" w:lineRule="auto"/>
        <w:rPr>
          <w:rFonts w:ascii="黑体" w:hAnsi="黑体"/>
          <w:b/>
          <w:bCs/>
        </w:rPr>
      </w:pPr>
      <w:bookmarkStart w:id="145" w:name="_Toc46924566"/>
      <w:bookmarkStart w:id="146" w:name="_Toc72489556"/>
      <w:r>
        <w:rPr>
          <w:rFonts w:hint="eastAsia" w:ascii="黑体" w:hAnsi="黑体"/>
          <w:b/>
          <w:bCs/>
        </w:rPr>
        <w:t>25、成交供应商的确定</w:t>
      </w:r>
      <w:bookmarkEnd w:id="145"/>
      <w:bookmarkEnd w:id="146"/>
    </w:p>
    <w:p>
      <w:pPr>
        <w:spacing w:line="360" w:lineRule="auto"/>
        <w:ind w:firstLine="420" w:firstLineChars="200"/>
        <w:rPr>
          <w:rFonts w:hAnsi="宋体"/>
          <w:szCs w:val="21"/>
        </w:rPr>
      </w:pPr>
      <w:r>
        <w:rPr>
          <w:rFonts w:hint="eastAsia" w:hAnsi="宋体"/>
          <w:szCs w:val="21"/>
        </w:rPr>
        <w:t>25.1采购代理机构在评审结束后</w:t>
      </w:r>
      <w:r>
        <w:rPr>
          <w:rFonts w:hAnsi="宋体"/>
          <w:szCs w:val="21"/>
        </w:rPr>
        <w:t>2</w:t>
      </w:r>
      <w:r>
        <w:rPr>
          <w:rFonts w:hint="eastAsia" w:hAnsi="宋体"/>
          <w:szCs w:val="21"/>
        </w:rPr>
        <w:t>个工作日内将评审报告送采购人确认。</w:t>
      </w:r>
    </w:p>
    <w:p>
      <w:pPr>
        <w:spacing w:line="360" w:lineRule="auto"/>
        <w:ind w:firstLine="420" w:firstLineChars="200"/>
        <w:rPr>
          <w:rFonts w:hAnsi="宋体"/>
          <w:szCs w:val="21"/>
        </w:rPr>
      </w:pPr>
      <w:r>
        <w:rPr>
          <w:rFonts w:hint="eastAsia" w:hAnsi="宋体"/>
          <w:szCs w:val="21"/>
        </w:rPr>
        <w:t>25</w:t>
      </w:r>
      <w:r>
        <w:rPr>
          <w:rFonts w:hAnsi="宋体"/>
          <w:szCs w:val="21"/>
        </w:rPr>
        <w:t>.2</w:t>
      </w:r>
      <w:r>
        <w:rPr>
          <w:rFonts w:hint="eastAsia" w:hAnsi="宋体"/>
          <w:szCs w:val="21"/>
        </w:rPr>
        <w:t>采购人应当在收到评审报告后</w:t>
      </w:r>
      <w:r>
        <w:rPr>
          <w:rFonts w:hAnsi="宋体"/>
          <w:szCs w:val="21"/>
        </w:rPr>
        <w:t>5</w:t>
      </w:r>
      <w:r>
        <w:rPr>
          <w:rFonts w:hint="eastAsia" w:hAnsi="宋体"/>
          <w:szCs w:val="21"/>
        </w:rPr>
        <w:t>个工作日内，从评审报告提出的成交候选供应商中，按照排序由高到低的原则确定成交供应商。本次竞争性磋商不保证授予最低报价的供应商为成交供应商。</w:t>
      </w:r>
    </w:p>
    <w:p>
      <w:pPr>
        <w:spacing w:line="360" w:lineRule="auto"/>
        <w:ind w:firstLine="420" w:firstLineChars="200"/>
        <w:rPr>
          <w:rFonts w:hAnsi="宋体"/>
          <w:szCs w:val="21"/>
        </w:rPr>
      </w:pPr>
      <w:r>
        <w:rPr>
          <w:rFonts w:hint="eastAsia" w:hAnsi="宋体"/>
          <w:szCs w:val="21"/>
        </w:rPr>
        <w:t>25.3采购代理机构无义务向未成交供应商解释未成交原因和退回响应文件。</w:t>
      </w:r>
    </w:p>
    <w:p>
      <w:pPr>
        <w:pStyle w:val="110"/>
        <w:keepLines w:val="0"/>
        <w:widowControl/>
        <w:spacing w:line="360" w:lineRule="auto"/>
        <w:rPr>
          <w:rFonts w:ascii="黑体" w:hAnsi="黑体"/>
          <w:b/>
          <w:bCs/>
        </w:rPr>
      </w:pPr>
      <w:bookmarkStart w:id="147" w:name="_Toc497127308"/>
      <w:bookmarkStart w:id="148" w:name="_Toc112595555"/>
      <w:bookmarkStart w:id="149" w:name="_Toc320890573"/>
      <w:bookmarkStart w:id="150" w:name="_Toc46924567"/>
      <w:bookmarkStart w:id="151" w:name="_Toc72489557"/>
      <w:r>
        <w:rPr>
          <w:rFonts w:hint="eastAsia" w:ascii="黑体" w:hAnsi="黑体"/>
          <w:b/>
          <w:bCs/>
        </w:rPr>
        <w:t>26、</w:t>
      </w:r>
      <w:bookmarkEnd w:id="147"/>
      <w:bookmarkEnd w:id="148"/>
      <w:bookmarkEnd w:id="149"/>
      <w:r>
        <w:rPr>
          <w:rFonts w:hint="eastAsia" w:ascii="黑体" w:hAnsi="黑体"/>
          <w:b/>
          <w:bCs/>
        </w:rPr>
        <w:t>成交通知书</w:t>
      </w:r>
      <w:bookmarkEnd w:id="150"/>
      <w:bookmarkEnd w:id="151"/>
    </w:p>
    <w:p>
      <w:pPr>
        <w:spacing w:line="360" w:lineRule="auto"/>
        <w:ind w:firstLine="420" w:firstLineChars="200"/>
        <w:rPr>
          <w:rFonts w:hAnsi="宋体"/>
          <w:szCs w:val="21"/>
        </w:rPr>
      </w:pPr>
      <w:r>
        <w:rPr>
          <w:rFonts w:hint="eastAsia" w:hAnsi="宋体"/>
          <w:szCs w:val="21"/>
        </w:rPr>
        <w:t>26</w:t>
      </w:r>
      <w:r>
        <w:rPr>
          <w:rFonts w:hAnsi="宋体"/>
          <w:szCs w:val="21"/>
        </w:rPr>
        <w:t>.1</w:t>
      </w:r>
      <w:r>
        <w:rPr>
          <w:rFonts w:hint="eastAsia" w:hAnsi="宋体"/>
          <w:szCs w:val="21"/>
        </w:rPr>
        <w:t>成交供应商确定后2个工作日内，采购代理机构将在云南省政府采购网上公告成交结果，同时向成交供应商发出成交通知书。成交公告期限为1个工作日。</w:t>
      </w:r>
    </w:p>
    <w:p>
      <w:pPr>
        <w:spacing w:line="360" w:lineRule="auto"/>
        <w:ind w:firstLine="420" w:firstLineChars="200"/>
        <w:rPr>
          <w:rFonts w:hAnsi="宋体"/>
          <w:szCs w:val="21"/>
        </w:rPr>
      </w:pPr>
      <w:r>
        <w:rPr>
          <w:rFonts w:hint="eastAsia" w:hAnsi="宋体"/>
          <w:szCs w:val="21"/>
        </w:rPr>
        <w:t>26</w:t>
      </w:r>
      <w:r>
        <w:rPr>
          <w:rFonts w:hAnsi="宋体"/>
          <w:szCs w:val="21"/>
        </w:rPr>
        <w:t>.2</w:t>
      </w:r>
      <w:r>
        <w:rPr>
          <w:rFonts w:hint="eastAsia" w:hAnsi="宋体"/>
          <w:szCs w:val="21"/>
        </w:rPr>
        <w:t>成交通知书是合同的一个组成部分。</w:t>
      </w:r>
    </w:p>
    <w:p>
      <w:pPr>
        <w:pStyle w:val="110"/>
        <w:keepLines w:val="0"/>
        <w:widowControl/>
        <w:spacing w:line="360" w:lineRule="auto"/>
        <w:rPr>
          <w:rFonts w:ascii="黑体" w:hAnsi="黑体"/>
          <w:b/>
          <w:bCs/>
        </w:rPr>
      </w:pPr>
      <w:bookmarkStart w:id="152" w:name="_Toc46924568"/>
      <w:bookmarkStart w:id="153" w:name="_Toc72489558"/>
      <w:r>
        <w:rPr>
          <w:rFonts w:hint="eastAsia" w:ascii="黑体" w:hAnsi="黑体"/>
          <w:b/>
          <w:bCs/>
        </w:rPr>
        <w:t>27、签订合同</w:t>
      </w:r>
      <w:bookmarkEnd w:id="152"/>
      <w:bookmarkEnd w:id="153"/>
    </w:p>
    <w:p>
      <w:pPr>
        <w:spacing w:line="360" w:lineRule="auto"/>
        <w:ind w:firstLine="420" w:firstLineChars="200"/>
        <w:rPr>
          <w:rFonts w:hAnsi="宋体"/>
          <w:szCs w:val="21"/>
        </w:rPr>
      </w:pPr>
      <w:r>
        <w:rPr>
          <w:rFonts w:hint="eastAsia" w:hAnsi="宋体"/>
          <w:szCs w:val="21"/>
        </w:rPr>
        <w:t>27</w:t>
      </w:r>
      <w:r>
        <w:rPr>
          <w:rFonts w:hAnsi="宋体"/>
          <w:szCs w:val="21"/>
        </w:rPr>
        <w:t>.</w:t>
      </w:r>
      <w:r>
        <w:rPr>
          <w:rFonts w:hint="eastAsia" w:hAnsi="宋体"/>
          <w:szCs w:val="21"/>
        </w:rPr>
        <w:t>1采购人与成交供应商应当在成交通知书发出之日起30日内，按照磋商文件确定的合同文本以及采购标的、规格型号、采购金额、采购数量、技术和服务要求等事项签订政府采购合同。</w:t>
      </w:r>
    </w:p>
    <w:p>
      <w:pPr>
        <w:spacing w:line="360" w:lineRule="auto"/>
        <w:ind w:firstLine="420" w:firstLineChars="200"/>
        <w:rPr>
          <w:rFonts w:hAnsi="宋体"/>
          <w:szCs w:val="21"/>
        </w:rPr>
      </w:pPr>
      <w:r>
        <w:rPr>
          <w:rFonts w:hint="eastAsia" w:hAnsi="宋体"/>
          <w:szCs w:val="21"/>
        </w:rPr>
        <w:t>27.2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pPr>
        <w:spacing w:line="360" w:lineRule="auto"/>
        <w:ind w:firstLine="420" w:firstLineChars="200"/>
        <w:rPr>
          <w:rFonts w:hAnsi="宋体"/>
          <w:szCs w:val="21"/>
        </w:rPr>
      </w:pPr>
      <w:r>
        <w:rPr>
          <w:rFonts w:hint="eastAsia" w:hAnsi="宋体"/>
          <w:szCs w:val="21"/>
        </w:rPr>
        <w:t>27.3除采购人与成交供应商在合同中另行商定将中标项目的非主体、非关键性工作分包的，成交供应商在中标后将中标项目分包的，采购人取消其中标资格，其磋商保证金不予退还；给采购人造成的损失超过磋商保证金数额的，成交供应商还应当对超过部分予以赔偿。</w:t>
      </w:r>
    </w:p>
    <w:p>
      <w:pPr>
        <w:spacing w:line="360" w:lineRule="auto"/>
        <w:ind w:firstLine="420" w:firstLineChars="200"/>
        <w:rPr>
          <w:rFonts w:hAnsi="宋体"/>
          <w:szCs w:val="21"/>
        </w:rPr>
      </w:pPr>
      <w:r>
        <w:rPr>
          <w:rFonts w:hint="eastAsia" w:hAnsi="宋体"/>
          <w:szCs w:val="21"/>
        </w:rPr>
        <w:t>27.4政府采购合同履行中，采购人需追加与合同标的相同的货物、工程或者服务的，在不改变合同其他条款的前提下，可以与成交供应商协商签订补充合同，但所有补充合同的采购金额不得超过原合同采购金额的1</w:t>
      </w:r>
      <w:r>
        <w:rPr>
          <w:rFonts w:hAnsi="宋体"/>
          <w:szCs w:val="21"/>
        </w:rPr>
        <w:t>0</w:t>
      </w:r>
      <w:r>
        <w:rPr>
          <w:rFonts w:hint="eastAsia" w:hAnsi="宋体"/>
          <w:szCs w:val="21"/>
        </w:rPr>
        <w:t>%。</w:t>
      </w:r>
    </w:p>
    <w:p>
      <w:pPr>
        <w:spacing w:line="360" w:lineRule="auto"/>
        <w:ind w:firstLine="420" w:firstLineChars="200"/>
        <w:rPr>
          <w:rFonts w:hAnsi="宋体"/>
          <w:szCs w:val="21"/>
        </w:rPr>
      </w:pPr>
      <w:r>
        <w:rPr>
          <w:rFonts w:hint="eastAsia" w:hAnsi="宋体"/>
          <w:szCs w:val="21"/>
        </w:rPr>
        <w:t>27.5除不可抗力等因素外，成交通知书发出后，采购人改变成交结果，或者成交供应商拒绝签订政府采购合同的，应当承担相应的法律责任。</w:t>
      </w:r>
    </w:p>
    <w:p>
      <w:pPr>
        <w:spacing w:line="360" w:lineRule="auto"/>
        <w:ind w:firstLine="420" w:firstLineChars="200"/>
        <w:rPr>
          <w:rFonts w:hAnsi="宋体"/>
          <w:szCs w:val="21"/>
        </w:rPr>
      </w:pPr>
      <w:r>
        <w:rPr>
          <w:rFonts w:hint="eastAsia" w:hAnsi="宋体"/>
          <w:szCs w:val="21"/>
        </w:rPr>
        <w:t>27.6成交供应商拒绝签订政府采购合同的，采购人可以按照《政府采购竞争性磋商采购方式管理暂行办法》规定的原则确定其他供应商作为成交供应商并签订政府采购合同，也可以重新开展采购活动。拒绝签订政府采购合同的成交供应商不得参加对该项目重新开展的采购活动。</w:t>
      </w:r>
    </w:p>
    <w:p>
      <w:pPr>
        <w:pStyle w:val="110"/>
        <w:keepLines w:val="0"/>
        <w:widowControl/>
        <w:spacing w:line="360" w:lineRule="auto"/>
        <w:rPr>
          <w:rFonts w:ascii="黑体" w:hAnsi="黑体"/>
          <w:b/>
          <w:bCs/>
        </w:rPr>
      </w:pPr>
      <w:bookmarkStart w:id="154" w:name="_Toc152042345"/>
      <w:bookmarkStart w:id="155" w:name="_Toc152045569"/>
      <w:bookmarkStart w:id="156" w:name="_Toc179632587"/>
      <w:bookmarkStart w:id="157" w:name="_Toc246996213"/>
      <w:bookmarkStart w:id="158" w:name="_Toc246996956"/>
      <w:bookmarkStart w:id="159" w:name="_Toc247085727"/>
      <w:bookmarkStart w:id="160" w:name="_Toc296602459"/>
      <w:bookmarkStart w:id="161" w:name="_Toc144974537"/>
      <w:bookmarkStart w:id="162" w:name="_Toc461115644"/>
      <w:bookmarkStart w:id="163" w:name="_Toc488184244"/>
      <w:bookmarkStart w:id="164" w:name="_Toc46924569"/>
      <w:bookmarkStart w:id="165" w:name="_Toc72489559"/>
      <w:r>
        <w:rPr>
          <w:rFonts w:hint="eastAsia" w:ascii="黑体" w:hAnsi="黑体"/>
          <w:b/>
          <w:bCs/>
        </w:rPr>
        <w:t>28</w:t>
      </w:r>
      <w:r>
        <w:rPr>
          <w:rFonts w:ascii="黑体" w:hAnsi="黑体"/>
          <w:b/>
          <w:bCs/>
        </w:rPr>
        <w:t>、</w:t>
      </w:r>
      <w:bookmarkEnd w:id="154"/>
      <w:bookmarkEnd w:id="155"/>
      <w:bookmarkEnd w:id="156"/>
      <w:bookmarkEnd w:id="157"/>
      <w:bookmarkEnd w:id="158"/>
      <w:bookmarkEnd w:id="159"/>
      <w:bookmarkEnd w:id="160"/>
      <w:bookmarkEnd w:id="161"/>
      <w:bookmarkEnd w:id="162"/>
      <w:bookmarkEnd w:id="163"/>
      <w:bookmarkStart w:id="166" w:name="_Toc482343752"/>
      <w:r>
        <w:rPr>
          <w:rFonts w:hint="eastAsia" w:ascii="黑体" w:hAnsi="黑体"/>
          <w:b/>
          <w:bCs/>
        </w:rPr>
        <w:t>履约保证金</w:t>
      </w:r>
      <w:bookmarkEnd w:id="164"/>
      <w:bookmarkEnd w:id="165"/>
      <w:bookmarkEnd w:id="166"/>
    </w:p>
    <w:p>
      <w:pPr>
        <w:spacing w:line="360" w:lineRule="auto"/>
        <w:ind w:firstLine="420" w:firstLineChars="200"/>
        <w:rPr>
          <w:rFonts w:hAnsi="宋体"/>
          <w:szCs w:val="21"/>
        </w:rPr>
      </w:pPr>
      <w:r>
        <w:rPr>
          <w:rFonts w:hint="eastAsia" w:hAnsi="宋体"/>
          <w:szCs w:val="21"/>
        </w:rPr>
        <w:t>28</w:t>
      </w:r>
      <w:r>
        <w:rPr>
          <w:rFonts w:hAnsi="宋体"/>
          <w:szCs w:val="21"/>
        </w:rPr>
        <w:t>.1</w:t>
      </w:r>
      <w:r>
        <w:rPr>
          <w:rFonts w:hint="eastAsia" w:hAnsi="宋体"/>
          <w:szCs w:val="21"/>
        </w:rPr>
        <w:t>在签订政府采购合同前，成交供应商应向采购人提交履约保证金，履约保证金递交的金额及形式详见《供应商须知前附表》</w:t>
      </w:r>
      <w:r>
        <w:rPr>
          <w:rFonts w:hAnsi="宋体"/>
          <w:szCs w:val="21"/>
        </w:rPr>
        <w:t>。</w:t>
      </w:r>
    </w:p>
    <w:p>
      <w:pPr>
        <w:spacing w:line="360" w:lineRule="auto"/>
        <w:ind w:firstLine="420" w:firstLineChars="200"/>
        <w:rPr>
          <w:rFonts w:hAnsi="宋体"/>
          <w:szCs w:val="21"/>
        </w:rPr>
      </w:pPr>
      <w:r>
        <w:rPr>
          <w:rFonts w:hint="eastAsia" w:hAnsi="宋体"/>
          <w:szCs w:val="21"/>
        </w:rPr>
        <w:t>28</w:t>
      </w:r>
      <w:r>
        <w:rPr>
          <w:rFonts w:hAnsi="宋体"/>
          <w:szCs w:val="21"/>
        </w:rPr>
        <w:t>.2签订合同后，除因不可抗力或磋商文件认可的情形以外，成交</w:t>
      </w:r>
      <w:r>
        <w:rPr>
          <w:rFonts w:hint="eastAsia" w:hAnsi="宋体"/>
          <w:szCs w:val="21"/>
        </w:rPr>
        <w:t>供应商</w:t>
      </w:r>
      <w:r>
        <w:rPr>
          <w:rFonts w:hAnsi="宋体"/>
          <w:szCs w:val="21"/>
        </w:rPr>
        <w:t>不与</w:t>
      </w:r>
      <w:r>
        <w:rPr>
          <w:rFonts w:hint="eastAsia" w:hAnsi="宋体"/>
          <w:szCs w:val="21"/>
        </w:rPr>
        <w:t>采购人</w:t>
      </w:r>
      <w:r>
        <w:rPr>
          <w:rFonts w:hAnsi="宋体"/>
          <w:szCs w:val="21"/>
        </w:rPr>
        <w:t>签订合同的，</w:t>
      </w:r>
      <w:r>
        <w:rPr>
          <w:rFonts w:hint="eastAsia" w:hAnsi="宋体"/>
          <w:szCs w:val="21"/>
        </w:rPr>
        <w:t>视为自动放弃，采购人将</w:t>
      </w:r>
      <w:r>
        <w:rPr>
          <w:rFonts w:hAnsi="宋体"/>
          <w:szCs w:val="21"/>
        </w:rPr>
        <w:t>没收其全部履约保证金，履约保证金不足以赔偿损失的，按实际损失赔偿。</w:t>
      </w:r>
    </w:p>
    <w:p>
      <w:pPr>
        <w:pStyle w:val="110"/>
        <w:keepLines w:val="0"/>
        <w:widowControl/>
        <w:spacing w:line="360" w:lineRule="auto"/>
        <w:rPr>
          <w:rFonts w:ascii="黑体" w:hAnsi="黑体"/>
          <w:b/>
          <w:bCs/>
        </w:rPr>
      </w:pPr>
      <w:bookmarkStart w:id="167" w:name="_Toc72489560"/>
      <w:bookmarkStart w:id="168" w:name="_Toc46924570"/>
      <w:r>
        <w:rPr>
          <w:rFonts w:hint="eastAsia" w:ascii="黑体" w:hAnsi="黑体"/>
          <w:b/>
          <w:bCs/>
        </w:rPr>
        <w:t>29、采购代理服务费</w:t>
      </w:r>
      <w:bookmarkEnd w:id="167"/>
      <w:bookmarkEnd w:id="168"/>
    </w:p>
    <w:p>
      <w:pPr>
        <w:spacing w:line="360" w:lineRule="auto"/>
        <w:ind w:firstLine="420" w:firstLineChars="200"/>
        <w:rPr>
          <w:rFonts w:hAnsi="宋体"/>
          <w:szCs w:val="21"/>
        </w:rPr>
      </w:pPr>
      <w:r>
        <w:rPr>
          <w:rFonts w:hint="eastAsia" w:hAnsi="宋体"/>
          <w:szCs w:val="21"/>
        </w:rPr>
        <w:t>29.1采购代理服务费按国家计委关于《招标代理服务收费管理暂行办法》（计价格【2002】1980号文）的规定，以成交金额为计算基数按“服务招标”收取采购代理服务费；采购代理服务费及其它相关费用在发放成交通知书前由成交单位一次性缴清给本项目的采购代理机构。</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5"/>
        <w:gridCol w:w="2100"/>
        <w:gridCol w:w="2100"/>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5" w:type="dxa"/>
            <w:vMerge w:val="restart"/>
            <w:vAlign w:val="center"/>
          </w:tcPr>
          <w:p>
            <w:pPr>
              <w:spacing w:line="360" w:lineRule="exact"/>
              <w:jc w:val="center"/>
              <w:rPr>
                <w:rFonts w:hAnsi="宋体"/>
                <w:kern w:val="0"/>
                <w:szCs w:val="21"/>
              </w:rPr>
            </w:pPr>
            <w:r>
              <w:rPr>
                <w:rFonts w:hint="eastAsia" w:hAnsi="宋体"/>
                <w:kern w:val="0"/>
                <w:szCs w:val="21"/>
              </w:rPr>
              <w:t>中标金额</w:t>
            </w:r>
          </w:p>
          <w:p>
            <w:pPr>
              <w:spacing w:line="360" w:lineRule="exact"/>
              <w:jc w:val="center"/>
              <w:rPr>
                <w:rFonts w:hAnsi="宋体"/>
                <w:kern w:val="0"/>
                <w:szCs w:val="21"/>
              </w:rPr>
            </w:pPr>
            <w:r>
              <w:rPr>
                <w:rFonts w:hint="eastAsia" w:hAnsi="宋体"/>
                <w:kern w:val="0"/>
                <w:szCs w:val="21"/>
              </w:rPr>
              <w:t>（万元）</w:t>
            </w:r>
          </w:p>
        </w:tc>
        <w:tc>
          <w:tcPr>
            <w:tcW w:w="6615" w:type="dxa"/>
            <w:gridSpan w:val="3"/>
            <w:vAlign w:val="center"/>
          </w:tcPr>
          <w:p>
            <w:pPr>
              <w:spacing w:line="360" w:lineRule="exact"/>
              <w:jc w:val="center"/>
              <w:rPr>
                <w:rFonts w:hAnsi="宋体"/>
                <w:kern w:val="0"/>
                <w:szCs w:val="21"/>
              </w:rPr>
            </w:pPr>
            <w:r>
              <w:rPr>
                <w:rFonts w:hint="eastAsia" w:hAnsi="宋体"/>
                <w:kern w:val="0"/>
                <w:szCs w:val="21"/>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5" w:type="dxa"/>
            <w:vMerge w:val="continue"/>
            <w:shd w:val="clear" w:color="auto" w:fill="auto"/>
            <w:vAlign w:val="center"/>
          </w:tcPr>
          <w:p>
            <w:pPr>
              <w:spacing w:line="360" w:lineRule="exact"/>
              <w:jc w:val="center"/>
              <w:rPr>
                <w:rFonts w:hAnsi="宋体"/>
                <w:kern w:val="0"/>
                <w:szCs w:val="21"/>
              </w:rPr>
            </w:pPr>
          </w:p>
        </w:tc>
        <w:tc>
          <w:tcPr>
            <w:tcW w:w="2100" w:type="dxa"/>
            <w:shd w:val="clear" w:color="auto" w:fill="FFFFFF"/>
            <w:vAlign w:val="center"/>
          </w:tcPr>
          <w:p>
            <w:pPr>
              <w:spacing w:line="360" w:lineRule="exact"/>
              <w:jc w:val="center"/>
              <w:rPr>
                <w:rFonts w:hAnsi="宋体"/>
                <w:kern w:val="0"/>
                <w:szCs w:val="21"/>
              </w:rPr>
            </w:pPr>
            <w:r>
              <w:rPr>
                <w:rFonts w:hint="eastAsia" w:hAnsi="宋体"/>
                <w:kern w:val="0"/>
                <w:szCs w:val="21"/>
              </w:rPr>
              <w:t>货物</w:t>
            </w:r>
          </w:p>
        </w:tc>
        <w:tc>
          <w:tcPr>
            <w:tcW w:w="2100" w:type="dxa"/>
            <w:vAlign w:val="center"/>
          </w:tcPr>
          <w:p>
            <w:pPr>
              <w:spacing w:line="360" w:lineRule="exact"/>
              <w:jc w:val="center"/>
              <w:rPr>
                <w:rFonts w:hAnsi="宋体"/>
                <w:kern w:val="0"/>
                <w:szCs w:val="21"/>
              </w:rPr>
            </w:pPr>
            <w:r>
              <w:rPr>
                <w:rFonts w:hint="eastAsia" w:hAnsi="宋体"/>
                <w:kern w:val="0"/>
                <w:szCs w:val="21"/>
              </w:rPr>
              <w:t>服务</w:t>
            </w:r>
          </w:p>
        </w:tc>
        <w:tc>
          <w:tcPr>
            <w:tcW w:w="2415" w:type="dxa"/>
            <w:vAlign w:val="center"/>
          </w:tcPr>
          <w:p>
            <w:pPr>
              <w:spacing w:line="360" w:lineRule="exact"/>
              <w:jc w:val="center"/>
              <w:rPr>
                <w:rFonts w:hAnsi="宋体"/>
                <w:kern w:val="0"/>
                <w:szCs w:val="21"/>
              </w:rPr>
            </w:pPr>
            <w:r>
              <w:rPr>
                <w:rFonts w:hint="eastAsia" w:hAnsi="宋体"/>
                <w:kern w:val="0"/>
                <w:szCs w:val="21"/>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5" w:type="dxa"/>
            <w:shd w:val="clear" w:color="auto" w:fill="auto"/>
          </w:tcPr>
          <w:p>
            <w:pPr>
              <w:spacing w:line="360" w:lineRule="exact"/>
              <w:jc w:val="center"/>
              <w:rPr>
                <w:rFonts w:hAnsi="宋体"/>
                <w:kern w:val="0"/>
                <w:szCs w:val="21"/>
              </w:rPr>
            </w:pPr>
            <w:r>
              <w:rPr>
                <w:rFonts w:hint="eastAsia" w:hAnsi="宋体"/>
                <w:kern w:val="0"/>
                <w:szCs w:val="21"/>
              </w:rPr>
              <w:t>100以下</w:t>
            </w:r>
          </w:p>
        </w:tc>
        <w:tc>
          <w:tcPr>
            <w:tcW w:w="2100" w:type="dxa"/>
            <w:shd w:val="clear" w:color="auto" w:fill="FFFFFF"/>
          </w:tcPr>
          <w:p>
            <w:pPr>
              <w:spacing w:line="360" w:lineRule="exact"/>
              <w:jc w:val="center"/>
              <w:rPr>
                <w:rFonts w:hAnsi="宋体"/>
                <w:kern w:val="0"/>
                <w:szCs w:val="21"/>
              </w:rPr>
            </w:pPr>
            <w:r>
              <w:rPr>
                <w:rFonts w:hint="eastAsia" w:hAnsi="宋体"/>
                <w:kern w:val="0"/>
                <w:szCs w:val="21"/>
              </w:rPr>
              <w:t>1.5%</w:t>
            </w:r>
          </w:p>
        </w:tc>
        <w:tc>
          <w:tcPr>
            <w:tcW w:w="2100" w:type="dxa"/>
          </w:tcPr>
          <w:p>
            <w:pPr>
              <w:spacing w:line="360" w:lineRule="exact"/>
              <w:jc w:val="center"/>
              <w:rPr>
                <w:rFonts w:hAnsi="宋体"/>
                <w:kern w:val="0"/>
                <w:szCs w:val="21"/>
              </w:rPr>
            </w:pPr>
            <w:r>
              <w:rPr>
                <w:rFonts w:hint="eastAsia" w:hAnsi="宋体"/>
                <w:kern w:val="0"/>
                <w:szCs w:val="21"/>
              </w:rPr>
              <w:t>1.5%</w:t>
            </w:r>
          </w:p>
        </w:tc>
        <w:tc>
          <w:tcPr>
            <w:tcW w:w="2415" w:type="dxa"/>
          </w:tcPr>
          <w:p>
            <w:pPr>
              <w:spacing w:line="360" w:lineRule="exact"/>
              <w:jc w:val="center"/>
              <w:rPr>
                <w:rFonts w:hAnsi="宋体"/>
                <w:kern w:val="0"/>
                <w:szCs w:val="21"/>
              </w:rPr>
            </w:pPr>
            <w:r>
              <w:rPr>
                <w:rFonts w:hint="eastAsia" w:hAnsi="宋体"/>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5" w:type="dxa"/>
            <w:shd w:val="clear" w:color="auto" w:fill="auto"/>
          </w:tcPr>
          <w:p>
            <w:pPr>
              <w:spacing w:line="360" w:lineRule="exact"/>
              <w:jc w:val="center"/>
              <w:rPr>
                <w:rFonts w:hAnsi="宋体"/>
                <w:kern w:val="0"/>
                <w:szCs w:val="21"/>
              </w:rPr>
            </w:pPr>
            <w:r>
              <w:rPr>
                <w:rFonts w:hint="eastAsia" w:hAnsi="宋体"/>
                <w:kern w:val="0"/>
                <w:szCs w:val="21"/>
              </w:rPr>
              <w:t>100</w:t>
            </w:r>
            <w:r>
              <w:rPr>
                <w:rFonts w:hAnsi="宋体"/>
                <w:kern w:val="0"/>
                <w:szCs w:val="21"/>
              </w:rPr>
              <w:t>—</w:t>
            </w:r>
            <w:r>
              <w:rPr>
                <w:rFonts w:hint="eastAsia" w:hAnsi="宋体"/>
                <w:kern w:val="0"/>
                <w:szCs w:val="21"/>
              </w:rPr>
              <w:t>500</w:t>
            </w:r>
          </w:p>
        </w:tc>
        <w:tc>
          <w:tcPr>
            <w:tcW w:w="2100" w:type="dxa"/>
            <w:shd w:val="clear" w:color="auto" w:fill="FFFFFF"/>
          </w:tcPr>
          <w:p>
            <w:pPr>
              <w:spacing w:line="360" w:lineRule="exact"/>
              <w:jc w:val="center"/>
              <w:rPr>
                <w:rFonts w:hAnsi="宋体"/>
                <w:kern w:val="0"/>
                <w:szCs w:val="21"/>
              </w:rPr>
            </w:pPr>
            <w:r>
              <w:rPr>
                <w:rFonts w:hint="eastAsia" w:hAnsi="宋体"/>
                <w:kern w:val="0"/>
                <w:szCs w:val="21"/>
              </w:rPr>
              <w:t>1.1%</w:t>
            </w:r>
          </w:p>
        </w:tc>
        <w:tc>
          <w:tcPr>
            <w:tcW w:w="2100" w:type="dxa"/>
          </w:tcPr>
          <w:p>
            <w:pPr>
              <w:spacing w:line="360" w:lineRule="exact"/>
              <w:jc w:val="center"/>
              <w:rPr>
                <w:rFonts w:hAnsi="宋体"/>
                <w:kern w:val="0"/>
                <w:szCs w:val="21"/>
              </w:rPr>
            </w:pPr>
            <w:r>
              <w:rPr>
                <w:rFonts w:hint="eastAsia" w:hAnsi="宋体"/>
                <w:kern w:val="0"/>
                <w:szCs w:val="21"/>
              </w:rPr>
              <w:t>0.8%</w:t>
            </w:r>
          </w:p>
        </w:tc>
        <w:tc>
          <w:tcPr>
            <w:tcW w:w="2415" w:type="dxa"/>
          </w:tcPr>
          <w:p>
            <w:pPr>
              <w:spacing w:line="360" w:lineRule="exact"/>
              <w:jc w:val="center"/>
              <w:rPr>
                <w:rFonts w:hAnsi="宋体"/>
                <w:kern w:val="0"/>
                <w:szCs w:val="21"/>
              </w:rPr>
            </w:pPr>
            <w:r>
              <w:rPr>
                <w:rFonts w:hint="eastAsia" w:hAnsi="宋体"/>
                <w:kern w:val="0"/>
                <w:szCs w:val="21"/>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5" w:type="dxa"/>
            <w:shd w:val="clear" w:color="auto" w:fill="auto"/>
          </w:tcPr>
          <w:p>
            <w:pPr>
              <w:spacing w:line="360" w:lineRule="exact"/>
              <w:jc w:val="center"/>
              <w:rPr>
                <w:rFonts w:hAnsi="宋体"/>
                <w:kern w:val="0"/>
                <w:szCs w:val="21"/>
              </w:rPr>
            </w:pPr>
            <w:r>
              <w:rPr>
                <w:rFonts w:hint="eastAsia" w:hAnsi="宋体"/>
                <w:kern w:val="0"/>
                <w:szCs w:val="21"/>
              </w:rPr>
              <w:t>500</w:t>
            </w:r>
            <w:r>
              <w:rPr>
                <w:rFonts w:hAnsi="宋体"/>
                <w:kern w:val="0"/>
                <w:szCs w:val="21"/>
              </w:rPr>
              <w:t>—</w:t>
            </w:r>
            <w:r>
              <w:rPr>
                <w:rFonts w:hint="eastAsia" w:hAnsi="宋体"/>
                <w:kern w:val="0"/>
                <w:szCs w:val="21"/>
              </w:rPr>
              <w:t>1000</w:t>
            </w:r>
          </w:p>
        </w:tc>
        <w:tc>
          <w:tcPr>
            <w:tcW w:w="2100" w:type="dxa"/>
            <w:shd w:val="clear" w:color="auto" w:fill="FFFFFF"/>
          </w:tcPr>
          <w:p>
            <w:pPr>
              <w:spacing w:line="360" w:lineRule="exact"/>
              <w:jc w:val="center"/>
              <w:rPr>
                <w:rFonts w:hAnsi="宋体"/>
                <w:kern w:val="0"/>
                <w:szCs w:val="21"/>
              </w:rPr>
            </w:pPr>
            <w:r>
              <w:rPr>
                <w:rFonts w:hint="eastAsia" w:hAnsi="宋体"/>
                <w:kern w:val="0"/>
                <w:szCs w:val="21"/>
              </w:rPr>
              <w:t>0.8%</w:t>
            </w:r>
          </w:p>
        </w:tc>
        <w:tc>
          <w:tcPr>
            <w:tcW w:w="2100" w:type="dxa"/>
          </w:tcPr>
          <w:p>
            <w:pPr>
              <w:spacing w:line="360" w:lineRule="exact"/>
              <w:jc w:val="center"/>
              <w:rPr>
                <w:rFonts w:hAnsi="宋体"/>
                <w:kern w:val="0"/>
                <w:szCs w:val="21"/>
              </w:rPr>
            </w:pPr>
            <w:r>
              <w:rPr>
                <w:rFonts w:hint="eastAsia" w:hAnsi="宋体"/>
                <w:kern w:val="0"/>
                <w:szCs w:val="21"/>
              </w:rPr>
              <w:t>0.45%</w:t>
            </w:r>
          </w:p>
        </w:tc>
        <w:tc>
          <w:tcPr>
            <w:tcW w:w="2415" w:type="dxa"/>
          </w:tcPr>
          <w:p>
            <w:pPr>
              <w:spacing w:line="360" w:lineRule="exact"/>
              <w:jc w:val="center"/>
              <w:rPr>
                <w:rFonts w:hAnsi="宋体"/>
                <w:kern w:val="0"/>
                <w:szCs w:val="21"/>
              </w:rPr>
            </w:pPr>
            <w:r>
              <w:rPr>
                <w:rFonts w:hint="eastAsia" w:hAnsi="宋体"/>
                <w:kern w:val="0"/>
                <w:szCs w:val="21"/>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5" w:type="dxa"/>
            <w:shd w:val="clear" w:color="auto" w:fill="auto"/>
          </w:tcPr>
          <w:p>
            <w:pPr>
              <w:spacing w:line="360" w:lineRule="exact"/>
              <w:jc w:val="center"/>
              <w:rPr>
                <w:rFonts w:hAnsi="宋体"/>
                <w:kern w:val="0"/>
                <w:szCs w:val="21"/>
              </w:rPr>
            </w:pPr>
            <w:r>
              <w:rPr>
                <w:rFonts w:hint="eastAsia" w:hAnsi="宋体"/>
                <w:kern w:val="0"/>
                <w:szCs w:val="21"/>
              </w:rPr>
              <w:t>1000</w:t>
            </w:r>
            <w:r>
              <w:rPr>
                <w:rFonts w:hAnsi="宋体"/>
                <w:kern w:val="0"/>
                <w:szCs w:val="21"/>
              </w:rPr>
              <w:t>—</w:t>
            </w:r>
            <w:r>
              <w:rPr>
                <w:rFonts w:hint="eastAsia" w:hAnsi="宋体"/>
                <w:kern w:val="0"/>
                <w:szCs w:val="21"/>
              </w:rPr>
              <w:t>5000</w:t>
            </w:r>
          </w:p>
        </w:tc>
        <w:tc>
          <w:tcPr>
            <w:tcW w:w="2100" w:type="dxa"/>
            <w:shd w:val="clear" w:color="auto" w:fill="FFFFFF"/>
          </w:tcPr>
          <w:p>
            <w:pPr>
              <w:spacing w:line="360" w:lineRule="exact"/>
              <w:jc w:val="center"/>
              <w:rPr>
                <w:rFonts w:hAnsi="宋体"/>
                <w:kern w:val="0"/>
                <w:szCs w:val="21"/>
              </w:rPr>
            </w:pPr>
            <w:r>
              <w:rPr>
                <w:rFonts w:hint="eastAsia" w:hAnsi="宋体"/>
                <w:kern w:val="0"/>
                <w:szCs w:val="21"/>
              </w:rPr>
              <w:t>0.5%</w:t>
            </w:r>
          </w:p>
        </w:tc>
        <w:tc>
          <w:tcPr>
            <w:tcW w:w="2100" w:type="dxa"/>
          </w:tcPr>
          <w:p>
            <w:pPr>
              <w:spacing w:line="360" w:lineRule="exact"/>
              <w:jc w:val="center"/>
              <w:rPr>
                <w:rFonts w:hAnsi="宋体"/>
                <w:kern w:val="0"/>
                <w:szCs w:val="21"/>
              </w:rPr>
            </w:pPr>
            <w:r>
              <w:rPr>
                <w:rFonts w:hint="eastAsia" w:hAnsi="宋体"/>
                <w:kern w:val="0"/>
                <w:szCs w:val="21"/>
              </w:rPr>
              <w:t>0.25%</w:t>
            </w:r>
          </w:p>
        </w:tc>
        <w:tc>
          <w:tcPr>
            <w:tcW w:w="2415" w:type="dxa"/>
          </w:tcPr>
          <w:p>
            <w:pPr>
              <w:spacing w:line="360" w:lineRule="exact"/>
              <w:jc w:val="center"/>
              <w:rPr>
                <w:rFonts w:hAnsi="宋体"/>
                <w:kern w:val="0"/>
                <w:szCs w:val="21"/>
              </w:rPr>
            </w:pPr>
            <w:r>
              <w:rPr>
                <w:rFonts w:hint="eastAsia" w:hAnsi="宋体"/>
                <w:kern w:val="0"/>
                <w:szCs w:val="21"/>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5" w:type="dxa"/>
            <w:shd w:val="clear" w:color="auto" w:fill="auto"/>
          </w:tcPr>
          <w:p>
            <w:pPr>
              <w:spacing w:line="360" w:lineRule="exact"/>
              <w:jc w:val="center"/>
              <w:rPr>
                <w:rFonts w:hAnsi="宋体"/>
                <w:kern w:val="0"/>
                <w:szCs w:val="21"/>
              </w:rPr>
            </w:pPr>
            <w:r>
              <w:rPr>
                <w:rFonts w:hint="eastAsia" w:hAnsi="宋体"/>
                <w:kern w:val="0"/>
                <w:szCs w:val="21"/>
              </w:rPr>
              <w:t>5000</w:t>
            </w:r>
            <w:r>
              <w:rPr>
                <w:rFonts w:hAnsi="宋体"/>
                <w:kern w:val="0"/>
                <w:szCs w:val="21"/>
              </w:rPr>
              <w:t>—</w:t>
            </w:r>
            <w:r>
              <w:rPr>
                <w:rFonts w:hint="eastAsia" w:hAnsi="宋体"/>
                <w:kern w:val="0"/>
                <w:szCs w:val="21"/>
              </w:rPr>
              <w:t>10000</w:t>
            </w:r>
          </w:p>
        </w:tc>
        <w:tc>
          <w:tcPr>
            <w:tcW w:w="2100" w:type="dxa"/>
            <w:shd w:val="clear" w:color="auto" w:fill="FFFFFF"/>
          </w:tcPr>
          <w:p>
            <w:pPr>
              <w:spacing w:line="360" w:lineRule="exact"/>
              <w:jc w:val="center"/>
              <w:rPr>
                <w:rFonts w:hAnsi="宋体"/>
                <w:kern w:val="0"/>
                <w:szCs w:val="21"/>
              </w:rPr>
            </w:pPr>
            <w:r>
              <w:rPr>
                <w:rFonts w:hint="eastAsia" w:hAnsi="宋体"/>
                <w:kern w:val="0"/>
                <w:szCs w:val="21"/>
              </w:rPr>
              <w:t>0.25%</w:t>
            </w:r>
          </w:p>
        </w:tc>
        <w:tc>
          <w:tcPr>
            <w:tcW w:w="2100" w:type="dxa"/>
          </w:tcPr>
          <w:p>
            <w:pPr>
              <w:spacing w:line="360" w:lineRule="exact"/>
              <w:jc w:val="center"/>
              <w:rPr>
                <w:rFonts w:hAnsi="宋体"/>
                <w:kern w:val="0"/>
                <w:szCs w:val="21"/>
              </w:rPr>
            </w:pPr>
            <w:r>
              <w:rPr>
                <w:rFonts w:hint="eastAsia" w:hAnsi="宋体"/>
                <w:kern w:val="0"/>
                <w:szCs w:val="21"/>
              </w:rPr>
              <w:t>0.1%</w:t>
            </w:r>
          </w:p>
        </w:tc>
        <w:tc>
          <w:tcPr>
            <w:tcW w:w="2415" w:type="dxa"/>
          </w:tcPr>
          <w:p>
            <w:pPr>
              <w:spacing w:line="360" w:lineRule="exact"/>
              <w:jc w:val="center"/>
              <w:rPr>
                <w:rFonts w:hAnsi="宋体"/>
                <w:kern w:val="0"/>
                <w:szCs w:val="21"/>
              </w:rPr>
            </w:pPr>
            <w:r>
              <w:rPr>
                <w:rFonts w:hint="eastAsia" w:hAnsi="宋体"/>
                <w:kern w:val="0"/>
                <w:szCs w:val="21"/>
              </w:rPr>
              <w:t>0.2%</w:t>
            </w:r>
          </w:p>
        </w:tc>
      </w:tr>
    </w:tbl>
    <w:p>
      <w:pPr>
        <w:spacing w:line="360" w:lineRule="auto"/>
        <w:ind w:firstLine="420" w:firstLineChars="200"/>
        <w:rPr>
          <w:rFonts w:hAnsi="宋体"/>
          <w:szCs w:val="21"/>
        </w:rPr>
      </w:pPr>
      <w:r>
        <w:rPr>
          <w:rFonts w:hint="eastAsia" w:hAnsi="宋体"/>
          <w:szCs w:val="21"/>
        </w:rPr>
        <w:t>备注：采购代理服务收费按差额定率累进法计算。</w:t>
      </w:r>
    </w:p>
    <w:p>
      <w:pPr>
        <w:spacing w:line="360" w:lineRule="auto"/>
        <w:ind w:firstLine="420" w:firstLineChars="200"/>
        <w:rPr>
          <w:rFonts w:hAnsi="宋体"/>
          <w:szCs w:val="21"/>
        </w:rPr>
      </w:pPr>
      <w:r>
        <w:rPr>
          <w:rFonts w:hint="eastAsia" w:hAnsi="宋体"/>
          <w:szCs w:val="21"/>
        </w:rPr>
        <w:t>29.2成交供应商应在接收“成交通知书”前向采购代理机构一次付清采购代理服务费。</w:t>
      </w:r>
    </w:p>
    <w:p>
      <w:pPr>
        <w:pStyle w:val="110"/>
        <w:keepLines w:val="0"/>
        <w:widowControl/>
        <w:spacing w:line="360" w:lineRule="auto"/>
        <w:rPr>
          <w:rFonts w:ascii="黑体" w:hAnsi="黑体"/>
          <w:b/>
          <w:bCs/>
        </w:rPr>
      </w:pPr>
      <w:bookmarkStart w:id="169" w:name="_Toc46924571"/>
      <w:bookmarkStart w:id="170" w:name="_Toc72489561"/>
      <w:r>
        <w:rPr>
          <w:rFonts w:hint="eastAsia" w:ascii="黑体" w:hAnsi="黑体"/>
          <w:b/>
          <w:bCs/>
        </w:rPr>
        <w:t>30、磋商文件编制依据</w:t>
      </w:r>
      <w:bookmarkEnd w:id="169"/>
      <w:bookmarkEnd w:id="170"/>
    </w:p>
    <w:p>
      <w:pPr>
        <w:spacing w:line="360" w:lineRule="auto"/>
        <w:ind w:firstLine="420" w:firstLineChars="200"/>
        <w:rPr>
          <w:rFonts w:hAnsi="宋体"/>
          <w:szCs w:val="21"/>
        </w:rPr>
      </w:pPr>
      <w:r>
        <w:rPr>
          <w:rFonts w:hint="eastAsia" w:hAnsi="宋体"/>
          <w:szCs w:val="21"/>
        </w:rPr>
        <w:t>30.1本竞争性磋商文件根据《中华人民共和国政府采购法》、《中华人民共和国政府采购法实施条例》、《政府采购竞争性磋商采购方式管理暂行办法》等有关法律、法规和规章进行编制，解释权属于采购人、采购代理机构。</w:t>
      </w:r>
    </w:p>
    <w:p>
      <w:pPr>
        <w:pStyle w:val="110"/>
        <w:keepLines w:val="0"/>
        <w:widowControl/>
        <w:spacing w:line="360" w:lineRule="auto"/>
        <w:rPr>
          <w:rFonts w:ascii="黑体" w:hAnsi="黑体"/>
          <w:b/>
          <w:bCs/>
        </w:rPr>
      </w:pPr>
      <w:bookmarkStart w:id="171" w:name="_Toc46924572"/>
      <w:bookmarkStart w:id="172" w:name="_Toc72489562"/>
      <w:r>
        <w:rPr>
          <w:rFonts w:hint="eastAsia" w:ascii="黑体" w:hAnsi="黑体"/>
          <w:b/>
          <w:bCs/>
        </w:rPr>
        <w:t>31、需要补充的其他内容</w:t>
      </w:r>
      <w:bookmarkEnd w:id="171"/>
      <w:bookmarkEnd w:id="172"/>
    </w:p>
    <w:p>
      <w:pPr>
        <w:spacing w:line="360" w:lineRule="auto"/>
        <w:ind w:firstLine="422" w:firstLineChars="200"/>
        <w:rPr>
          <w:rFonts w:hAnsi="宋体"/>
          <w:b/>
          <w:bCs/>
          <w:szCs w:val="21"/>
        </w:rPr>
      </w:pPr>
      <w:r>
        <w:rPr>
          <w:rFonts w:hint="eastAsia" w:hAnsi="宋体"/>
          <w:b/>
          <w:bCs/>
          <w:szCs w:val="21"/>
        </w:rPr>
        <w:t>31.1关于中小企业：</w:t>
      </w:r>
    </w:p>
    <w:p>
      <w:pPr>
        <w:spacing w:line="360" w:lineRule="auto"/>
        <w:ind w:firstLine="420" w:firstLineChars="200"/>
        <w:rPr>
          <w:rFonts w:hAnsi="宋体"/>
          <w:szCs w:val="21"/>
        </w:rPr>
      </w:pPr>
      <w:r>
        <w:rPr>
          <w:rFonts w:hint="eastAsia" w:hAnsi="宋体"/>
          <w:szCs w:val="21"/>
        </w:rPr>
        <w:t>31.1.1根据财政部、工业和信息化部印发的《政府采购促进中小企业发展管理办法》（财库【2020】46号文）的规定，在政府采购活动中，供应商提供的货物、工程或者服务符合下列情形的，享受中小企业扶持政策：</w:t>
      </w:r>
    </w:p>
    <w:p>
      <w:pPr>
        <w:spacing w:line="360" w:lineRule="auto"/>
        <w:ind w:firstLine="420" w:firstLineChars="200"/>
        <w:rPr>
          <w:rFonts w:hAnsi="宋体"/>
          <w:szCs w:val="21"/>
        </w:rPr>
      </w:pPr>
      <w:r>
        <w:rPr>
          <w:rFonts w:hint="eastAsia" w:hAnsi="宋体"/>
          <w:szCs w:val="21"/>
        </w:rPr>
        <w:t>（一）在货物采购项目中，货物由中小企业制造，即货物由中小企业生产且使用该中小企业商号或者注册商标；</w:t>
      </w:r>
    </w:p>
    <w:p>
      <w:pPr>
        <w:spacing w:line="360" w:lineRule="auto"/>
        <w:ind w:firstLine="420" w:firstLineChars="200"/>
        <w:rPr>
          <w:rFonts w:hAnsi="宋体"/>
          <w:szCs w:val="21"/>
        </w:rPr>
      </w:pPr>
      <w:r>
        <w:rPr>
          <w:rFonts w:hint="eastAsia" w:hAnsi="宋体"/>
          <w:szCs w:val="21"/>
        </w:rPr>
        <w:t>（二）在工程采购项目中，工程由中小企业承建，即工程施工单位为中小企业；</w:t>
      </w:r>
    </w:p>
    <w:p>
      <w:pPr>
        <w:spacing w:line="360" w:lineRule="auto"/>
        <w:ind w:firstLine="420" w:firstLineChars="200"/>
        <w:rPr>
          <w:rFonts w:hAnsi="宋体"/>
          <w:szCs w:val="21"/>
        </w:rPr>
      </w:pPr>
      <w:r>
        <w:rPr>
          <w:rFonts w:hint="eastAsia" w:hAnsi="宋体"/>
          <w:szCs w:val="21"/>
        </w:rPr>
        <w:t>（三）在服务采购项目中，服务由中小企业承接，即提供服务的人员为中小企业依照《中华人民共和国劳动合同法》订立劳动合同的从业人员。</w:t>
      </w:r>
    </w:p>
    <w:p>
      <w:pPr>
        <w:spacing w:line="348" w:lineRule="auto"/>
        <w:ind w:firstLine="420" w:firstLineChars="200"/>
        <w:rPr>
          <w:rFonts w:hAnsi="宋体"/>
          <w:szCs w:val="21"/>
        </w:rPr>
      </w:pPr>
      <w:r>
        <w:rPr>
          <w:rFonts w:hint="eastAsia" w:hAnsi="宋体"/>
          <w:szCs w:val="21"/>
        </w:rPr>
        <w:t>在货物采购项目中，供应商提供的货物既有中小企业制造货物，也有大型企业制造货物的，不享受本办法规定的中小企业扶持政策。</w:t>
      </w:r>
    </w:p>
    <w:p>
      <w:pPr>
        <w:spacing w:line="360" w:lineRule="auto"/>
        <w:ind w:firstLine="420" w:firstLineChars="200"/>
        <w:rPr>
          <w:rFonts w:hAnsi="宋体"/>
          <w:szCs w:val="21"/>
        </w:rPr>
      </w:pPr>
      <w:r>
        <w:rPr>
          <w:rFonts w:hint="eastAsia" w:hAnsi="宋体"/>
          <w:szCs w:val="21"/>
        </w:rPr>
        <w:t>以联合体形式参加政府采购活动，联合体各方均为中小企业的，联合体视同中小企业。其中，联合体各方均为小微企业的，联合体视同小微企业。</w:t>
      </w:r>
    </w:p>
    <w:p>
      <w:pPr>
        <w:spacing w:line="360" w:lineRule="auto"/>
        <w:ind w:firstLine="420" w:firstLineChars="200"/>
        <w:rPr>
          <w:rFonts w:hAnsi="宋体"/>
          <w:szCs w:val="21"/>
        </w:rPr>
      </w:pPr>
      <w:r>
        <w:rPr>
          <w:rFonts w:hint="eastAsia" w:hAnsi="宋体"/>
          <w:szCs w:val="21"/>
        </w:rPr>
        <w:t>31.1.2本办法所称中小企业，是指在中华人民共和国境内依法设立，依据国务院批准的中小企业划分标准【详见《关于印发中小企业划型标准规定的通知》（工信部联企业〔2011〕300号）】确定的中型企业、小型企业和微型企业，但与大企业的负责人为同一人，或者与大企业存在直接控股、管理关系的除外。</w:t>
      </w:r>
    </w:p>
    <w:p>
      <w:pPr>
        <w:spacing w:line="360" w:lineRule="auto"/>
        <w:ind w:firstLine="420" w:firstLineChars="200"/>
        <w:jc w:val="left"/>
        <w:rPr>
          <w:rFonts w:hAnsi="宋体" w:cs="宋体"/>
          <w:szCs w:val="21"/>
        </w:rPr>
      </w:pPr>
      <w:r>
        <w:rPr>
          <w:rFonts w:hint="eastAsia" w:hAnsi="宋体" w:cs="宋体"/>
          <w:szCs w:val="21"/>
        </w:rPr>
        <w:t>31.1.3对于经主管预算单位统筹后未预留份额专门面向中小企业采购的采购项目，以及预留份额项目中的非预留部分采购包，对符合规定的小微企业报价给予 6%（工程项目为 3%）的扣除，用扣除后的价格参加评审。</w:t>
      </w:r>
    </w:p>
    <w:p>
      <w:pPr>
        <w:spacing w:line="360" w:lineRule="auto"/>
        <w:ind w:firstLine="420" w:firstLineChars="200"/>
        <w:jc w:val="left"/>
        <w:rPr>
          <w:rFonts w:hAnsi="宋体" w:cs="宋体"/>
          <w:szCs w:val="21"/>
        </w:rPr>
      </w:pPr>
      <w:r>
        <w:rPr>
          <w:rFonts w:hint="eastAsia" w:hAnsi="宋体" w:cs="宋体"/>
          <w:szCs w:val="21"/>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2%（工程项目为1%）的扣除，用扣除后的价格参加评审。组成联合体或者接受分包的小微企业与联合体内其他企业、分包企业之间存在直接控股、管理关系的，不享受价格扣除优惠政策。</w:t>
      </w:r>
    </w:p>
    <w:p>
      <w:pPr>
        <w:spacing w:line="360" w:lineRule="auto"/>
        <w:ind w:firstLine="420" w:firstLineChars="200"/>
        <w:jc w:val="left"/>
        <w:rPr>
          <w:rFonts w:hAnsi="宋体" w:cs="宋体"/>
          <w:szCs w:val="21"/>
        </w:rPr>
      </w:pPr>
      <w:r>
        <w:rPr>
          <w:rFonts w:hint="eastAsia" w:hAnsi="宋体"/>
          <w:szCs w:val="21"/>
        </w:rPr>
        <w:t>31.1.</w:t>
      </w:r>
      <w:r>
        <w:rPr>
          <w:rFonts w:hint="eastAsia" w:hAnsi="宋体" w:cs="宋体"/>
          <w:szCs w:val="21"/>
        </w:rPr>
        <w:t>4中小企业参加政府采购活动，应当出具《中小企业声明函》，否则不得享受相关中小企业扶持政策。</w:t>
      </w:r>
    </w:p>
    <w:p>
      <w:pPr>
        <w:spacing w:line="360" w:lineRule="auto"/>
        <w:ind w:firstLine="420" w:firstLineChars="200"/>
        <w:jc w:val="left"/>
        <w:rPr>
          <w:rFonts w:hAnsi="宋体" w:cs="宋体"/>
          <w:szCs w:val="21"/>
        </w:rPr>
      </w:pPr>
      <w:r>
        <w:rPr>
          <w:rFonts w:hint="eastAsia" w:hAnsi="宋体"/>
          <w:szCs w:val="21"/>
        </w:rPr>
        <w:t>31.1.</w:t>
      </w:r>
      <w:r>
        <w:rPr>
          <w:rFonts w:hint="eastAsia" w:hAnsi="宋体" w:cs="宋体"/>
          <w:szCs w:val="21"/>
        </w:rPr>
        <w:t>5按规定享受扶持政策获得政府采购合同的，小微企业不得将合同分包给大中型企业，中型企业不得将合同分包给大型企业。</w:t>
      </w:r>
    </w:p>
    <w:p>
      <w:pPr>
        <w:spacing w:line="360" w:lineRule="auto"/>
        <w:ind w:firstLine="422" w:firstLineChars="200"/>
        <w:jc w:val="left"/>
        <w:rPr>
          <w:rFonts w:hAnsi="宋体" w:cs="宋体"/>
          <w:b/>
          <w:bCs/>
          <w:szCs w:val="21"/>
        </w:rPr>
      </w:pPr>
      <w:r>
        <w:rPr>
          <w:rFonts w:hint="eastAsia" w:hAnsi="宋体" w:cs="宋体"/>
          <w:b/>
          <w:bCs/>
          <w:szCs w:val="21"/>
        </w:rPr>
        <w:t>31.2关于节能产品及环境标志产品：</w:t>
      </w:r>
    </w:p>
    <w:p>
      <w:pPr>
        <w:spacing w:line="336" w:lineRule="auto"/>
        <w:ind w:firstLine="420" w:firstLineChars="200"/>
        <w:jc w:val="left"/>
        <w:rPr>
          <w:rFonts w:hAnsi="宋体" w:cs="宋体"/>
          <w:szCs w:val="21"/>
        </w:rPr>
      </w:pPr>
      <w:r>
        <w:rPr>
          <w:rFonts w:hint="eastAsia" w:hAnsi="宋体" w:cs="宋体"/>
          <w:szCs w:val="21"/>
        </w:rPr>
        <w:t>31.2.1</w:t>
      </w:r>
      <w:r>
        <w:rPr>
          <w:rFonts w:hint="eastAsia" w:hAnsi="宋体"/>
          <w:szCs w:val="21"/>
        </w:rPr>
        <w:t>供应商根据财政部、发展改革委、生态环境部、市场监管总局“《关于调整优化节能产品、环境标志产品政府采购执行机制的通知》（财库〔2019〕9号）”、“《关于印发环境标志产品政府采购品目清单的通知》（财库〔2019〕18号）”、“《关于印发节能产品政府采购品目清单的通知》（财库〔2019〕19号）”及“市场监管总局关于发布参与实施政府采购节能产品、环境标志产品认证机构名录的公告（2019年第16号）”，节能产品是指列入财政部和国家发改委公布的《节能产品政府采购品目清单》中的产品，政府强制采购节能产品是指“品目清单”中以“★”标注类别的产品</w:t>
      </w:r>
      <w:r>
        <w:rPr>
          <w:rFonts w:hint="eastAsia" w:hAnsi="宋体" w:cs="宋体"/>
          <w:szCs w:val="21"/>
        </w:rPr>
        <w:t>。</w:t>
      </w:r>
    </w:p>
    <w:p>
      <w:pPr>
        <w:spacing w:line="360" w:lineRule="auto"/>
        <w:ind w:firstLine="420" w:firstLineChars="200"/>
        <w:jc w:val="left"/>
        <w:rPr>
          <w:rFonts w:hAnsi="宋体" w:cs="宋体"/>
          <w:szCs w:val="21"/>
        </w:rPr>
      </w:pPr>
      <w:r>
        <w:rPr>
          <w:rFonts w:hint="eastAsia" w:hAnsi="宋体" w:cs="宋体"/>
          <w:szCs w:val="21"/>
        </w:rPr>
        <w:t>31.2.2</w:t>
      </w:r>
      <w:r>
        <w:rPr>
          <w:rFonts w:hint="eastAsia" w:hAnsi="宋体"/>
          <w:szCs w:val="21"/>
        </w:rPr>
        <w:t>投标产品属于财政部和国家发改委公布的当期《节能产品政府采购品目清单》中以“★”标注类别的节能产品，供应商需在响应文件中提供节能产品认证证书</w:t>
      </w:r>
      <w:r>
        <w:rPr>
          <w:rFonts w:hint="eastAsia" w:hAnsi="宋体" w:cs="宋体"/>
          <w:szCs w:val="21"/>
        </w:rPr>
        <w:t>。</w:t>
      </w:r>
    </w:p>
    <w:p>
      <w:pPr>
        <w:spacing w:line="360" w:lineRule="auto"/>
        <w:ind w:firstLine="420" w:firstLineChars="200"/>
        <w:jc w:val="left"/>
        <w:rPr>
          <w:rFonts w:hAnsi="宋体" w:cs="宋体"/>
          <w:szCs w:val="21"/>
        </w:rPr>
      </w:pPr>
      <w:r>
        <w:rPr>
          <w:rFonts w:hint="eastAsia" w:hAnsi="宋体" w:cs="宋体"/>
          <w:szCs w:val="21"/>
        </w:rPr>
        <w:t>31.2.3</w:t>
      </w:r>
      <w:r>
        <w:rPr>
          <w:rFonts w:hint="eastAsia" w:hAnsi="宋体"/>
          <w:szCs w:val="21"/>
        </w:rPr>
        <w:t>财政部、发展改革委、生态环境部、市场监管总局“《关于调整优化节能产品、环境标志产品政府采购执行机制的通知》（财库〔2019〕9号）”、“《关于印发环境标志产品政府采购品目清单的通知》（财库〔2019〕18号）”、“《关于印发节能产品政府采购品目清单的通知》（财库〔2019〕19号）”及“市场监管总局关于发布参与实施政府采购节能产品、环境标志产品认证机构名录的公告（2019年第16号）”可通过中国政府采购网（http://www.ccgp.gov.cn/）查阅、下载</w:t>
      </w:r>
      <w:r>
        <w:rPr>
          <w:rFonts w:hint="eastAsia" w:hAnsi="宋体" w:cs="宋体"/>
          <w:szCs w:val="21"/>
        </w:rPr>
        <w:t>。</w:t>
      </w:r>
    </w:p>
    <w:p>
      <w:pPr>
        <w:spacing w:line="360" w:lineRule="auto"/>
        <w:ind w:firstLine="422" w:firstLineChars="200"/>
        <w:jc w:val="left"/>
        <w:rPr>
          <w:rFonts w:hAnsi="宋体" w:cs="宋体"/>
          <w:b/>
          <w:bCs/>
          <w:szCs w:val="21"/>
        </w:rPr>
      </w:pPr>
      <w:r>
        <w:rPr>
          <w:rFonts w:hint="eastAsia" w:hAnsi="宋体" w:cs="宋体"/>
          <w:b/>
          <w:bCs/>
          <w:szCs w:val="21"/>
        </w:rPr>
        <w:t>31.3关于监狱企业：</w:t>
      </w:r>
    </w:p>
    <w:p>
      <w:pPr>
        <w:spacing w:line="360" w:lineRule="auto"/>
        <w:ind w:firstLine="420" w:firstLineChars="200"/>
        <w:jc w:val="left"/>
        <w:rPr>
          <w:rFonts w:hAnsi="宋体" w:cs="宋体"/>
          <w:szCs w:val="21"/>
        </w:rPr>
      </w:pPr>
      <w:r>
        <w:rPr>
          <w:rFonts w:hint="eastAsia" w:hAnsi="宋体" w:cs="宋体"/>
          <w:szCs w:val="21"/>
        </w:rPr>
        <w:t>31.3.1</w:t>
      </w:r>
      <w:r>
        <w:rPr>
          <w:rFonts w:hint="eastAsia" w:hAnsi="宋体"/>
          <w:szCs w:val="21"/>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r>
        <w:rPr>
          <w:rFonts w:hint="eastAsia" w:hAnsi="宋体" w:cs="宋体"/>
          <w:szCs w:val="21"/>
        </w:rPr>
        <w:t>。</w:t>
      </w:r>
    </w:p>
    <w:p>
      <w:pPr>
        <w:spacing w:line="360" w:lineRule="auto"/>
        <w:ind w:firstLine="420" w:firstLineChars="200"/>
        <w:jc w:val="left"/>
        <w:rPr>
          <w:rFonts w:hAnsi="宋体" w:cs="宋体"/>
          <w:szCs w:val="21"/>
        </w:rPr>
      </w:pPr>
      <w:r>
        <w:rPr>
          <w:rFonts w:hint="eastAsia" w:hAnsi="宋体" w:cs="宋体"/>
          <w:szCs w:val="21"/>
        </w:rPr>
        <w:t>31.3.2监狱企业参加政府采购活动时，应当提供由省级以上监狱管理局、戒毒管理局（含新疆生产建设兵团）出具的属于监狱企业的证明文件。</w:t>
      </w:r>
    </w:p>
    <w:p>
      <w:pPr>
        <w:spacing w:line="360" w:lineRule="auto"/>
        <w:ind w:firstLine="420" w:firstLineChars="200"/>
        <w:jc w:val="left"/>
        <w:rPr>
          <w:rFonts w:hAnsi="宋体" w:cs="宋体"/>
          <w:szCs w:val="21"/>
        </w:rPr>
      </w:pPr>
      <w:r>
        <w:rPr>
          <w:rFonts w:hint="eastAsia" w:hAnsi="宋体" w:cs="宋体"/>
          <w:szCs w:val="21"/>
        </w:rPr>
        <w:t>31.3.3在政府采购活动中，监狱企业视同小型、微型企业，享受预留份额、评审中价格扣除等政府采购促进中小企业发展的政府采购政策。</w:t>
      </w:r>
    </w:p>
    <w:p>
      <w:pPr>
        <w:spacing w:line="360" w:lineRule="auto"/>
        <w:ind w:firstLine="422" w:firstLineChars="200"/>
        <w:jc w:val="left"/>
        <w:rPr>
          <w:rFonts w:hAnsi="宋体" w:cs="宋体"/>
          <w:b/>
          <w:bCs/>
          <w:szCs w:val="21"/>
        </w:rPr>
      </w:pPr>
      <w:r>
        <w:rPr>
          <w:rFonts w:hint="eastAsia" w:hAnsi="宋体" w:cs="宋体"/>
          <w:b/>
          <w:bCs/>
          <w:szCs w:val="21"/>
        </w:rPr>
        <w:t>31.4关于残疾人福利性单位：</w:t>
      </w:r>
    </w:p>
    <w:p>
      <w:pPr>
        <w:spacing w:line="360" w:lineRule="auto"/>
        <w:ind w:firstLine="420" w:firstLineChars="200"/>
        <w:jc w:val="left"/>
        <w:rPr>
          <w:rFonts w:hAnsi="宋体" w:cs="宋体"/>
          <w:szCs w:val="21"/>
        </w:rPr>
      </w:pPr>
      <w:r>
        <w:rPr>
          <w:rFonts w:hint="eastAsia" w:hAnsi="宋体" w:cs="宋体"/>
          <w:szCs w:val="21"/>
        </w:rPr>
        <w:t>31.4.1根据《关于促进残疾人就业政府采购政策的通知》（财库〔2017〕141号）的规定，享受政府采购支持政策的残疾人福利性单位应当同时满足以下条件：</w:t>
      </w:r>
    </w:p>
    <w:p>
      <w:pPr>
        <w:spacing w:line="360" w:lineRule="auto"/>
        <w:ind w:firstLine="420" w:firstLineChars="200"/>
        <w:jc w:val="left"/>
        <w:rPr>
          <w:rFonts w:hAnsi="宋体" w:cs="宋体"/>
          <w:szCs w:val="21"/>
        </w:rPr>
      </w:pPr>
      <w:r>
        <w:rPr>
          <w:rFonts w:hint="eastAsia" w:hAnsi="宋体" w:cs="宋体"/>
          <w:szCs w:val="21"/>
        </w:rPr>
        <w:t>（一）安置的残疾人占本单位在职职工人数的比例不低于25%（含25%），并且安置的残疾人人数不少于10人（含10人）；</w:t>
      </w:r>
    </w:p>
    <w:p>
      <w:pPr>
        <w:spacing w:line="360" w:lineRule="auto"/>
        <w:ind w:firstLine="420" w:firstLineChars="200"/>
        <w:jc w:val="left"/>
        <w:rPr>
          <w:rFonts w:hAnsi="宋体" w:cs="宋体"/>
          <w:szCs w:val="21"/>
        </w:rPr>
      </w:pPr>
      <w:r>
        <w:rPr>
          <w:rFonts w:hint="eastAsia" w:hAnsi="宋体" w:cs="宋体"/>
          <w:szCs w:val="21"/>
        </w:rPr>
        <w:t>（二）依法与安置的每位残疾人签订了一年以上（含一年）的劳动合同或服务协议；</w:t>
      </w:r>
    </w:p>
    <w:p>
      <w:pPr>
        <w:spacing w:line="360" w:lineRule="auto"/>
        <w:ind w:firstLine="420" w:firstLineChars="200"/>
        <w:jc w:val="left"/>
        <w:rPr>
          <w:rFonts w:hAnsi="宋体" w:cs="宋体"/>
          <w:szCs w:val="21"/>
        </w:rPr>
      </w:pPr>
      <w:r>
        <w:rPr>
          <w:rFonts w:hint="eastAsia" w:hAnsi="宋体" w:cs="宋体"/>
          <w:szCs w:val="21"/>
        </w:rPr>
        <w:t>（三）为安置的每位残疾人按月足额缴纳了基本养老保险、基本医疗保险、失业保险、工伤保险和生育保险等社会保险费；</w:t>
      </w:r>
    </w:p>
    <w:p>
      <w:pPr>
        <w:spacing w:line="360" w:lineRule="auto"/>
        <w:ind w:firstLine="420" w:firstLineChars="200"/>
        <w:jc w:val="left"/>
        <w:rPr>
          <w:rFonts w:hAnsi="宋体" w:cs="宋体"/>
          <w:szCs w:val="21"/>
        </w:rPr>
      </w:pPr>
      <w:r>
        <w:rPr>
          <w:rFonts w:hint="eastAsia" w:hAnsi="宋体" w:cs="宋体"/>
          <w:szCs w:val="21"/>
        </w:rPr>
        <w:t>（四）通过银行等金融机构向安置的每位残疾人，按月支付了不低于单位所在区县适用的经省级人民政府批准的月最低工资标准的工资；</w:t>
      </w:r>
    </w:p>
    <w:p>
      <w:pPr>
        <w:spacing w:line="360" w:lineRule="auto"/>
        <w:ind w:firstLine="420" w:firstLineChars="200"/>
        <w:jc w:val="left"/>
        <w:rPr>
          <w:rFonts w:hAnsi="宋体" w:cs="宋体"/>
          <w:szCs w:val="21"/>
        </w:rPr>
      </w:pPr>
      <w:r>
        <w:rPr>
          <w:rFonts w:hint="eastAsia" w:hAnsi="宋体" w:cs="宋体"/>
          <w:szCs w:val="21"/>
        </w:rPr>
        <w:t>（五）提供本单位制造的货物、承担的工程或者服务（以下简称产品），或者提供其他残疾人福利性单位制造的货物（不包括使用非残疾人福利性单位注册商标的货物）。</w:t>
      </w:r>
    </w:p>
    <w:p>
      <w:pPr>
        <w:spacing w:line="360" w:lineRule="auto"/>
        <w:ind w:firstLine="420" w:firstLineChars="200"/>
        <w:jc w:val="left"/>
        <w:rPr>
          <w:rFonts w:hAnsi="宋体" w:cs="宋体"/>
          <w:szCs w:val="21"/>
        </w:rPr>
      </w:pPr>
      <w:r>
        <w:rPr>
          <w:rFonts w:hint="eastAsia" w:hAnsi="宋体" w:cs="宋体"/>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spacing w:line="360" w:lineRule="auto"/>
        <w:ind w:firstLine="420" w:firstLineChars="200"/>
        <w:jc w:val="left"/>
        <w:rPr>
          <w:rFonts w:hAnsi="宋体" w:cs="宋体"/>
          <w:szCs w:val="21"/>
        </w:rPr>
      </w:pPr>
      <w:r>
        <w:rPr>
          <w:rFonts w:hint="eastAsia" w:hAnsi="宋体" w:cs="宋体"/>
          <w:szCs w:val="21"/>
        </w:rPr>
        <w:t>31.4.2符合条件的残疾人福利性单位在参加政府采购活动时，应当按《关于促进残疾人就业政府采购政策的通知》（财库〔2017〕141号）提供规定的《残疾人福利性单位声明函》，并对声明的真实性负责。</w:t>
      </w:r>
    </w:p>
    <w:p>
      <w:pPr>
        <w:spacing w:line="360" w:lineRule="auto"/>
        <w:ind w:firstLine="420" w:firstLineChars="200"/>
        <w:jc w:val="left"/>
        <w:rPr>
          <w:rFonts w:hAnsi="宋体" w:cs="宋体"/>
          <w:szCs w:val="21"/>
        </w:rPr>
      </w:pPr>
      <w:r>
        <w:rPr>
          <w:rFonts w:hint="eastAsia" w:hAnsi="宋体" w:cs="宋体"/>
          <w:szCs w:val="21"/>
        </w:rPr>
        <w:t>31.4.3本项目针对残疾人福利性单位产品的价格给予6%的扣除，用扣除后的价格参与评审。残疾人福利性单位属于小型、微型企业的，不重复享受政策。</w:t>
      </w:r>
    </w:p>
    <w:p>
      <w:pPr>
        <w:spacing w:line="360" w:lineRule="auto"/>
        <w:ind w:firstLine="420" w:firstLineChars="200"/>
        <w:jc w:val="left"/>
        <w:rPr>
          <w:rFonts w:hAnsi="宋体" w:cs="宋体"/>
          <w:szCs w:val="21"/>
        </w:rPr>
      </w:pPr>
      <w:r>
        <w:rPr>
          <w:rFonts w:hint="eastAsia" w:hAnsi="宋体" w:cs="宋体"/>
          <w:szCs w:val="21"/>
        </w:rPr>
        <w:t>31.4.</w:t>
      </w:r>
      <w:r>
        <w:rPr>
          <w:rFonts w:hAnsi="宋体" w:cs="宋体"/>
          <w:szCs w:val="21"/>
        </w:rPr>
        <w:t>4</w:t>
      </w:r>
      <w:r>
        <w:rPr>
          <w:rFonts w:hint="eastAsia" w:hAnsi="宋体" w:cs="宋体"/>
          <w:szCs w:val="21"/>
        </w:rPr>
        <w:t xml:space="preserve"> 根据《中华人民共和国政府采购法》、《中华人民共和国政府采购法实施条例》、《政府采购货物和服务招标投标管理办法》(财政部令第87号)的规定，采购人应当在货物服务招标投标活动中落实节约能源、保护环境、扶持不发达地区和少数民族地区、促进中小企业发展等政府采购政策，同质同价优先就近采购本地或本省产品、服务。</w:t>
      </w:r>
    </w:p>
    <w:p>
      <w:pPr>
        <w:pStyle w:val="110"/>
        <w:keepLines w:val="0"/>
        <w:widowControl/>
        <w:spacing w:line="360" w:lineRule="auto"/>
        <w:rPr>
          <w:rFonts w:ascii="黑体" w:hAnsi="黑体"/>
          <w:b/>
          <w:bCs/>
        </w:rPr>
      </w:pPr>
      <w:bookmarkStart w:id="173" w:name="_Toc46924573"/>
      <w:bookmarkStart w:id="174" w:name="_Toc72489563"/>
      <w:r>
        <w:rPr>
          <w:rFonts w:hint="eastAsia" w:ascii="黑体" w:hAnsi="黑体"/>
          <w:b/>
          <w:bCs/>
        </w:rPr>
        <w:t>★32、其它内容</w:t>
      </w:r>
      <w:bookmarkEnd w:id="173"/>
      <w:bookmarkEnd w:id="174"/>
    </w:p>
    <w:p>
      <w:pPr>
        <w:spacing w:line="360" w:lineRule="auto"/>
        <w:ind w:firstLine="420" w:firstLineChars="200"/>
        <w:jc w:val="left"/>
        <w:rPr>
          <w:rFonts w:hAnsi="宋体" w:cs="宋体"/>
          <w:szCs w:val="21"/>
        </w:rPr>
      </w:pPr>
      <w:r>
        <w:rPr>
          <w:rFonts w:hint="eastAsia" w:hAnsi="宋体" w:cs="宋体"/>
          <w:szCs w:val="21"/>
        </w:rPr>
        <w:t>根据《财政部关于在政府采购活动中查询及使用信用记录有关问题的通知》（财库〔2016〕125号）相关要求，采购人或者采购代理机构对信用记录进行核实，对列入失信被执行人、重大税收违法案件当事人名单、政府采购严重违法失信行为记录名单及其他不符合《中华人民共和国政府采购法》第二十二条规定条件的供应商，拒绝其参与政府采购活动。</w:t>
      </w:r>
    </w:p>
    <w:p/>
    <w:p/>
    <w:p/>
    <w:p/>
    <w:p/>
    <w:p/>
    <w:p/>
    <w:p/>
    <w:p/>
    <w:p/>
    <w:p/>
    <w:p/>
    <w:p/>
    <w:p>
      <w:pPr>
        <w:pStyle w:val="3"/>
        <w:widowControl/>
        <w:spacing w:before="240" w:after="240"/>
        <w:rPr>
          <w:rFonts w:ascii="Times New Roman" w:hAnsi="Times New Roman" w:eastAsia="黑体"/>
          <w:sz w:val="36"/>
          <w:szCs w:val="36"/>
          <w:lang w:val="zh-CN" w:eastAsia="zh-CN"/>
        </w:rPr>
      </w:pPr>
      <w:bookmarkStart w:id="175" w:name="_Toc72489564"/>
      <w:r>
        <w:rPr>
          <w:rFonts w:hint="eastAsia" w:ascii="Times New Roman" w:hAnsi="Times New Roman" w:eastAsia="黑体"/>
          <w:sz w:val="36"/>
          <w:szCs w:val="36"/>
          <w:lang w:val="zh-CN" w:eastAsia="zh-CN"/>
        </w:rPr>
        <w:t>第三章  合同书样式及主要条款</w:t>
      </w:r>
      <w:bookmarkEnd w:id="175"/>
    </w:p>
    <w:p>
      <w:pPr>
        <w:pStyle w:val="4"/>
        <w:spacing w:before="0" w:after="120" w:line="360" w:lineRule="auto"/>
        <w:jc w:val="center"/>
        <w:rPr>
          <w:rFonts w:hint="default" w:ascii="Times New Roman" w:hAnsi="Times New Roman" w:eastAsia="宋体"/>
          <w:b/>
          <w:sz w:val="28"/>
          <w:szCs w:val="28"/>
          <w:lang w:val="en-US" w:eastAsia="zh-CN"/>
        </w:rPr>
      </w:pPr>
      <w:bookmarkStart w:id="176" w:name="_Toc213141091"/>
      <w:bookmarkStart w:id="177" w:name="_Toc481694842"/>
      <w:bookmarkStart w:id="178" w:name="_Toc488633613"/>
      <w:bookmarkStart w:id="179" w:name="_Toc72489565"/>
      <w:r>
        <w:rPr>
          <w:rFonts w:ascii="Times New Roman" w:hAnsi="Times New Roman" w:eastAsia="宋体"/>
          <w:b/>
          <w:sz w:val="28"/>
          <w:szCs w:val="28"/>
          <w:lang w:val="en-US" w:eastAsia="zh-CN"/>
        </w:rPr>
        <w:t>合同条款前附表</w:t>
      </w:r>
      <w:bookmarkEnd w:id="176"/>
      <w:bookmarkEnd w:id="177"/>
      <w:bookmarkEnd w:id="178"/>
      <w:bookmarkEnd w:id="179"/>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2559"/>
        <w:gridCol w:w="5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2" w:type="dxa"/>
            <w:tcBorders>
              <w:bottom w:val="single" w:color="auto" w:sz="4" w:space="0"/>
            </w:tcBorders>
            <w:vAlign w:val="center"/>
          </w:tcPr>
          <w:p>
            <w:pPr>
              <w:pStyle w:val="15"/>
              <w:spacing w:line="360" w:lineRule="auto"/>
              <w:jc w:val="center"/>
              <w:rPr>
                <w:rFonts w:hAnsi="宋体" w:cs="宋体"/>
                <w:b/>
                <w:bCs/>
                <w:szCs w:val="21"/>
              </w:rPr>
            </w:pPr>
            <w:r>
              <w:rPr>
                <w:rFonts w:hint="eastAsia" w:hAnsi="宋体" w:cs="宋体"/>
                <w:b/>
                <w:bCs/>
                <w:szCs w:val="21"/>
              </w:rPr>
              <w:t>序号</w:t>
            </w:r>
          </w:p>
        </w:tc>
        <w:tc>
          <w:tcPr>
            <w:tcW w:w="2559" w:type="dxa"/>
            <w:tcBorders>
              <w:bottom w:val="single" w:color="auto" w:sz="4" w:space="0"/>
            </w:tcBorders>
            <w:vAlign w:val="center"/>
          </w:tcPr>
          <w:p>
            <w:pPr>
              <w:pStyle w:val="15"/>
              <w:spacing w:line="360" w:lineRule="auto"/>
              <w:jc w:val="center"/>
              <w:rPr>
                <w:rFonts w:hAnsi="宋体" w:cs="宋体"/>
                <w:b/>
                <w:bCs/>
                <w:szCs w:val="21"/>
              </w:rPr>
            </w:pPr>
            <w:r>
              <w:rPr>
                <w:rFonts w:hint="eastAsia" w:hAnsi="宋体" w:cs="宋体"/>
                <w:b/>
                <w:bCs/>
                <w:szCs w:val="21"/>
              </w:rPr>
              <w:t>内   容</w:t>
            </w:r>
          </w:p>
        </w:tc>
        <w:tc>
          <w:tcPr>
            <w:tcW w:w="5260" w:type="dxa"/>
            <w:tcBorders>
              <w:bottom w:val="single" w:color="auto" w:sz="4" w:space="0"/>
            </w:tcBorders>
            <w:vAlign w:val="center"/>
          </w:tcPr>
          <w:p>
            <w:pPr>
              <w:pStyle w:val="15"/>
              <w:spacing w:line="360" w:lineRule="auto"/>
              <w:jc w:val="center"/>
              <w:rPr>
                <w:rFonts w:hAnsi="宋体" w:cs="宋体"/>
                <w:b/>
                <w:bCs/>
                <w:szCs w:val="21"/>
              </w:rPr>
            </w:pPr>
            <w:r>
              <w:rPr>
                <w:rFonts w:hint="eastAsia" w:hAnsi="宋体" w:cs="宋体"/>
                <w:b/>
                <w:bCs/>
                <w:szCs w:val="21"/>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2" w:type="dxa"/>
            <w:tcBorders>
              <w:top w:val="single" w:color="auto" w:sz="4" w:space="0"/>
              <w:left w:val="single" w:color="auto" w:sz="4" w:space="0"/>
              <w:bottom w:val="single" w:color="auto" w:sz="4" w:space="0"/>
              <w:right w:val="single" w:color="auto" w:sz="4" w:space="0"/>
            </w:tcBorders>
            <w:vAlign w:val="center"/>
          </w:tcPr>
          <w:p>
            <w:pPr>
              <w:pStyle w:val="15"/>
              <w:spacing w:line="360" w:lineRule="auto"/>
              <w:jc w:val="center"/>
              <w:rPr>
                <w:rFonts w:hAnsi="宋体" w:cs="宋体"/>
                <w:bCs/>
                <w:szCs w:val="21"/>
              </w:rPr>
            </w:pPr>
            <w:r>
              <w:rPr>
                <w:rFonts w:hint="eastAsia" w:hAnsi="宋体" w:cs="宋体"/>
                <w:bCs/>
                <w:szCs w:val="21"/>
              </w:rPr>
              <w:t>1</w:t>
            </w:r>
          </w:p>
        </w:tc>
        <w:tc>
          <w:tcPr>
            <w:tcW w:w="2559" w:type="dxa"/>
            <w:tcBorders>
              <w:top w:val="single" w:color="auto" w:sz="4" w:space="0"/>
              <w:left w:val="single" w:color="auto" w:sz="4" w:space="0"/>
              <w:bottom w:val="single" w:color="auto" w:sz="4" w:space="0"/>
            </w:tcBorders>
            <w:vAlign w:val="center"/>
          </w:tcPr>
          <w:p>
            <w:pPr>
              <w:spacing w:line="360" w:lineRule="auto"/>
              <w:jc w:val="center"/>
              <w:rPr>
                <w:rFonts w:hAnsi="宋体" w:cs="宋体"/>
                <w:szCs w:val="21"/>
              </w:rPr>
            </w:pPr>
            <w:r>
              <w:rPr>
                <w:rFonts w:hint="eastAsia" w:hAnsi="宋体" w:cs="宋体"/>
                <w:szCs w:val="21"/>
              </w:rPr>
              <w:t>项目实施地点</w:t>
            </w:r>
          </w:p>
        </w:tc>
        <w:tc>
          <w:tcPr>
            <w:tcW w:w="5260" w:type="dxa"/>
            <w:tcBorders>
              <w:top w:val="single" w:color="auto" w:sz="4" w:space="0"/>
              <w:left w:val="single" w:color="auto" w:sz="4" w:space="0"/>
              <w:bottom w:val="single" w:color="auto" w:sz="4" w:space="0"/>
            </w:tcBorders>
            <w:vAlign w:val="center"/>
          </w:tcPr>
          <w:p>
            <w:pPr>
              <w:spacing w:line="360" w:lineRule="auto"/>
              <w:rPr>
                <w:rFonts w:hAnsi="宋体" w:cs="宋体"/>
                <w:szCs w:val="21"/>
              </w:rPr>
            </w:pPr>
            <w:r>
              <w:rPr>
                <w:rFonts w:hint="eastAsia" w:hAnsi="宋体" w:cs="宋体"/>
                <w:szCs w:val="21"/>
              </w:rPr>
              <w:t>昆明市西山区政务服务管理局（昆明市西山区春雨路 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2" w:type="dxa"/>
            <w:tcBorders>
              <w:top w:val="single" w:color="auto" w:sz="4" w:space="0"/>
            </w:tcBorders>
            <w:vAlign w:val="center"/>
          </w:tcPr>
          <w:p>
            <w:pPr>
              <w:pStyle w:val="15"/>
              <w:spacing w:line="360" w:lineRule="auto"/>
              <w:jc w:val="center"/>
              <w:rPr>
                <w:rFonts w:hAnsi="宋体" w:cs="宋体"/>
                <w:bCs/>
                <w:szCs w:val="21"/>
              </w:rPr>
            </w:pPr>
            <w:r>
              <w:rPr>
                <w:rFonts w:hint="eastAsia" w:hAnsi="宋体" w:cs="宋体"/>
                <w:bCs/>
                <w:szCs w:val="21"/>
              </w:rPr>
              <w:t>2</w:t>
            </w:r>
          </w:p>
        </w:tc>
        <w:tc>
          <w:tcPr>
            <w:tcW w:w="2559" w:type="dxa"/>
            <w:tcBorders>
              <w:top w:val="single" w:color="auto" w:sz="4" w:space="0"/>
            </w:tcBorders>
            <w:vAlign w:val="center"/>
          </w:tcPr>
          <w:p>
            <w:pPr>
              <w:spacing w:line="360" w:lineRule="auto"/>
              <w:jc w:val="center"/>
              <w:rPr>
                <w:rFonts w:hAnsi="宋体" w:cs="宋体"/>
                <w:szCs w:val="21"/>
              </w:rPr>
            </w:pPr>
            <w:r>
              <w:rPr>
                <w:rFonts w:hint="eastAsia" w:hAnsi="宋体" w:cs="宋体"/>
                <w:szCs w:val="21"/>
              </w:rPr>
              <w:t>合同履行期限</w:t>
            </w:r>
          </w:p>
        </w:tc>
        <w:tc>
          <w:tcPr>
            <w:tcW w:w="5260" w:type="dxa"/>
            <w:tcBorders>
              <w:top w:val="single" w:color="auto" w:sz="4" w:space="0"/>
            </w:tcBorders>
            <w:vAlign w:val="center"/>
          </w:tcPr>
          <w:p>
            <w:pPr>
              <w:spacing w:line="360" w:lineRule="auto"/>
              <w:jc w:val="left"/>
              <w:rPr>
                <w:rFonts w:hAnsi="宋体" w:cs="宋体"/>
                <w:szCs w:val="21"/>
              </w:rPr>
            </w:pPr>
            <w:r>
              <w:rPr>
                <w:rFonts w:hint="eastAsia" w:hAnsi="宋体" w:cs="宋体"/>
                <w:szCs w:val="21"/>
              </w:rPr>
              <w:t>建设周期为60日历天，运维服务期为自验收合格之日起壹年。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2" w:type="dxa"/>
            <w:vAlign w:val="center"/>
          </w:tcPr>
          <w:p>
            <w:pPr>
              <w:pStyle w:val="15"/>
              <w:spacing w:line="360" w:lineRule="auto"/>
              <w:jc w:val="center"/>
              <w:rPr>
                <w:rFonts w:hAnsi="宋体" w:cs="宋体"/>
                <w:bCs/>
                <w:szCs w:val="21"/>
              </w:rPr>
            </w:pPr>
            <w:r>
              <w:rPr>
                <w:rFonts w:hint="eastAsia" w:hAnsi="宋体" w:cs="宋体"/>
                <w:bCs/>
                <w:szCs w:val="21"/>
              </w:rPr>
              <w:t>3</w:t>
            </w:r>
          </w:p>
        </w:tc>
        <w:tc>
          <w:tcPr>
            <w:tcW w:w="2559" w:type="dxa"/>
            <w:vAlign w:val="center"/>
          </w:tcPr>
          <w:p>
            <w:pPr>
              <w:spacing w:line="360" w:lineRule="auto"/>
              <w:jc w:val="center"/>
              <w:rPr>
                <w:rFonts w:hAnsi="宋体" w:cs="宋体"/>
                <w:szCs w:val="21"/>
              </w:rPr>
            </w:pPr>
            <w:r>
              <w:rPr>
                <w:rFonts w:hint="eastAsia" w:hAnsi="宋体" w:cs="宋体"/>
                <w:szCs w:val="21"/>
              </w:rPr>
              <w:t>付款方式</w:t>
            </w:r>
          </w:p>
        </w:tc>
        <w:tc>
          <w:tcPr>
            <w:tcW w:w="5260" w:type="dxa"/>
            <w:vAlign w:val="center"/>
          </w:tcPr>
          <w:p>
            <w:pPr>
              <w:spacing w:line="360" w:lineRule="auto"/>
              <w:rPr>
                <w:rFonts w:hAnsi="宋体" w:cs="宋体"/>
                <w:szCs w:val="21"/>
              </w:rPr>
            </w:pPr>
            <w:r>
              <w:rPr>
                <w:rFonts w:hint="eastAsia" w:hAnsi="宋体" w:cs="宋体"/>
                <w:szCs w:val="21"/>
              </w:rPr>
              <w:t>建设周期完成验收合格后支付合同金额的8</w:t>
            </w:r>
            <w:r>
              <w:rPr>
                <w:rFonts w:hAnsi="宋体" w:cs="宋体"/>
                <w:szCs w:val="21"/>
              </w:rPr>
              <w:t>0</w:t>
            </w:r>
            <w:r>
              <w:rPr>
                <w:rFonts w:hint="eastAsia" w:hAnsi="宋体" w:cs="宋体"/>
                <w:szCs w:val="21"/>
              </w:rPr>
              <w:t>%，运维服务期满支付剩余费用。</w:t>
            </w:r>
          </w:p>
        </w:tc>
      </w:tr>
    </w:tbl>
    <w:p/>
    <w:p/>
    <w:p/>
    <w:p/>
    <w:p/>
    <w:p/>
    <w:p/>
    <w:p/>
    <w:p/>
    <w:p/>
    <w:p/>
    <w:p/>
    <w:p/>
    <w:p/>
    <w:p/>
    <w:p/>
    <w:p/>
    <w:p/>
    <w:p/>
    <w:p/>
    <w:p/>
    <w:p/>
    <w:p>
      <w:pPr>
        <w:spacing w:line="360" w:lineRule="auto"/>
        <w:ind w:left="502"/>
        <w:jc w:val="left"/>
        <w:rPr>
          <w:rFonts w:hAnsi="宋体"/>
          <w:szCs w:val="21"/>
        </w:rPr>
      </w:pPr>
    </w:p>
    <w:p>
      <w:pPr>
        <w:spacing w:line="360" w:lineRule="auto"/>
        <w:ind w:left="502"/>
        <w:jc w:val="left"/>
        <w:rPr>
          <w:rFonts w:hAnsi="宋体"/>
          <w:szCs w:val="21"/>
        </w:rPr>
      </w:pPr>
    </w:p>
    <w:p>
      <w:pPr>
        <w:spacing w:line="360" w:lineRule="auto"/>
        <w:ind w:left="502"/>
        <w:jc w:val="left"/>
        <w:rPr>
          <w:rFonts w:hAnsi="宋体"/>
          <w:szCs w:val="21"/>
        </w:rPr>
      </w:pPr>
    </w:p>
    <w:tbl>
      <w:tblPr>
        <w:tblStyle w:val="28"/>
        <w:tblW w:w="9750" w:type="dxa"/>
        <w:jc w:val="center"/>
        <w:tblCellSpacing w:w="0" w:type="dxa"/>
        <w:tblLayout w:type="autofit"/>
        <w:tblCellMar>
          <w:top w:w="0" w:type="dxa"/>
          <w:left w:w="0" w:type="dxa"/>
          <w:bottom w:w="0" w:type="dxa"/>
          <w:right w:w="0" w:type="dxa"/>
        </w:tblCellMar>
      </w:tblPr>
      <w:tblGrid>
        <w:gridCol w:w="9750"/>
      </w:tblGrid>
      <w:tr>
        <w:tblPrEx>
          <w:tblCellMar>
            <w:top w:w="0" w:type="dxa"/>
            <w:left w:w="0" w:type="dxa"/>
            <w:bottom w:w="0" w:type="dxa"/>
            <w:right w:w="0" w:type="dxa"/>
          </w:tblCellMar>
        </w:tblPrEx>
        <w:trPr>
          <w:tblCellSpacing w:w="0" w:type="dxa"/>
          <w:jc w:val="center"/>
        </w:trPr>
        <w:tc>
          <w:tcPr>
            <w:tcW w:w="0" w:type="auto"/>
            <w:vAlign w:val="center"/>
          </w:tcPr>
          <w:tbl>
            <w:tblPr>
              <w:tblStyle w:val="28"/>
              <w:tblW w:w="9750" w:type="dxa"/>
              <w:tblCellSpacing w:w="0" w:type="dxa"/>
              <w:tblInd w:w="0" w:type="dxa"/>
              <w:tblLayout w:type="autofit"/>
              <w:tblCellMar>
                <w:top w:w="0" w:type="dxa"/>
                <w:left w:w="0" w:type="dxa"/>
                <w:bottom w:w="0" w:type="dxa"/>
                <w:right w:w="0" w:type="dxa"/>
              </w:tblCellMar>
            </w:tblPr>
            <w:tblGrid>
              <w:gridCol w:w="1305"/>
              <w:gridCol w:w="1281"/>
              <w:gridCol w:w="1590"/>
              <w:gridCol w:w="996"/>
              <w:gridCol w:w="1138"/>
              <w:gridCol w:w="1305"/>
              <w:gridCol w:w="2135"/>
            </w:tblGrid>
            <w:tr>
              <w:tblPrEx>
                <w:tblCellMar>
                  <w:top w:w="0" w:type="dxa"/>
                  <w:left w:w="0" w:type="dxa"/>
                  <w:bottom w:w="0" w:type="dxa"/>
                  <w:right w:w="0" w:type="dxa"/>
                </w:tblCellMar>
              </w:tblPrEx>
              <w:trPr>
                <w:tblCellSpacing w:w="0" w:type="dxa"/>
              </w:trPr>
              <w:tc>
                <w:tcPr>
                  <w:tcW w:w="1350" w:type="dxa"/>
                  <w:vAlign w:val="center"/>
                </w:tcPr>
                <w:p>
                  <w:pPr>
                    <w:widowControl/>
                    <w:jc w:val="right"/>
                    <w:rPr>
                      <w:rFonts w:hAnsi="宋体" w:cs="宋体"/>
                      <w:snapToGrid/>
                      <w:kern w:val="0"/>
                      <w:sz w:val="24"/>
                    </w:rPr>
                  </w:pPr>
                  <w:r>
                    <w:rPr>
                      <w:rFonts w:hint="eastAsia" w:ascii="仿宋_GB2312" w:hAnsi="宋体" w:eastAsia="仿宋_GB2312" w:cs="宋体"/>
                      <w:snapToGrid/>
                      <w:kern w:val="0"/>
                      <w:sz w:val="24"/>
                    </w:rPr>
                    <w:t>合同编号：</w:t>
                  </w:r>
                </w:p>
              </w:tc>
              <w:tc>
                <w:tcPr>
                  <w:tcW w:w="1350" w:type="dxa"/>
                  <w:vAlign w:val="center"/>
                </w:tcPr>
                <w:p>
                  <w:pPr>
                    <w:widowControl/>
                    <w:jc w:val="left"/>
                    <w:rPr>
                      <w:rFonts w:hAnsi="宋体" w:cs="宋体"/>
                      <w:snapToGrid/>
                      <w:kern w:val="0"/>
                      <w:sz w:val="24"/>
                    </w:rPr>
                  </w:pPr>
                  <w:r>
                    <w:rPr>
                      <w:rFonts w:hAnsi="宋体" w:cs="宋体"/>
                      <w:snapToGrid/>
                      <w:kern w:val="0"/>
                      <w:sz w:val="24"/>
                    </w:rPr>
                    <w:t xml:space="preserve">      </w:t>
                  </w:r>
                </w:p>
              </w:tc>
              <w:tc>
                <w:tcPr>
                  <w:tcW w:w="1650" w:type="dxa"/>
                  <w:vAlign w:val="center"/>
                </w:tcPr>
                <w:p>
                  <w:pPr>
                    <w:widowControl/>
                    <w:jc w:val="right"/>
                    <w:rPr>
                      <w:rFonts w:hAnsi="宋体" w:cs="宋体"/>
                      <w:snapToGrid/>
                      <w:kern w:val="0"/>
                      <w:sz w:val="24"/>
                    </w:rPr>
                  </w:pPr>
                  <w:r>
                    <w:rPr>
                      <w:rFonts w:hint="eastAsia" w:ascii="仿宋_GB2312" w:hAnsi="宋体" w:eastAsia="仿宋_GB2312" w:cs="宋体"/>
                      <w:snapToGrid/>
                      <w:kern w:val="0"/>
                      <w:sz w:val="24"/>
                    </w:rPr>
                    <w:t xml:space="preserve"> 合同自编号</w:t>
                  </w:r>
                  <w:r>
                    <w:rPr>
                      <w:rFonts w:hAnsi="宋体" w:cs="宋体"/>
                      <w:snapToGrid/>
                      <w:kern w:val="0"/>
                      <w:sz w:val="24"/>
                    </w:rPr>
                    <w:t>：</w:t>
                  </w:r>
                </w:p>
              </w:tc>
              <w:tc>
                <w:tcPr>
                  <w:tcW w:w="1050" w:type="dxa"/>
                  <w:vAlign w:val="center"/>
                </w:tcPr>
                <w:p>
                  <w:pPr>
                    <w:widowControl/>
                    <w:jc w:val="right"/>
                    <w:rPr>
                      <w:rFonts w:hAnsi="宋体" w:cs="宋体"/>
                      <w:snapToGrid/>
                      <w:kern w:val="0"/>
                      <w:sz w:val="24"/>
                    </w:rPr>
                  </w:pPr>
                </w:p>
              </w:tc>
              <w:tc>
                <w:tcPr>
                  <w:tcW w:w="1200" w:type="dxa"/>
                  <w:vAlign w:val="center"/>
                </w:tcPr>
                <w:p>
                  <w:pPr>
                    <w:widowControl/>
                    <w:jc w:val="left"/>
                    <w:rPr>
                      <w:rFonts w:ascii="Times New Roman" w:hAnsi="Times New Roman" w:eastAsia="Times New Roman"/>
                      <w:snapToGrid/>
                      <w:kern w:val="0"/>
                      <w:sz w:val="20"/>
                      <w:szCs w:val="20"/>
                    </w:rPr>
                  </w:pPr>
                </w:p>
              </w:tc>
              <w:tc>
                <w:tcPr>
                  <w:tcW w:w="1350" w:type="dxa"/>
                  <w:vAlign w:val="center"/>
                </w:tcPr>
                <w:p>
                  <w:pPr>
                    <w:widowControl/>
                    <w:spacing w:before="100" w:beforeAutospacing="1" w:after="100" w:afterAutospacing="1"/>
                    <w:jc w:val="left"/>
                    <w:rPr>
                      <w:rFonts w:hAnsi="宋体" w:cs="宋体"/>
                      <w:snapToGrid/>
                      <w:kern w:val="0"/>
                      <w:sz w:val="24"/>
                    </w:rPr>
                  </w:pPr>
                  <w:r>
                    <w:rPr>
                      <w:rFonts w:hint="eastAsia" w:ascii="仿宋_GB2312" w:hAnsi="宋体" w:eastAsia="仿宋_GB2312" w:cs="宋体"/>
                      <w:snapToGrid/>
                      <w:kern w:val="0"/>
                      <w:sz w:val="24"/>
                    </w:rPr>
                    <w:t>招标编号</w:t>
                  </w:r>
                  <w:r>
                    <w:rPr>
                      <w:rFonts w:hAnsi="宋体" w:cs="宋体"/>
                      <w:snapToGrid/>
                      <w:kern w:val="0"/>
                      <w:sz w:val="24"/>
                    </w:rPr>
                    <w:t>：</w:t>
                  </w:r>
                </w:p>
              </w:tc>
              <w:tc>
                <w:tcPr>
                  <w:tcW w:w="2250" w:type="dxa"/>
                  <w:vAlign w:val="center"/>
                </w:tcPr>
                <w:p>
                  <w:pPr>
                    <w:widowControl/>
                    <w:jc w:val="left"/>
                    <w:rPr>
                      <w:rFonts w:hAnsi="宋体" w:cs="宋体"/>
                      <w:snapToGrid/>
                      <w:kern w:val="0"/>
                      <w:sz w:val="24"/>
                    </w:rPr>
                  </w:pPr>
                </w:p>
              </w:tc>
            </w:tr>
          </w:tbl>
          <w:p>
            <w:pPr>
              <w:widowControl/>
              <w:spacing w:after="240"/>
              <w:jc w:val="left"/>
              <w:rPr>
                <w:rFonts w:ascii="微软雅黑" w:hAnsi="微软雅黑" w:eastAsia="微软雅黑" w:cs="宋体"/>
                <w:snapToGrid/>
                <w:kern w:val="0"/>
                <w:sz w:val="24"/>
              </w:rPr>
            </w:pPr>
            <w:r>
              <w:rPr>
                <w:rFonts w:hint="eastAsia" w:ascii="微软雅黑" w:hAnsi="微软雅黑" w:eastAsia="微软雅黑" w:cs="宋体"/>
                <w:snapToGrid/>
                <w:kern w:val="0"/>
                <w:sz w:val="24"/>
              </w:rPr>
              <w:br w:type="textWrapping"/>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after="240"/>
              <w:jc w:val="left"/>
              <w:rPr>
                <w:rFonts w:ascii="微软雅黑" w:hAnsi="微软雅黑" w:eastAsia="微软雅黑" w:cs="宋体"/>
                <w:snapToGrid/>
                <w:kern w:val="0"/>
                <w:sz w:val="24"/>
              </w:rPr>
            </w:pPr>
            <w:r>
              <w:rPr>
                <w:rFonts w:hint="eastAsia" w:ascii="仿宋_GB2312" w:hAnsi="微软雅黑" w:eastAsia="仿宋_GB2312" w:cs="宋体"/>
                <w:snapToGrid/>
                <w:kern w:val="0"/>
                <w:sz w:val="24"/>
              </w:rPr>
              <w:t>●本合同须加盖甲乙双方骑缝章有效</w:t>
            </w:r>
            <w:r>
              <w:rPr>
                <w:rFonts w:hint="eastAsia" w:ascii="微软雅黑" w:hAnsi="微软雅黑" w:eastAsia="微软雅黑" w:cs="宋体"/>
                <w:snapToGrid/>
                <w:kern w:val="0"/>
                <w:sz w:val="24"/>
              </w:rPr>
              <w:br w:type="textWrapping"/>
            </w:r>
            <w:r>
              <w:rPr>
                <w:rFonts w:hint="eastAsia" w:ascii="微软雅黑" w:hAnsi="微软雅黑" w:eastAsia="微软雅黑" w:cs="宋体"/>
                <w:snapToGrid/>
                <w:kern w:val="0"/>
                <w:sz w:val="24"/>
              </w:rPr>
              <w:br w:type="textWrapping"/>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after="240"/>
              <w:jc w:val="center"/>
              <w:rPr>
                <w:rFonts w:ascii="微软雅黑" w:hAnsi="微软雅黑" w:eastAsia="微软雅黑" w:cs="宋体"/>
                <w:snapToGrid/>
                <w:kern w:val="0"/>
                <w:sz w:val="24"/>
              </w:rPr>
            </w:pPr>
            <w:r>
              <w:rPr>
                <w:rFonts w:hint="eastAsia" w:ascii="黑体" w:hAnsi="黑体" w:eastAsia="黑体" w:cs="宋体"/>
                <w:snapToGrid/>
                <w:kern w:val="0"/>
                <w:sz w:val="39"/>
                <w:szCs w:val="39"/>
              </w:rPr>
              <w:t>云南省政府采购</w:t>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after="240"/>
              <w:jc w:val="center"/>
              <w:rPr>
                <w:rFonts w:ascii="微软雅黑" w:hAnsi="微软雅黑" w:eastAsia="微软雅黑" w:cs="宋体"/>
                <w:snapToGrid/>
                <w:kern w:val="0"/>
                <w:sz w:val="24"/>
              </w:rPr>
            </w:pPr>
            <w:r>
              <w:rPr>
                <w:rFonts w:hint="eastAsia" w:ascii="微软雅黑" w:hAnsi="微软雅黑" w:eastAsia="微软雅黑" w:cs="宋体"/>
                <w:snapToGrid/>
                <w:kern w:val="0"/>
                <w:sz w:val="24"/>
              </w:rPr>
              <w:t>（委托采购） </w:t>
            </w:r>
            <w:r>
              <w:rPr>
                <w:rFonts w:hint="eastAsia" w:ascii="微软雅黑" w:hAnsi="微软雅黑" w:eastAsia="微软雅黑" w:cs="宋体"/>
                <w:snapToGrid/>
                <w:kern w:val="0"/>
                <w:sz w:val="24"/>
              </w:rPr>
              <w:br w:type="textWrapping"/>
            </w:r>
            <w:r>
              <w:rPr>
                <w:rFonts w:hint="eastAsia" w:ascii="微软雅黑" w:hAnsi="微软雅黑" w:eastAsia="微软雅黑" w:cs="宋体"/>
                <w:snapToGrid/>
                <w:kern w:val="0"/>
                <w:sz w:val="24"/>
              </w:rPr>
              <w:br w:type="textWrapping"/>
            </w:r>
            <w:r>
              <w:rPr>
                <w:rFonts w:hint="eastAsia" w:ascii="微软雅黑" w:hAnsi="微软雅黑" w:eastAsia="微软雅黑" w:cs="宋体"/>
                <w:snapToGrid/>
                <w:kern w:val="0"/>
                <w:sz w:val="24"/>
              </w:rPr>
              <w:br w:type="textWrapping"/>
            </w:r>
            <w:r>
              <w:rPr>
                <w:rFonts w:hint="eastAsia" w:ascii="微软雅黑" w:hAnsi="微软雅黑" w:eastAsia="微软雅黑" w:cs="宋体"/>
                <w:snapToGrid/>
                <w:kern w:val="0"/>
                <w:sz w:val="24"/>
              </w:rPr>
              <w:br w:type="textWrapping"/>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after="240"/>
              <w:jc w:val="center"/>
              <w:rPr>
                <w:rFonts w:ascii="微软雅黑" w:hAnsi="微软雅黑" w:eastAsia="微软雅黑" w:cs="宋体"/>
                <w:snapToGrid/>
                <w:kern w:val="0"/>
                <w:sz w:val="24"/>
              </w:rPr>
            </w:pPr>
            <w:r>
              <w:rPr>
                <w:rFonts w:hint="eastAsia" w:ascii="黑体" w:hAnsi="黑体" w:eastAsia="黑体" w:cs="宋体"/>
                <w:snapToGrid/>
                <w:kern w:val="0"/>
                <w:sz w:val="63"/>
                <w:szCs w:val="63"/>
              </w:rPr>
              <w:t>合</w:t>
            </w:r>
            <w:r>
              <w:rPr>
                <w:rFonts w:hint="eastAsia" w:ascii="微软雅黑" w:hAnsi="微软雅黑" w:eastAsia="微软雅黑" w:cs="宋体"/>
                <w:snapToGrid/>
                <w:kern w:val="0"/>
                <w:sz w:val="24"/>
              </w:rPr>
              <w:t> </w:t>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after="240"/>
              <w:jc w:val="center"/>
              <w:rPr>
                <w:rFonts w:ascii="微软雅黑" w:hAnsi="微软雅黑" w:eastAsia="微软雅黑" w:cs="宋体"/>
                <w:snapToGrid/>
                <w:kern w:val="0"/>
                <w:sz w:val="24"/>
              </w:rPr>
            </w:pPr>
            <w:r>
              <w:rPr>
                <w:rFonts w:hint="eastAsia" w:ascii="黑体" w:hAnsi="黑体" w:eastAsia="黑体" w:cs="宋体"/>
                <w:snapToGrid/>
                <w:kern w:val="0"/>
                <w:sz w:val="63"/>
                <w:szCs w:val="63"/>
              </w:rPr>
              <w:t>同</w:t>
            </w:r>
            <w:r>
              <w:rPr>
                <w:rFonts w:hint="eastAsia" w:ascii="微软雅黑" w:hAnsi="微软雅黑" w:eastAsia="微软雅黑" w:cs="宋体"/>
                <w:snapToGrid/>
                <w:kern w:val="0"/>
                <w:sz w:val="24"/>
              </w:rPr>
              <w:t> </w:t>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after="240"/>
              <w:jc w:val="center"/>
              <w:rPr>
                <w:rFonts w:ascii="微软雅黑" w:hAnsi="微软雅黑" w:eastAsia="微软雅黑" w:cs="宋体"/>
                <w:snapToGrid/>
                <w:kern w:val="0"/>
                <w:sz w:val="24"/>
              </w:rPr>
            </w:pPr>
            <w:r>
              <w:rPr>
                <w:rFonts w:hint="eastAsia" w:ascii="黑体" w:hAnsi="黑体" w:eastAsia="黑体" w:cs="宋体"/>
                <w:snapToGrid/>
                <w:kern w:val="0"/>
                <w:sz w:val="63"/>
                <w:szCs w:val="63"/>
              </w:rPr>
              <w:t>书</w:t>
            </w:r>
            <w:r>
              <w:rPr>
                <w:rFonts w:hint="eastAsia" w:ascii="微软雅黑" w:hAnsi="微软雅黑" w:eastAsia="微软雅黑" w:cs="宋体"/>
                <w:snapToGrid/>
                <w:kern w:val="0"/>
                <w:sz w:val="24"/>
              </w:rPr>
              <w:t> </w:t>
            </w:r>
            <w:r>
              <w:rPr>
                <w:rFonts w:hint="eastAsia" w:ascii="微软雅黑" w:hAnsi="微软雅黑" w:eastAsia="微软雅黑" w:cs="宋体"/>
                <w:snapToGrid/>
                <w:kern w:val="0"/>
                <w:sz w:val="24"/>
              </w:rPr>
              <w:br w:type="textWrapping"/>
            </w:r>
            <w:r>
              <w:rPr>
                <w:rFonts w:hint="eastAsia" w:ascii="微软雅黑" w:hAnsi="微软雅黑" w:eastAsia="微软雅黑" w:cs="宋体"/>
                <w:snapToGrid/>
                <w:kern w:val="0"/>
                <w:sz w:val="24"/>
              </w:rPr>
              <w:br w:type="textWrapping"/>
            </w:r>
            <w:r>
              <w:rPr>
                <w:rFonts w:hint="eastAsia" w:ascii="微软雅黑" w:hAnsi="微软雅黑" w:eastAsia="微软雅黑" w:cs="宋体"/>
                <w:snapToGrid/>
                <w:kern w:val="0"/>
                <w:sz w:val="24"/>
              </w:rPr>
              <w:br w:type="textWrapping"/>
            </w:r>
            <w:r>
              <w:rPr>
                <w:rFonts w:hint="eastAsia" w:ascii="微软雅黑" w:hAnsi="微软雅黑" w:eastAsia="微软雅黑" w:cs="宋体"/>
                <w:snapToGrid/>
                <w:kern w:val="0"/>
                <w:sz w:val="24"/>
              </w:rPr>
              <w:br w:type="textWrapping"/>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after="240"/>
              <w:jc w:val="center"/>
              <w:rPr>
                <w:rFonts w:ascii="微软雅黑" w:hAnsi="微软雅黑" w:eastAsia="微软雅黑" w:cs="宋体"/>
                <w:snapToGrid/>
                <w:kern w:val="0"/>
                <w:sz w:val="24"/>
              </w:rPr>
            </w:pPr>
            <w:r>
              <w:rPr>
                <w:rFonts w:hint="eastAsia" w:ascii="楷体_GB2312" w:hAnsi="微软雅黑" w:eastAsia="楷体_GB2312" w:cs="宋体"/>
                <w:b/>
                <w:bCs/>
                <w:snapToGrid/>
                <w:kern w:val="0"/>
                <w:sz w:val="27"/>
                <w:szCs w:val="27"/>
              </w:rPr>
              <w:t>签订地点:                             </w:t>
            </w:r>
            <w:r>
              <w:rPr>
                <w:rFonts w:hint="eastAsia" w:ascii="微软雅黑" w:hAnsi="微软雅黑" w:eastAsia="微软雅黑" w:cs="宋体"/>
                <w:snapToGrid/>
                <w:kern w:val="0"/>
                <w:sz w:val="24"/>
              </w:rPr>
              <w:br w:type="textWrapping"/>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after="240"/>
              <w:jc w:val="center"/>
              <w:rPr>
                <w:rFonts w:ascii="微软雅黑" w:hAnsi="微软雅黑" w:eastAsia="微软雅黑" w:cs="宋体"/>
                <w:snapToGrid/>
                <w:kern w:val="0"/>
                <w:sz w:val="24"/>
              </w:rPr>
            </w:pPr>
            <w:r>
              <w:rPr>
                <w:rFonts w:hint="eastAsia" w:ascii="微软雅黑" w:hAnsi="微软雅黑" w:eastAsia="微软雅黑" w:cs="宋体"/>
                <w:snapToGrid/>
                <w:kern w:val="0"/>
                <w:sz w:val="24"/>
              </w:rPr>
              <w:br w:type="textWrapping"/>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before="100" w:beforeAutospacing="1" w:after="100" w:afterAutospacing="1"/>
              <w:jc w:val="center"/>
              <w:rPr>
                <w:rFonts w:ascii="微软雅黑" w:hAnsi="微软雅黑" w:eastAsia="微软雅黑" w:cs="宋体"/>
                <w:snapToGrid/>
                <w:kern w:val="0"/>
                <w:sz w:val="24"/>
              </w:rPr>
            </w:pPr>
            <w:r>
              <w:rPr>
                <w:rFonts w:hint="eastAsia" w:ascii="楷体_GB2312" w:hAnsi="微软雅黑" w:eastAsia="楷体_GB2312" w:cs="宋体"/>
                <w:b/>
                <w:bCs/>
                <w:snapToGrid/>
                <w:kern w:val="0"/>
                <w:sz w:val="27"/>
                <w:szCs w:val="27"/>
              </w:rPr>
              <w:t>云南省财政厅　制</w:t>
            </w:r>
          </w:p>
          <w:p>
            <w:pPr>
              <w:widowControl/>
              <w:jc w:val="center"/>
              <w:rPr>
                <w:rFonts w:ascii="微软雅黑" w:hAnsi="微软雅黑" w:eastAsia="微软雅黑" w:cs="宋体"/>
                <w:snapToGrid/>
                <w:kern w:val="0"/>
                <w:sz w:val="24"/>
              </w:rPr>
            </w:pPr>
          </w:p>
        </w:tc>
      </w:tr>
      <w:tr>
        <w:tblPrEx>
          <w:tblCellMar>
            <w:top w:w="0" w:type="dxa"/>
            <w:left w:w="0" w:type="dxa"/>
            <w:bottom w:w="0" w:type="dxa"/>
            <w:right w:w="0" w:type="dxa"/>
          </w:tblCellMar>
        </w:tblPrEx>
        <w:trPr>
          <w:tblCellSpacing w:w="0" w:type="dxa"/>
          <w:jc w:val="center"/>
        </w:trPr>
        <w:tc>
          <w:tcPr>
            <w:tcW w:w="0" w:type="auto"/>
            <w:vAlign w:val="center"/>
          </w:tcPr>
          <w:tbl>
            <w:tblPr>
              <w:tblStyle w:val="28"/>
              <w:tblW w:w="5000" w:type="pct"/>
              <w:jc w:val="center"/>
              <w:tblCellSpacing w:w="0" w:type="dxa"/>
              <w:tblLayout w:type="autofit"/>
              <w:tblCellMar>
                <w:top w:w="0" w:type="dxa"/>
                <w:left w:w="0" w:type="dxa"/>
                <w:bottom w:w="0" w:type="dxa"/>
                <w:right w:w="0" w:type="dxa"/>
              </w:tblCellMar>
            </w:tblPr>
            <w:tblGrid>
              <w:gridCol w:w="1657"/>
              <w:gridCol w:w="8093"/>
            </w:tblGrid>
            <w:tr>
              <w:tblPrEx>
                <w:tblCellMar>
                  <w:top w:w="0" w:type="dxa"/>
                  <w:left w:w="0" w:type="dxa"/>
                  <w:bottom w:w="0" w:type="dxa"/>
                  <w:right w:w="0" w:type="dxa"/>
                </w:tblCellMar>
              </w:tblPrEx>
              <w:trPr>
                <w:tblCellSpacing w:w="0" w:type="dxa"/>
                <w:jc w:val="center"/>
              </w:trPr>
              <w:tc>
                <w:tcPr>
                  <w:tcW w:w="0" w:type="auto"/>
                  <w:gridSpan w:val="2"/>
                  <w:vAlign w:val="bottom"/>
                </w:tcPr>
                <w:p>
                  <w:pPr>
                    <w:widowControl/>
                    <w:spacing w:after="240"/>
                    <w:jc w:val="left"/>
                    <w:rPr>
                      <w:rFonts w:hAnsi="宋体" w:cs="宋体"/>
                      <w:snapToGrid/>
                      <w:kern w:val="0"/>
                      <w:sz w:val="24"/>
                    </w:rPr>
                  </w:pPr>
                  <w:r>
                    <w:rPr>
                      <w:rFonts w:hAnsi="宋体" w:cs="宋体"/>
                      <w:snapToGrid/>
                      <w:kern w:val="0"/>
                      <w:sz w:val="24"/>
                    </w:rPr>
                    <w:t>甲方（采购人公章）名 称：</w:t>
                  </w:r>
                </w:p>
              </w:tc>
            </w:tr>
            <w:tr>
              <w:tblPrEx>
                <w:tblCellMar>
                  <w:top w:w="0" w:type="dxa"/>
                  <w:left w:w="0" w:type="dxa"/>
                  <w:bottom w:w="0" w:type="dxa"/>
                  <w:right w:w="0" w:type="dxa"/>
                </w:tblCellMar>
              </w:tblPrEx>
              <w:trPr>
                <w:tblCellSpacing w:w="0" w:type="dxa"/>
                <w:jc w:val="center"/>
              </w:trPr>
              <w:tc>
                <w:tcPr>
                  <w:tcW w:w="850" w:type="pct"/>
                  <w:vAlign w:val="bottom"/>
                </w:tcPr>
                <w:p>
                  <w:pPr>
                    <w:widowControl/>
                    <w:spacing w:after="240"/>
                    <w:jc w:val="left"/>
                    <w:rPr>
                      <w:rFonts w:hAnsi="宋体" w:cs="宋体"/>
                      <w:snapToGrid/>
                      <w:kern w:val="0"/>
                      <w:sz w:val="24"/>
                    </w:rPr>
                  </w:pPr>
                </w:p>
              </w:tc>
              <w:tc>
                <w:tcPr>
                  <w:tcW w:w="4150" w:type="pct"/>
                  <w:vAlign w:val="bottom"/>
                </w:tcPr>
                <w:p>
                  <w:pPr>
                    <w:widowControl/>
                    <w:spacing w:after="240"/>
                    <w:jc w:val="left"/>
                    <w:rPr>
                      <w:rFonts w:hAnsi="宋体" w:cs="宋体"/>
                      <w:snapToGrid/>
                      <w:kern w:val="0"/>
                      <w:sz w:val="24"/>
                    </w:rPr>
                  </w:pPr>
                  <w:r>
                    <w:rPr>
                      <w:rFonts w:hAnsi="宋体" w:cs="宋体"/>
                      <w:snapToGrid/>
                      <w:kern w:val="0"/>
                      <w:sz w:val="24"/>
                    </w:rPr>
                    <w:t>地 址：</w:t>
                  </w:r>
                </w:p>
              </w:tc>
            </w:tr>
            <w:tr>
              <w:tblPrEx>
                <w:tblCellMar>
                  <w:top w:w="0" w:type="dxa"/>
                  <w:left w:w="0" w:type="dxa"/>
                  <w:bottom w:w="0" w:type="dxa"/>
                  <w:right w:w="0" w:type="dxa"/>
                </w:tblCellMar>
              </w:tblPrEx>
              <w:trPr>
                <w:tblCellSpacing w:w="0" w:type="dxa"/>
                <w:jc w:val="center"/>
              </w:trPr>
              <w:tc>
                <w:tcPr>
                  <w:tcW w:w="0" w:type="auto"/>
                  <w:vAlign w:val="bottom"/>
                </w:tcPr>
                <w:p>
                  <w:pPr>
                    <w:widowControl/>
                    <w:spacing w:after="240"/>
                    <w:jc w:val="left"/>
                    <w:rPr>
                      <w:rFonts w:hAnsi="宋体" w:cs="宋体"/>
                      <w:snapToGrid/>
                      <w:kern w:val="0"/>
                      <w:sz w:val="24"/>
                    </w:rPr>
                  </w:pPr>
                </w:p>
              </w:tc>
              <w:tc>
                <w:tcPr>
                  <w:tcW w:w="0" w:type="auto"/>
                  <w:vAlign w:val="bottom"/>
                </w:tcPr>
                <w:p>
                  <w:pPr>
                    <w:widowControl/>
                    <w:spacing w:after="240"/>
                    <w:jc w:val="left"/>
                    <w:rPr>
                      <w:rFonts w:hAnsi="宋体" w:cs="宋体"/>
                      <w:snapToGrid/>
                      <w:kern w:val="0"/>
                      <w:sz w:val="24"/>
                    </w:rPr>
                  </w:pPr>
                  <w:r>
                    <w:rPr>
                      <w:rFonts w:hAnsi="宋体" w:cs="宋体"/>
                      <w:snapToGrid/>
                      <w:kern w:val="0"/>
                      <w:sz w:val="24"/>
                    </w:rPr>
                    <w:t>邮 编：</w:t>
                  </w:r>
                </w:p>
              </w:tc>
            </w:tr>
            <w:tr>
              <w:tblPrEx>
                <w:tblCellMar>
                  <w:top w:w="0" w:type="dxa"/>
                  <w:left w:w="0" w:type="dxa"/>
                  <w:bottom w:w="0" w:type="dxa"/>
                  <w:right w:w="0" w:type="dxa"/>
                </w:tblCellMar>
              </w:tblPrEx>
              <w:trPr>
                <w:tblCellSpacing w:w="0" w:type="dxa"/>
                <w:jc w:val="center"/>
              </w:trPr>
              <w:tc>
                <w:tcPr>
                  <w:tcW w:w="0" w:type="auto"/>
                  <w:vAlign w:val="bottom"/>
                </w:tcPr>
                <w:p>
                  <w:pPr>
                    <w:widowControl/>
                    <w:spacing w:after="240"/>
                    <w:jc w:val="left"/>
                    <w:rPr>
                      <w:rFonts w:hAnsi="宋体" w:cs="宋体"/>
                      <w:snapToGrid/>
                      <w:kern w:val="0"/>
                      <w:sz w:val="24"/>
                    </w:rPr>
                  </w:pPr>
                </w:p>
              </w:tc>
              <w:tc>
                <w:tcPr>
                  <w:tcW w:w="0" w:type="auto"/>
                  <w:vAlign w:val="bottom"/>
                </w:tcPr>
                <w:p>
                  <w:pPr>
                    <w:widowControl/>
                    <w:spacing w:after="240"/>
                    <w:jc w:val="left"/>
                    <w:rPr>
                      <w:rFonts w:hAnsi="宋体" w:cs="宋体"/>
                      <w:snapToGrid/>
                      <w:kern w:val="0"/>
                      <w:sz w:val="24"/>
                    </w:rPr>
                  </w:pPr>
                  <w:r>
                    <w:rPr>
                      <w:rFonts w:hAnsi="宋体" w:cs="宋体"/>
                      <w:snapToGrid/>
                      <w:kern w:val="0"/>
                      <w:sz w:val="24"/>
                    </w:rPr>
                    <w:t>法定代表人或委托代理人：</w:t>
                  </w:r>
                </w:p>
              </w:tc>
            </w:tr>
            <w:tr>
              <w:tblPrEx>
                <w:tblCellMar>
                  <w:top w:w="0" w:type="dxa"/>
                  <w:left w:w="0" w:type="dxa"/>
                  <w:bottom w:w="0" w:type="dxa"/>
                  <w:right w:w="0" w:type="dxa"/>
                </w:tblCellMar>
              </w:tblPrEx>
              <w:trPr>
                <w:tblCellSpacing w:w="0" w:type="dxa"/>
                <w:jc w:val="center"/>
              </w:trPr>
              <w:tc>
                <w:tcPr>
                  <w:tcW w:w="0" w:type="auto"/>
                  <w:vAlign w:val="bottom"/>
                </w:tcPr>
                <w:p>
                  <w:pPr>
                    <w:widowControl/>
                    <w:spacing w:after="240"/>
                    <w:jc w:val="left"/>
                    <w:rPr>
                      <w:rFonts w:hAnsi="宋体" w:cs="宋体"/>
                      <w:snapToGrid/>
                      <w:kern w:val="0"/>
                      <w:sz w:val="24"/>
                    </w:rPr>
                  </w:pPr>
                </w:p>
              </w:tc>
              <w:tc>
                <w:tcPr>
                  <w:tcW w:w="0" w:type="auto"/>
                  <w:vAlign w:val="bottom"/>
                </w:tcPr>
                <w:p>
                  <w:pPr>
                    <w:widowControl/>
                    <w:spacing w:after="240"/>
                    <w:jc w:val="left"/>
                    <w:rPr>
                      <w:rFonts w:hAnsi="宋体" w:cs="宋体"/>
                      <w:snapToGrid/>
                      <w:kern w:val="0"/>
                      <w:sz w:val="24"/>
                    </w:rPr>
                  </w:pPr>
                  <w:r>
                    <w:rPr>
                      <w:rFonts w:hAnsi="宋体" w:cs="宋体"/>
                      <w:snapToGrid/>
                      <w:kern w:val="0"/>
                      <w:sz w:val="24"/>
                    </w:rPr>
                    <w:t>项目（技术）负责人：</w:t>
                  </w:r>
                </w:p>
              </w:tc>
            </w:tr>
            <w:tr>
              <w:tblPrEx>
                <w:tblCellMar>
                  <w:top w:w="0" w:type="dxa"/>
                  <w:left w:w="0" w:type="dxa"/>
                  <w:bottom w:w="0" w:type="dxa"/>
                  <w:right w:w="0" w:type="dxa"/>
                </w:tblCellMar>
              </w:tblPrEx>
              <w:trPr>
                <w:tblCellSpacing w:w="0" w:type="dxa"/>
                <w:jc w:val="center"/>
              </w:trPr>
              <w:tc>
                <w:tcPr>
                  <w:tcW w:w="0" w:type="auto"/>
                  <w:vAlign w:val="bottom"/>
                </w:tcPr>
                <w:p>
                  <w:pPr>
                    <w:widowControl/>
                    <w:spacing w:after="240"/>
                    <w:jc w:val="left"/>
                    <w:rPr>
                      <w:rFonts w:hAnsi="宋体" w:cs="宋体"/>
                      <w:snapToGrid/>
                      <w:kern w:val="0"/>
                      <w:sz w:val="24"/>
                    </w:rPr>
                  </w:pPr>
                </w:p>
              </w:tc>
              <w:tc>
                <w:tcPr>
                  <w:tcW w:w="0" w:type="auto"/>
                  <w:vAlign w:val="bottom"/>
                </w:tcPr>
                <w:p>
                  <w:pPr>
                    <w:widowControl/>
                    <w:spacing w:after="240"/>
                    <w:jc w:val="left"/>
                    <w:rPr>
                      <w:rFonts w:hAnsi="宋体" w:cs="宋体"/>
                      <w:snapToGrid/>
                      <w:kern w:val="0"/>
                      <w:sz w:val="24"/>
                    </w:rPr>
                  </w:pPr>
                  <w:r>
                    <w:rPr>
                      <w:rFonts w:hAnsi="宋体" w:cs="宋体"/>
                      <w:snapToGrid/>
                      <w:kern w:val="0"/>
                      <w:sz w:val="24"/>
                    </w:rPr>
                    <w:t>电 话：</w:t>
                  </w:r>
                </w:p>
              </w:tc>
            </w:tr>
            <w:tr>
              <w:tblPrEx>
                <w:tblCellMar>
                  <w:top w:w="0" w:type="dxa"/>
                  <w:left w:w="0" w:type="dxa"/>
                  <w:bottom w:w="0" w:type="dxa"/>
                  <w:right w:w="0" w:type="dxa"/>
                </w:tblCellMar>
              </w:tblPrEx>
              <w:trPr>
                <w:tblCellSpacing w:w="0" w:type="dxa"/>
                <w:jc w:val="center"/>
              </w:trPr>
              <w:tc>
                <w:tcPr>
                  <w:tcW w:w="0" w:type="auto"/>
                  <w:vAlign w:val="bottom"/>
                </w:tcPr>
                <w:p>
                  <w:pPr>
                    <w:widowControl/>
                    <w:spacing w:after="240"/>
                    <w:jc w:val="left"/>
                    <w:rPr>
                      <w:rFonts w:hAnsi="宋体" w:cs="宋体"/>
                      <w:snapToGrid/>
                      <w:kern w:val="0"/>
                      <w:sz w:val="24"/>
                    </w:rPr>
                  </w:pPr>
                </w:p>
              </w:tc>
              <w:tc>
                <w:tcPr>
                  <w:tcW w:w="0" w:type="auto"/>
                  <w:vAlign w:val="bottom"/>
                </w:tcPr>
                <w:p>
                  <w:pPr>
                    <w:widowControl/>
                    <w:spacing w:after="240"/>
                    <w:jc w:val="left"/>
                    <w:rPr>
                      <w:rFonts w:hAnsi="宋体" w:cs="宋体"/>
                      <w:snapToGrid/>
                      <w:kern w:val="0"/>
                      <w:sz w:val="24"/>
                    </w:rPr>
                  </w:pPr>
                  <w:r>
                    <w:rPr>
                      <w:rFonts w:hAnsi="宋体" w:cs="宋体"/>
                      <w:snapToGrid/>
                      <w:kern w:val="0"/>
                      <w:sz w:val="24"/>
                    </w:rPr>
                    <w:t>签订日期：</w:t>
                  </w:r>
                </w:p>
              </w:tc>
            </w:tr>
            <w:tr>
              <w:tblPrEx>
                <w:tblCellMar>
                  <w:top w:w="0" w:type="dxa"/>
                  <w:left w:w="0" w:type="dxa"/>
                  <w:bottom w:w="0" w:type="dxa"/>
                  <w:right w:w="0" w:type="dxa"/>
                </w:tblCellMar>
              </w:tblPrEx>
              <w:trPr>
                <w:tblCellSpacing w:w="0" w:type="dxa"/>
                <w:jc w:val="center"/>
              </w:trPr>
              <w:tc>
                <w:tcPr>
                  <w:tcW w:w="0" w:type="auto"/>
                  <w:gridSpan w:val="2"/>
                  <w:vAlign w:val="center"/>
                </w:tcPr>
                <w:p>
                  <w:pPr>
                    <w:widowControl/>
                    <w:spacing w:after="240"/>
                    <w:jc w:val="left"/>
                    <w:rPr>
                      <w:rFonts w:hAnsi="宋体" w:cs="宋体"/>
                      <w:snapToGrid/>
                      <w:kern w:val="0"/>
                      <w:sz w:val="24"/>
                    </w:rPr>
                  </w:pPr>
                  <w:r>
                    <w:rPr>
                      <w:rFonts w:hAnsi="宋体" w:cs="宋体"/>
                      <w:snapToGrid/>
                      <w:kern w:val="0"/>
                      <w:sz w:val="24"/>
                    </w:rPr>
                    <w:t>乙方（供应商公章）名 称：</w:t>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after="240"/>
                    <w:jc w:val="left"/>
                    <w:rPr>
                      <w:rFonts w:hAnsi="宋体" w:cs="宋体"/>
                      <w:snapToGrid/>
                      <w:kern w:val="0"/>
                      <w:sz w:val="24"/>
                    </w:rPr>
                  </w:pPr>
                </w:p>
              </w:tc>
              <w:tc>
                <w:tcPr>
                  <w:tcW w:w="0" w:type="auto"/>
                  <w:vAlign w:val="center"/>
                </w:tcPr>
                <w:p>
                  <w:pPr>
                    <w:widowControl/>
                    <w:spacing w:after="240"/>
                    <w:jc w:val="left"/>
                    <w:rPr>
                      <w:rFonts w:hAnsi="宋体" w:cs="宋体"/>
                      <w:snapToGrid/>
                      <w:kern w:val="0"/>
                      <w:sz w:val="24"/>
                    </w:rPr>
                  </w:pPr>
                  <w:r>
                    <w:rPr>
                      <w:rFonts w:hAnsi="宋体" w:cs="宋体"/>
                      <w:snapToGrid/>
                      <w:kern w:val="0"/>
                      <w:sz w:val="24"/>
                    </w:rPr>
                    <w:t>地 址：</w:t>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after="240"/>
                    <w:jc w:val="left"/>
                    <w:rPr>
                      <w:rFonts w:hAnsi="宋体" w:cs="宋体"/>
                      <w:snapToGrid/>
                      <w:kern w:val="0"/>
                      <w:sz w:val="24"/>
                    </w:rPr>
                  </w:pPr>
                </w:p>
              </w:tc>
              <w:tc>
                <w:tcPr>
                  <w:tcW w:w="0" w:type="auto"/>
                  <w:vAlign w:val="center"/>
                </w:tcPr>
                <w:p>
                  <w:pPr>
                    <w:widowControl/>
                    <w:spacing w:after="240"/>
                    <w:jc w:val="left"/>
                    <w:rPr>
                      <w:rFonts w:hAnsi="宋体" w:cs="宋体"/>
                      <w:snapToGrid/>
                      <w:kern w:val="0"/>
                      <w:sz w:val="24"/>
                    </w:rPr>
                  </w:pPr>
                  <w:r>
                    <w:rPr>
                      <w:rFonts w:hAnsi="宋体" w:cs="宋体"/>
                      <w:snapToGrid/>
                      <w:kern w:val="0"/>
                      <w:sz w:val="24"/>
                    </w:rPr>
                    <w:t>邮 编：</w:t>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after="240"/>
                    <w:jc w:val="left"/>
                    <w:rPr>
                      <w:rFonts w:hAnsi="宋体" w:cs="宋体"/>
                      <w:snapToGrid/>
                      <w:kern w:val="0"/>
                      <w:sz w:val="24"/>
                    </w:rPr>
                  </w:pPr>
                </w:p>
              </w:tc>
              <w:tc>
                <w:tcPr>
                  <w:tcW w:w="0" w:type="auto"/>
                  <w:vAlign w:val="center"/>
                </w:tcPr>
                <w:p>
                  <w:pPr>
                    <w:widowControl/>
                    <w:spacing w:after="240"/>
                    <w:jc w:val="left"/>
                    <w:rPr>
                      <w:rFonts w:hAnsi="宋体" w:cs="宋体"/>
                      <w:snapToGrid/>
                      <w:kern w:val="0"/>
                      <w:sz w:val="24"/>
                    </w:rPr>
                  </w:pPr>
                  <w:r>
                    <w:rPr>
                      <w:rFonts w:hAnsi="宋体" w:cs="宋体"/>
                      <w:snapToGrid/>
                      <w:kern w:val="0"/>
                      <w:sz w:val="24"/>
                    </w:rPr>
                    <w:t>法定代表人或委托代理人：</w:t>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after="240"/>
                    <w:jc w:val="left"/>
                    <w:rPr>
                      <w:rFonts w:hAnsi="宋体" w:cs="宋体"/>
                      <w:snapToGrid/>
                      <w:kern w:val="0"/>
                      <w:sz w:val="24"/>
                    </w:rPr>
                  </w:pPr>
                </w:p>
              </w:tc>
              <w:tc>
                <w:tcPr>
                  <w:tcW w:w="0" w:type="auto"/>
                  <w:vAlign w:val="center"/>
                </w:tcPr>
                <w:p>
                  <w:pPr>
                    <w:widowControl/>
                    <w:spacing w:after="240"/>
                    <w:jc w:val="left"/>
                    <w:rPr>
                      <w:rFonts w:hAnsi="宋体" w:cs="宋体"/>
                      <w:snapToGrid/>
                      <w:kern w:val="0"/>
                      <w:sz w:val="24"/>
                    </w:rPr>
                  </w:pPr>
                  <w:r>
                    <w:rPr>
                      <w:rFonts w:hAnsi="宋体" w:cs="宋体"/>
                      <w:snapToGrid/>
                      <w:kern w:val="0"/>
                      <w:sz w:val="24"/>
                    </w:rPr>
                    <w:t>经办人：</w:t>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after="240"/>
                    <w:jc w:val="left"/>
                    <w:rPr>
                      <w:rFonts w:hAnsi="宋体" w:cs="宋体"/>
                      <w:snapToGrid/>
                      <w:kern w:val="0"/>
                      <w:sz w:val="24"/>
                    </w:rPr>
                  </w:pPr>
                </w:p>
              </w:tc>
              <w:tc>
                <w:tcPr>
                  <w:tcW w:w="0" w:type="auto"/>
                  <w:vAlign w:val="center"/>
                </w:tcPr>
                <w:p>
                  <w:pPr>
                    <w:widowControl/>
                    <w:spacing w:after="240"/>
                    <w:jc w:val="left"/>
                    <w:rPr>
                      <w:rFonts w:hAnsi="宋体" w:cs="宋体"/>
                      <w:snapToGrid/>
                      <w:kern w:val="0"/>
                      <w:sz w:val="24"/>
                    </w:rPr>
                  </w:pPr>
                  <w:r>
                    <w:rPr>
                      <w:rFonts w:hAnsi="宋体" w:cs="宋体"/>
                      <w:snapToGrid/>
                      <w:kern w:val="0"/>
                      <w:sz w:val="24"/>
                    </w:rPr>
                    <w:t>电 话：</w:t>
                  </w:r>
                </w:p>
              </w:tc>
            </w:tr>
            <w:tr>
              <w:tblPrEx>
                <w:tblCellMar>
                  <w:top w:w="0" w:type="dxa"/>
                  <w:left w:w="0" w:type="dxa"/>
                  <w:bottom w:w="0" w:type="dxa"/>
                  <w:right w:w="0" w:type="dxa"/>
                </w:tblCellMar>
              </w:tblPrEx>
              <w:trPr>
                <w:tblCellSpacing w:w="0" w:type="dxa"/>
                <w:jc w:val="center"/>
              </w:trPr>
              <w:tc>
                <w:tcPr>
                  <w:tcW w:w="0" w:type="auto"/>
                  <w:vAlign w:val="center"/>
                </w:tcPr>
                <w:p>
                  <w:pPr>
                    <w:widowControl/>
                    <w:spacing w:after="240"/>
                    <w:jc w:val="left"/>
                    <w:rPr>
                      <w:rFonts w:hAnsi="宋体" w:cs="宋体"/>
                      <w:snapToGrid/>
                      <w:kern w:val="0"/>
                      <w:sz w:val="24"/>
                    </w:rPr>
                  </w:pPr>
                </w:p>
              </w:tc>
              <w:tc>
                <w:tcPr>
                  <w:tcW w:w="0" w:type="auto"/>
                  <w:vAlign w:val="center"/>
                </w:tcPr>
                <w:p>
                  <w:pPr>
                    <w:widowControl/>
                    <w:spacing w:after="240"/>
                    <w:jc w:val="left"/>
                    <w:rPr>
                      <w:rFonts w:hAnsi="宋体" w:cs="宋体"/>
                      <w:snapToGrid/>
                      <w:kern w:val="0"/>
                      <w:sz w:val="24"/>
                    </w:rPr>
                  </w:pPr>
                  <w:r>
                    <w:rPr>
                      <w:rFonts w:hAnsi="宋体" w:cs="宋体"/>
                      <w:snapToGrid/>
                      <w:kern w:val="0"/>
                      <w:sz w:val="24"/>
                    </w:rPr>
                    <w:t>签订日期：</w:t>
                  </w:r>
                </w:p>
              </w:tc>
            </w:tr>
          </w:tbl>
          <w:p>
            <w:pPr>
              <w:widowControl/>
              <w:jc w:val="left"/>
              <w:rPr>
                <w:rFonts w:ascii="微软雅黑" w:hAnsi="微软雅黑" w:eastAsia="微软雅黑" w:cs="宋体"/>
                <w:snapToGrid/>
                <w:vanish/>
                <w:kern w:val="0"/>
                <w:sz w:val="24"/>
              </w:rPr>
            </w:pPr>
          </w:p>
          <w:tbl>
            <w:tblPr>
              <w:tblStyle w:val="28"/>
              <w:tblW w:w="5000" w:type="pct"/>
              <w:jc w:val="center"/>
              <w:tblCellSpacing w:w="0" w:type="dxa"/>
              <w:tblLayout w:type="autofit"/>
              <w:tblCellMar>
                <w:top w:w="0" w:type="dxa"/>
                <w:left w:w="0" w:type="dxa"/>
                <w:bottom w:w="0" w:type="dxa"/>
                <w:right w:w="0" w:type="dxa"/>
              </w:tblCellMar>
            </w:tblPr>
            <w:tblGrid>
              <w:gridCol w:w="1657"/>
              <w:gridCol w:w="8093"/>
            </w:tblGrid>
            <w:tr>
              <w:tblPrEx>
                <w:tblCellMar>
                  <w:top w:w="0" w:type="dxa"/>
                  <w:left w:w="0" w:type="dxa"/>
                  <w:bottom w:w="0" w:type="dxa"/>
                  <w:right w:w="0" w:type="dxa"/>
                </w:tblCellMar>
              </w:tblPrEx>
              <w:trPr>
                <w:tblCellSpacing w:w="0" w:type="dxa"/>
                <w:jc w:val="center"/>
              </w:trPr>
              <w:tc>
                <w:tcPr>
                  <w:tcW w:w="0" w:type="auto"/>
                  <w:gridSpan w:val="2"/>
                  <w:vAlign w:val="center"/>
                </w:tcPr>
                <w:p>
                  <w:pPr>
                    <w:widowControl/>
                    <w:spacing w:after="240"/>
                    <w:jc w:val="left"/>
                    <w:rPr>
                      <w:rFonts w:hAnsi="宋体" w:cs="宋体"/>
                      <w:snapToGrid/>
                      <w:kern w:val="0"/>
                      <w:sz w:val="24"/>
                    </w:rPr>
                  </w:pPr>
                  <w:r>
                    <w:rPr>
                      <w:rFonts w:hAnsi="宋体" w:cs="宋体"/>
                      <w:snapToGrid/>
                      <w:kern w:val="0"/>
                      <w:sz w:val="24"/>
                    </w:rPr>
                    <w:t>丙方（鉴证方公章）名 称：</w:t>
                  </w:r>
                </w:p>
              </w:tc>
            </w:tr>
            <w:tr>
              <w:tblPrEx>
                <w:tblCellMar>
                  <w:top w:w="0" w:type="dxa"/>
                  <w:left w:w="0" w:type="dxa"/>
                  <w:bottom w:w="0" w:type="dxa"/>
                  <w:right w:w="0" w:type="dxa"/>
                </w:tblCellMar>
              </w:tblPrEx>
              <w:trPr>
                <w:tblCellSpacing w:w="0" w:type="dxa"/>
                <w:jc w:val="center"/>
              </w:trPr>
              <w:tc>
                <w:tcPr>
                  <w:tcW w:w="850" w:type="pct"/>
                  <w:vAlign w:val="center"/>
                </w:tcPr>
                <w:p>
                  <w:pPr>
                    <w:widowControl/>
                    <w:spacing w:after="240"/>
                    <w:jc w:val="left"/>
                    <w:rPr>
                      <w:rFonts w:hAnsi="宋体" w:cs="宋体"/>
                      <w:snapToGrid/>
                      <w:kern w:val="0"/>
                      <w:sz w:val="24"/>
                    </w:rPr>
                  </w:pPr>
                </w:p>
              </w:tc>
              <w:tc>
                <w:tcPr>
                  <w:tcW w:w="4150" w:type="pct"/>
                  <w:vAlign w:val="center"/>
                </w:tcPr>
                <w:p>
                  <w:pPr>
                    <w:widowControl/>
                    <w:spacing w:after="240"/>
                    <w:jc w:val="left"/>
                    <w:rPr>
                      <w:rFonts w:hAnsi="宋体" w:cs="宋体"/>
                      <w:snapToGrid/>
                      <w:kern w:val="0"/>
                      <w:sz w:val="24"/>
                    </w:rPr>
                  </w:pPr>
                  <w:r>
                    <w:rPr>
                      <w:rFonts w:hAnsi="宋体" w:cs="宋体"/>
                      <w:snapToGrid/>
                      <w:kern w:val="0"/>
                      <w:sz w:val="24"/>
                    </w:rPr>
                    <w:t>地 址：</w:t>
                  </w:r>
                </w:p>
              </w:tc>
            </w:tr>
            <w:tr>
              <w:tblPrEx>
                <w:tblCellMar>
                  <w:top w:w="0" w:type="dxa"/>
                  <w:left w:w="0" w:type="dxa"/>
                  <w:bottom w:w="0" w:type="dxa"/>
                  <w:right w:w="0" w:type="dxa"/>
                </w:tblCellMar>
              </w:tblPrEx>
              <w:trPr>
                <w:tblCellSpacing w:w="0" w:type="dxa"/>
                <w:jc w:val="center"/>
              </w:trPr>
              <w:tc>
                <w:tcPr>
                  <w:tcW w:w="850" w:type="pct"/>
                  <w:vAlign w:val="center"/>
                </w:tcPr>
                <w:p>
                  <w:pPr>
                    <w:widowControl/>
                    <w:spacing w:after="240"/>
                    <w:jc w:val="left"/>
                    <w:rPr>
                      <w:rFonts w:hAnsi="宋体" w:cs="宋体"/>
                      <w:snapToGrid/>
                      <w:kern w:val="0"/>
                      <w:sz w:val="24"/>
                    </w:rPr>
                  </w:pPr>
                </w:p>
              </w:tc>
              <w:tc>
                <w:tcPr>
                  <w:tcW w:w="4150" w:type="pct"/>
                  <w:vAlign w:val="center"/>
                </w:tcPr>
                <w:p>
                  <w:pPr>
                    <w:widowControl/>
                    <w:spacing w:after="240"/>
                    <w:jc w:val="left"/>
                    <w:rPr>
                      <w:rFonts w:hAnsi="宋体" w:cs="宋体"/>
                      <w:snapToGrid/>
                      <w:kern w:val="0"/>
                      <w:sz w:val="24"/>
                    </w:rPr>
                  </w:pPr>
                  <w:r>
                    <w:rPr>
                      <w:rFonts w:hAnsi="宋体" w:cs="宋体"/>
                      <w:snapToGrid/>
                      <w:kern w:val="0"/>
                      <w:sz w:val="24"/>
                    </w:rPr>
                    <w:t>邮 编：</w:t>
                  </w:r>
                </w:p>
              </w:tc>
            </w:tr>
            <w:tr>
              <w:tblPrEx>
                <w:tblCellMar>
                  <w:top w:w="0" w:type="dxa"/>
                  <w:left w:w="0" w:type="dxa"/>
                  <w:bottom w:w="0" w:type="dxa"/>
                  <w:right w:w="0" w:type="dxa"/>
                </w:tblCellMar>
              </w:tblPrEx>
              <w:trPr>
                <w:tblCellSpacing w:w="0" w:type="dxa"/>
                <w:jc w:val="center"/>
              </w:trPr>
              <w:tc>
                <w:tcPr>
                  <w:tcW w:w="850" w:type="pct"/>
                  <w:vAlign w:val="center"/>
                </w:tcPr>
                <w:p>
                  <w:pPr>
                    <w:widowControl/>
                    <w:spacing w:after="240"/>
                    <w:jc w:val="left"/>
                    <w:rPr>
                      <w:rFonts w:hAnsi="宋体" w:cs="宋体"/>
                      <w:snapToGrid/>
                      <w:kern w:val="0"/>
                      <w:sz w:val="24"/>
                    </w:rPr>
                  </w:pPr>
                </w:p>
              </w:tc>
              <w:tc>
                <w:tcPr>
                  <w:tcW w:w="4150" w:type="pct"/>
                  <w:vAlign w:val="center"/>
                </w:tcPr>
                <w:p>
                  <w:pPr>
                    <w:widowControl/>
                    <w:spacing w:after="240"/>
                    <w:jc w:val="left"/>
                    <w:rPr>
                      <w:rFonts w:hAnsi="宋体" w:cs="宋体"/>
                      <w:snapToGrid/>
                      <w:kern w:val="0"/>
                      <w:sz w:val="24"/>
                    </w:rPr>
                  </w:pPr>
                  <w:r>
                    <w:rPr>
                      <w:rFonts w:hAnsi="宋体" w:cs="宋体"/>
                      <w:snapToGrid/>
                      <w:kern w:val="0"/>
                      <w:sz w:val="24"/>
                    </w:rPr>
                    <w:t>法定代表人或委托代理人：</w:t>
                  </w:r>
                </w:p>
              </w:tc>
            </w:tr>
            <w:tr>
              <w:tblPrEx>
                <w:tblCellMar>
                  <w:top w:w="0" w:type="dxa"/>
                  <w:left w:w="0" w:type="dxa"/>
                  <w:bottom w:w="0" w:type="dxa"/>
                  <w:right w:w="0" w:type="dxa"/>
                </w:tblCellMar>
              </w:tblPrEx>
              <w:trPr>
                <w:tblCellSpacing w:w="0" w:type="dxa"/>
                <w:jc w:val="center"/>
              </w:trPr>
              <w:tc>
                <w:tcPr>
                  <w:tcW w:w="850" w:type="pct"/>
                  <w:vAlign w:val="center"/>
                </w:tcPr>
                <w:p>
                  <w:pPr>
                    <w:widowControl/>
                    <w:spacing w:after="240"/>
                    <w:jc w:val="left"/>
                    <w:rPr>
                      <w:rFonts w:hAnsi="宋体" w:cs="宋体"/>
                      <w:snapToGrid/>
                      <w:kern w:val="0"/>
                      <w:sz w:val="24"/>
                    </w:rPr>
                  </w:pPr>
                </w:p>
              </w:tc>
              <w:tc>
                <w:tcPr>
                  <w:tcW w:w="4150" w:type="pct"/>
                  <w:vAlign w:val="center"/>
                </w:tcPr>
                <w:p>
                  <w:pPr>
                    <w:widowControl/>
                    <w:spacing w:after="240"/>
                    <w:jc w:val="left"/>
                    <w:rPr>
                      <w:rFonts w:hAnsi="宋体" w:cs="宋体"/>
                      <w:snapToGrid/>
                      <w:kern w:val="0"/>
                      <w:sz w:val="24"/>
                    </w:rPr>
                  </w:pPr>
                  <w:r>
                    <w:rPr>
                      <w:rFonts w:hAnsi="宋体" w:cs="宋体"/>
                      <w:snapToGrid/>
                      <w:kern w:val="0"/>
                      <w:sz w:val="24"/>
                    </w:rPr>
                    <w:t>经办人：</w:t>
                  </w:r>
                </w:p>
              </w:tc>
            </w:tr>
            <w:tr>
              <w:tblPrEx>
                <w:tblCellMar>
                  <w:top w:w="0" w:type="dxa"/>
                  <w:left w:w="0" w:type="dxa"/>
                  <w:bottom w:w="0" w:type="dxa"/>
                  <w:right w:w="0" w:type="dxa"/>
                </w:tblCellMar>
              </w:tblPrEx>
              <w:trPr>
                <w:trHeight w:val="672" w:hRule="atLeast"/>
                <w:tblCellSpacing w:w="0" w:type="dxa"/>
                <w:jc w:val="center"/>
              </w:trPr>
              <w:tc>
                <w:tcPr>
                  <w:tcW w:w="850" w:type="pct"/>
                  <w:vAlign w:val="center"/>
                </w:tcPr>
                <w:p>
                  <w:pPr>
                    <w:widowControl/>
                    <w:spacing w:after="240"/>
                    <w:jc w:val="left"/>
                    <w:rPr>
                      <w:rFonts w:hAnsi="宋体" w:cs="宋体"/>
                      <w:snapToGrid/>
                      <w:kern w:val="0"/>
                      <w:sz w:val="24"/>
                    </w:rPr>
                  </w:pPr>
                </w:p>
              </w:tc>
              <w:tc>
                <w:tcPr>
                  <w:tcW w:w="4150" w:type="pct"/>
                  <w:vAlign w:val="center"/>
                </w:tcPr>
                <w:p>
                  <w:pPr>
                    <w:widowControl/>
                    <w:jc w:val="left"/>
                    <w:rPr>
                      <w:rFonts w:hAnsi="宋体" w:cs="宋体"/>
                      <w:snapToGrid/>
                      <w:kern w:val="0"/>
                      <w:sz w:val="24"/>
                    </w:rPr>
                  </w:pPr>
                  <w:r>
                    <w:rPr>
                      <w:rFonts w:hAnsi="宋体" w:cs="宋体"/>
                      <w:snapToGrid/>
                      <w:kern w:val="0"/>
                      <w:sz w:val="24"/>
                    </w:rPr>
                    <w:t>电 话：</w:t>
                  </w:r>
                </w:p>
              </w:tc>
            </w:tr>
          </w:tbl>
          <w:p>
            <w:pPr>
              <w:widowControl/>
              <w:jc w:val="left"/>
              <w:rPr>
                <w:rFonts w:ascii="微软雅黑" w:hAnsi="微软雅黑" w:eastAsia="微软雅黑" w:cs="宋体"/>
                <w:snapToGrid/>
                <w:kern w:val="0"/>
                <w:sz w:val="24"/>
              </w:rPr>
            </w:pPr>
          </w:p>
        </w:tc>
      </w:tr>
    </w:tbl>
    <w:p/>
    <w:p/>
    <w:p/>
    <w:p/>
    <w:p/>
    <w:p/>
    <w:p/>
    <w:p>
      <w:pPr>
        <w:spacing w:line="348" w:lineRule="auto"/>
        <w:rPr>
          <w:rFonts w:hAnsi="宋体"/>
          <w:szCs w:val="21"/>
        </w:rPr>
      </w:pPr>
      <w:r>
        <w:rPr>
          <w:rFonts w:hint="eastAsia" w:hAnsi="宋体"/>
          <w:szCs w:val="21"/>
        </w:rPr>
        <w:t xml:space="preserve">采购人： （以下简称甲方）   </w:t>
      </w:r>
    </w:p>
    <w:p>
      <w:pPr>
        <w:spacing w:line="348" w:lineRule="auto"/>
        <w:rPr>
          <w:rFonts w:hAnsi="宋体"/>
          <w:szCs w:val="21"/>
        </w:rPr>
      </w:pPr>
      <w:r>
        <w:rPr>
          <w:rFonts w:hint="eastAsia" w:hAnsi="宋体"/>
          <w:szCs w:val="21"/>
        </w:rPr>
        <w:t xml:space="preserve">供应商： （以下简称乙方）   </w:t>
      </w:r>
    </w:p>
    <w:p>
      <w:pPr>
        <w:spacing w:line="348" w:lineRule="auto"/>
        <w:rPr>
          <w:rFonts w:hAnsi="宋体"/>
          <w:szCs w:val="21"/>
        </w:rPr>
      </w:pPr>
      <w:r>
        <w:rPr>
          <w:rFonts w:hint="eastAsia" w:hAnsi="宋体"/>
          <w:szCs w:val="21"/>
        </w:rPr>
        <w:t>甲乙双方根据项目编号为 （项目编号） “（项目名称）”竞争性磋商结果，经双方协定达成一致，签订以下内容：</w:t>
      </w:r>
    </w:p>
    <w:p>
      <w:pPr>
        <w:spacing w:line="348" w:lineRule="auto"/>
        <w:jc w:val="left"/>
        <w:rPr>
          <w:rFonts w:hAnsi="宋体"/>
          <w:b/>
          <w:szCs w:val="21"/>
        </w:rPr>
      </w:pPr>
      <w:r>
        <w:rPr>
          <w:rFonts w:hint="eastAsia" w:hAnsi="宋体"/>
          <w:b/>
          <w:szCs w:val="21"/>
        </w:rPr>
        <w:t xml:space="preserve">一、项目名称、项目实施内容、拟投入人员配置、价格及次年平台运维费用：                   </w:t>
      </w:r>
    </w:p>
    <w:p>
      <w:pPr>
        <w:spacing w:line="348" w:lineRule="auto"/>
        <w:rPr>
          <w:rFonts w:hAnsi="宋体"/>
          <w:b/>
          <w:szCs w:val="21"/>
        </w:rPr>
      </w:pPr>
      <w:r>
        <w:rPr>
          <w:rFonts w:hint="eastAsia" w:hAnsi="宋体"/>
          <w:b/>
          <w:szCs w:val="21"/>
        </w:rPr>
        <w:t>二、相关资料和配套要求：</w:t>
      </w:r>
    </w:p>
    <w:p>
      <w:pPr>
        <w:spacing w:line="348" w:lineRule="auto"/>
        <w:rPr>
          <w:rFonts w:hAnsi="宋体"/>
          <w:b/>
          <w:szCs w:val="21"/>
        </w:rPr>
      </w:pPr>
      <w:r>
        <w:rPr>
          <w:rFonts w:hint="eastAsia" w:hAnsi="宋体"/>
          <w:b/>
          <w:szCs w:val="21"/>
        </w:rPr>
        <w:t>三、产品使用要求</w:t>
      </w:r>
    </w:p>
    <w:p>
      <w:pPr>
        <w:spacing w:line="348" w:lineRule="auto"/>
        <w:rPr>
          <w:rFonts w:hAnsi="宋体"/>
          <w:szCs w:val="21"/>
        </w:rPr>
      </w:pPr>
      <w:r>
        <w:rPr>
          <w:rFonts w:hint="eastAsia" w:hAnsi="宋体"/>
          <w:szCs w:val="21"/>
        </w:rPr>
        <w:t>产品使用符合</w:t>
      </w:r>
      <w:r>
        <w:rPr>
          <w:rFonts w:hint="eastAsia" w:hAnsi="宋体"/>
          <w:szCs w:val="21"/>
          <w:u w:val="single"/>
        </w:rPr>
        <w:t xml:space="preserve">               </w:t>
      </w:r>
      <w:r>
        <w:rPr>
          <w:rFonts w:hint="eastAsia" w:hAnsi="宋体"/>
          <w:szCs w:val="21"/>
        </w:rPr>
        <w:t>标准，并满足甲方技术要求。</w:t>
      </w:r>
    </w:p>
    <w:p>
      <w:pPr>
        <w:spacing w:line="348" w:lineRule="auto"/>
        <w:rPr>
          <w:rFonts w:hAnsi="宋体"/>
          <w:b/>
          <w:szCs w:val="21"/>
        </w:rPr>
      </w:pPr>
      <w:r>
        <w:rPr>
          <w:rFonts w:hint="eastAsia" w:hAnsi="宋体"/>
          <w:b/>
          <w:szCs w:val="21"/>
        </w:rPr>
        <w:t>四、配套服务要求及合作条件</w:t>
      </w:r>
    </w:p>
    <w:p>
      <w:pPr>
        <w:spacing w:line="348" w:lineRule="auto"/>
        <w:rPr>
          <w:rFonts w:hAnsi="宋体"/>
          <w:b/>
          <w:szCs w:val="21"/>
        </w:rPr>
      </w:pPr>
      <w:r>
        <w:rPr>
          <w:rFonts w:hint="eastAsia" w:hAnsi="宋体"/>
          <w:b/>
          <w:szCs w:val="21"/>
        </w:rPr>
        <w:t>五、开发实施周期</w:t>
      </w:r>
    </w:p>
    <w:p>
      <w:pPr>
        <w:spacing w:line="348" w:lineRule="auto"/>
        <w:rPr>
          <w:rFonts w:hAnsi="宋体"/>
          <w:b/>
          <w:szCs w:val="21"/>
        </w:rPr>
      </w:pPr>
      <w:r>
        <w:rPr>
          <w:rFonts w:hint="eastAsia" w:hAnsi="宋体"/>
          <w:b/>
          <w:szCs w:val="21"/>
        </w:rPr>
        <w:t>六、合同总价（大写）：               （人民币元），  小写：         元</w:t>
      </w:r>
    </w:p>
    <w:p>
      <w:pPr>
        <w:spacing w:line="348" w:lineRule="auto"/>
        <w:rPr>
          <w:rFonts w:hAnsi="宋体"/>
          <w:szCs w:val="21"/>
        </w:rPr>
      </w:pPr>
      <w:r>
        <w:rPr>
          <w:rFonts w:hint="eastAsia" w:hAnsi="宋体"/>
          <w:szCs w:val="21"/>
        </w:rPr>
        <w:t>以上价格为甲方指定地点所有服务内容完成后的统一交货价。</w:t>
      </w:r>
    </w:p>
    <w:p>
      <w:pPr>
        <w:spacing w:line="348" w:lineRule="auto"/>
        <w:rPr>
          <w:rFonts w:hAnsi="宋体"/>
          <w:b/>
          <w:szCs w:val="21"/>
        </w:rPr>
      </w:pPr>
      <w:r>
        <w:rPr>
          <w:rFonts w:hint="eastAsia" w:hAnsi="宋体"/>
          <w:b/>
          <w:szCs w:val="21"/>
        </w:rPr>
        <w:t>七、甲乙双方的权利和义务</w:t>
      </w:r>
    </w:p>
    <w:p>
      <w:pPr>
        <w:spacing w:line="348" w:lineRule="auto"/>
        <w:rPr>
          <w:rFonts w:hAnsi="宋体"/>
          <w:szCs w:val="21"/>
        </w:rPr>
      </w:pPr>
      <w:r>
        <w:rPr>
          <w:rFonts w:hint="eastAsia" w:hAnsi="宋体"/>
          <w:szCs w:val="21"/>
        </w:rPr>
        <w:t>（一）甲方的权利和义务</w:t>
      </w:r>
    </w:p>
    <w:p>
      <w:pPr>
        <w:spacing w:line="348" w:lineRule="auto"/>
        <w:rPr>
          <w:rFonts w:hAnsi="宋体"/>
          <w:szCs w:val="21"/>
        </w:rPr>
      </w:pPr>
      <w:r>
        <w:rPr>
          <w:rFonts w:hint="eastAsia" w:hAnsi="宋体"/>
          <w:szCs w:val="21"/>
        </w:rPr>
        <w:t>1、负责合同签订后项目实施的工作（如与乙方的具体联系和衔结，交付服务成果时配备人员进行验收）；</w:t>
      </w:r>
    </w:p>
    <w:p>
      <w:pPr>
        <w:spacing w:line="348" w:lineRule="auto"/>
        <w:rPr>
          <w:rFonts w:hAnsi="宋体"/>
          <w:szCs w:val="21"/>
        </w:rPr>
      </w:pPr>
      <w:r>
        <w:rPr>
          <w:rFonts w:hint="eastAsia" w:hAnsi="宋体"/>
          <w:szCs w:val="21"/>
        </w:rPr>
        <w:t>2、负责提供项目服务所必须的场地和环境；</w:t>
      </w:r>
    </w:p>
    <w:p>
      <w:pPr>
        <w:spacing w:line="348" w:lineRule="auto"/>
        <w:rPr>
          <w:rFonts w:hAnsi="宋体"/>
          <w:szCs w:val="21"/>
        </w:rPr>
      </w:pPr>
      <w:r>
        <w:rPr>
          <w:rFonts w:hint="eastAsia" w:hAnsi="宋体"/>
          <w:szCs w:val="21"/>
        </w:rPr>
        <w:t>3、负责组织成立验收小组对服务内容和项目进行验收并签署验收报告；</w:t>
      </w:r>
    </w:p>
    <w:p>
      <w:pPr>
        <w:spacing w:line="348" w:lineRule="auto"/>
        <w:rPr>
          <w:rFonts w:hAnsi="宋体"/>
          <w:szCs w:val="21"/>
        </w:rPr>
      </w:pPr>
      <w:r>
        <w:rPr>
          <w:rFonts w:hint="eastAsia" w:hAnsi="宋体"/>
          <w:szCs w:val="21"/>
        </w:rPr>
        <w:t>4、按合同规定享有乙方提供的整套服务。</w:t>
      </w:r>
    </w:p>
    <w:p>
      <w:pPr>
        <w:spacing w:line="348" w:lineRule="auto"/>
        <w:rPr>
          <w:rFonts w:hAnsi="宋体"/>
          <w:szCs w:val="21"/>
        </w:rPr>
      </w:pPr>
      <w:r>
        <w:rPr>
          <w:rFonts w:hint="eastAsia" w:hAnsi="宋体"/>
          <w:szCs w:val="21"/>
        </w:rPr>
        <w:t>（二）乙方的权利和义务</w:t>
      </w:r>
    </w:p>
    <w:p>
      <w:pPr>
        <w:spacing w:line="348" w:lineRule="auto"/>
        <w:rPr>
          <w:rFonts w:hAnsi="宋体"/>
          <w:szCs w:val="21"/>
        </w:rPr>
      </w:pPr>
      <w:r>
        <w:rPr>
          <w:rFonts w:hint="eastAsia" w:hAnsi="宋体"/>
          <w:szCs w:val="21"/>
        </w:rPr>
        <w:t xml:space="preserve">1、乙方保证按本合同一、二、三、四、五条款负责完成甲方项目，并保证提供的服务是满足采购方需求（包括人员、软硬件）、符合磋商文件规定、符合国家有关标准、规范和服务标准的产品；服务及主要合同内容有效期为（    ），并保证所提供服务在甲方实际使用中正常运行。具体服务： </w:t>
      </w:r>
      <w:r>
        <w:rPr>
          <w:rFonts w:hAnsi="宋体"/>
          <w:szCs w:val="21"/>
        </w:rPr>
        <w:t xml:space="preserve">  </w:t>
      </w:r>
      <w:r>
        <w:rPr>
          <w:rFonts w:hint="eastAsia" w:hAnsi="宋体"/>
          <w:szCs w:val="21"/>
        </w:rPr>
        <w:t>；合同期后，根据甲方的需要协商确定（自然灾害及人为故意损坏除外）；</w:t>
      </w:r>
    </w:p>
    <w:p>
      <w:pPr>
        <w:spacing w:line="348" w:lineRule="auto"/>
        <w:rPr>
          <w:rFonts w:hAnsi="宋体"/>
          <w:szCs w:val="21"/>
        </w:rPr>
      </w:pPr>
      <w:r>
        <w:rPr>
          <w:rFonts w:hint="eastAsia" w:hAnsi="宋体"/>
          <w:szCs w:val="21"/>
        </w:rPr>
        <w:t>2、保证甲方在合同服务（包含本项目配套软硬件）使用期间不受第三方提出侵犯其所有权、知识产权、商标权、专利权、著作权等相关权利的起诉</w:t>
      </w:r>
      <w:r>
        <w:rPr>
          <w:rFonts w:hAnsi="宋体"/>
          <w:szCs w:val="21"/>
        </w:rPr>
        <w:t>。</w:t>
      </w:r>
    </w:p>
    <w:p>
      <w:pPr>
        <w:spacing w:line="348" w:lineRule="auto"/>
        <w:rPr>
          <w:rFonts w:hAnsi="宋体"/>
          <w:szCs w:val="21"/>
        </w:rPr>
      </w:pPr>
      <w:r>
        <w:rPr>
          <w:rFonts w:hint="eastAsia" w:hAnsi="宋体"/>
          <w:szCs w:val="21"/>
        </w:rPr>
        <w:t>3、严格遵守商务谈判成交过程中所承诺的一切规定和条款；</w:t>
      </w:r>
    </w:p>
    <w:p>
      <w:pPr>
        <w:spacing w:line="348" w:lineRule="auto"/>
        <w:rPr>
          <w:rFonts w:hAnsi="宋体"/>
          <w:szCs w:val="21"/>
        </w:rPr>
      </w:pPr>
      <w:r>
        <w:rPr>
          <w:rFonts w:hint="eastAsia" w:hAnsi="宋体"/>
          <w:szCs w:val="21"/>
        </w:rPr>
        <w:t xml:space="preserve">4、参与甲方共同进行服务项目的验收。                                       </w:t>
      </w:r>
    </w:p>
    <w:p>
      <w:pPr>
        <w:spacing w:line="348" w:lineRule="auto"/>
        <w:rPr>
          <w:rFonts w:hAnsi="宋体"/>
          <w:b/>
          <w:szCs w:val="21"/>
        </w:rPr>
      </w:pPr>
      <w:r>
        <w:rPr>
          <w:rFonts w:hint="eastAsia" w:hAnsi="宋体"/>
          <w:b/>
          <w:szCs w:val="21"/>
        </w:rPr>
        <w:t>八、以上内容与甲方采购确认和乙方成交承诺情况一致（或提供服务保证甲方正常使用）。</w:t>
      </w:r>
    </w:p>
    <w:p>
      <w:pPr>
        <w:spacing w:line="348" w:lineRule="auto"/>
        <w:rPr>
          <w:rFonts w:hAnsi="宋体"/>
          <w:b/>
          <w:szCs w:val="21"/>
        </w:rPr>
      </w:pPr>
      <w:r>
        <w:rPr>
          <w:rFonts w:hint="eastAsia" w:hAnsi="宋体"/>
          <w:b/>
          <w:szCs w:val="21"/>
        </w:rPr>
        <w:t>九、技术培训：</w:t>
      </w:r>
    </w:p>
    <w:p>
      <w:pPr>
        <w:spacing w:line="348" w:lineRule="auto"/>
        <w:rPr>
          <w:rFonts w:hAnsi="宋体"/>
          <w:szCs w:val="21"/>
        </w:rPr>
      </w:pPr>
      <w:r>
        <w:rPr>
          <w:rFonts w:hint="eastAsia" w:hAnsi="宋体"/>
          <w:szCs w:val="21"/>
        </w:rPr>
        <w:t>若甲方要求乙方予以说明、讲解，乙方维护人员应即时提供耐心、详细的解释和指引服务；若甲方对乙方所提供的服务成果需要进行培训时，乙方应无条件配合，费用由乙方负责，具体时间为     天、地点为                   ，其他由甲乙双方协定。</w:t>
      </w:r>
    </w:p>
    <w:p>
      <w:pPr>
        <w:spacing w:line="348" w:lineRule="auto"/>
        <w:rPr>
          <w:rFonts w:hAnsi="宋体"/>
          <w:b/>
          <w:szCs w:val="21"/>
        </w:rPr>
      </w:pPr>
      <w:r>
        <w:rPr>
          <w:rFonts w:hint="eastAsia" w:hAnsi="宋体"/>
          <w:b/>
          <w:szCs w:val="21"/>
        </w:rPr>
        <w:t>十、售后服务：。</w:t>
      </w:r>
    </w:p>
    <w:p>
      <w:pPr>
        <w:spacing w:line="348" w:lineRule="auto"/>
        <w:rPr>
          <w:rFonts w:hAnsi="宋体"/>
          <w:szCs w:val="21"/>
        </w:rPr>
      </w:pPr>
      <w:r>
        <w:rPr>
          <w:rFonts w:hint="eastAsia" w:hAnsi="宋体"/>
          <w:szCs w:val="21"/>
        </w:rPr>
        <w:t>乙方技术支持电话：           ，联系人:            。</w:t>
      </w:r>
    </w:p>
    <w:p>
      <w:pPr>
        <w:pStyle w:val="15"/>
        <w:spacing w:line="348" w:lineRule="auto"/>
        <w:rPr>
          <w:rFonts w:hAnsi="宋体"/>
          <w:b/>
          <w:szCs w:val="21"/>
        </w:rPr>
      </w:pPr>
      <w:r>
        <w:rPr>
          <w:rFonts w:hint="eastAsia" w:hAnsi="宋体"/>
          <w:b/>
          <w:szCs w:val="21"/>
        </w:rPr>
        <w:t>十一、</w:t>
      </w:r>
      <w:r>
        <w:rPr>
          <w:rFonts w:hint="eastAsia" w:hAnsi="宋体" w:cs="宋体"/>
          <w:b/>
          <w:szCs w:val="21"/>
        </w:rPr>
        <w:t>项目实施时间、项目实施地点</w:t>
      </w:r>
      <w:r>
        <w:rPr>
          <w:rFonts w:hint="eastAsia" w:hAnsi="宋体"/>
          <w:b/>
          <w:szCs w:val="21"/>
        </w:rPr>
        <w:t>：</w:t>
      </w:r>
    </w:p>
    <w:p>
      <w:pPr>
        <w:pStyle w:val="15"/>
        <w:spacing w:line="348" w:lineRule="auto"/>
        <w:rPr>
          <w:rFonts w:hAnsi="宋体"/>
          <w:szCs w:val="21"/>
        </w:rPr>
      </w:pPr>
      <w:r>
        <w:rPr>
          <w:rFonts w:hint="eastAsia" w:hAnsi="宋体" w:cs="宋体"/>
          <w:szCs w:val="21"/>
        </w:rPr>
        <w:t>1、</w:t>
      </w:r>
      <w:r>
        <w:rPr>
          <w:rFonts w:hint="eastAsia" w:hAnsi="宋体"/>
          <w:szCs w:val="21"/>
        </w:rPr>
        <w:t>项目建设时间</w:t>
      </w:r>
      <w:r>
        <w:rPr>
          <w:rFonts w:hint="eastAsia" w:hAnsi="宋体" w:cs="宋体"/>
          <w:szCs w:val="21"/>
        </w:rPr>
        <w:t>：</w:t>
      </w:r>
    </w:p>
    <w:p>
      <w:pPr>
        <w:spacing w:line="348" w:lineRule="auto"/>
        <w:rPr>
          <w:rFonts w:hAnsi="宋体"/>
          <w:szCs w:val="21"/>
        </w:rPr>
      </w:pPr>
      <w:r>
        <w:rPr>
          <w:rFonts w:hint="eastAsia" w:hAnsi="宋体"/>
          <w:szCs w:val="21"/>
        </w:rPr>
        <w:t>2、项目建设地点：</w:t>
      </w:r>
    </w:p>
    <w:p>
      <w:pPr>
        <w:spacing w:line="348" w:lineRule="auto"/>
        <w:rPr>
          <w:rFonts w:hAnsi="宋体"/>
          <w:b/>
          <w:szCs w:val="21"/>
        </w:rPr>
      </w:pPr>
      <w:r>
        <w:rPr>
          <w:rFonts w:hint="eastAsia" w:hAnsi="宋体"/>
          <w:b/>
          <w:szCs w:val="21"/>
        </w:rPr>
        <w:t>十二、验收及验收标准</w:t>
      </w:r>
    </w:p>
    <w:p>
      <w:pPr>
        <w:spacing w:line="348" w:lineRule="auto"/>
        <w:rPr>
          <w:rFonts w:hAnsi="宋体"/>
          <w:szCs w:val="21"/>
        </w:rPr>
      </w:pPr>
      <w:r>
        <w:rPr>
          <w:rFonts w:hint="eastAsia" w:hAnsi="宋体"/>
          <w:szCs w:val="21"/>
        </w:rPr>
        <w:t>1、服务验收：</w:t>
      </w:r>
    </w:p>
    <w:p>
      <w:pPr>
        <w:spacing w:line="348" w:lineRule="auto"/>
        <w:rPr>
          <w:rFonts w:hAnsi="宋体"/>
          <w:szCs w:val="21"/>
        </w:rPr>
      </w:pPr>
      <w:r>
        <w:rPr>
          <w:rFonts w:hint="eastAsia" w:hAnsi="宋体"/>
          <w:szCs w:val="21"/>
        </w:rPr>
        <w:t>2、项目验收：</w:t>
      </w:r>
    </w:p>
    <w:p>
      <w:pPr>
        <w:spacing w:line="348" w:lineRule="auto"/>
        <w:rPr>
          <w:rFonts w:hAnsi="宋体"/>
          <w:b/>
          <w:szCs w:val="21"/>
        </w:rPr>
      </w:pPr>
      <w:r>
        <w:rPr>
          <w:rFonts w:hint="eastAsia" w:hAnsi="宋体"/>
          <w:b/>
          <w:szCs w:val="21"/>
        </w:rPr>
        <w:t>十三、合同价款结算：。</w:t>
      </w:r>
    </w:p>
    <w:p>
      <w:pPr>
        <w:tabs>
          <w:tab w:val="left" w:pos="6930"/>
        </w:tabs>
        <w:spacing w:line="348" w:lineRule="auto"/>
        <w:rPr>
          <w:rFonts w:hAnsi="宋体"/>
          <w:b/>
          <w:szCs w:val="21"/>
        </w:rPr>
      </w:pPr>
      <w:r>
        <w:rPr>
          <w:rFonts w:hint="eastAsia" w:hAnsi="宋体"/>
          <w:b/>
          <w:szCs w:val="21"/>
        </w:rPr>
        <w:t>十四、违约责任：</w:t>
      </w:r>
    </w:p>
    <w:p>
      <w:pPr>
        <w:tabs>
          <w:tab w:val="left" w:pos="6930"/>
        </w:tabs>
        <w:spacing w:line="348" w:lineRule="auto"/>
        <w:rPr>
          <w:rFonts w:hAnsi="宋体"/>
          <w:b/>
          <w:szCs w:val="21"/>
        </w:rPr>
      </w:pPr>
      <w:r>
        <w:rPr>
          <w:rFonts w:hint="eastAsia" w:hAnsi="宋体"/>
          <w:b/>
          <w:szCs w:val="21"/>
        </w:rPr>
        <w:t>十五、合同纠纷、诉讼：</w:t>
      </w:r>
    </w:p>
    <w:p>
      <w:pPr>
        <w:tabs>
          <w:tab w:val="left" w:pos="6930"/>
        </w:tabs>
        <w:spacing w:line="348" w:lineRule="auto"/>
        <w:ind w:firstLine="420" w:firstLineChars="200"/>
        <w:rPr>
          <w:rFonts w:hAnsi="宋体"/>
          <w:szCs w:val="21"/>
        </w:rPr>
      </w:pPr>
      <w:r>
        <w:rPr>
          <w:rFonts w:hint="eastAsia" w:hAnsi="宋体"/>
          <w:szCs w:val="21"/>
        </w:rPr>
        <w:t>甲乙双方在履行合同过程中发生纠纷，直接向甲方住所地人民法院提起诉讼。</w:t>
      </w:r>
    </w:p>
    <w:p>
      <w:pPr>
        <w:tabs>
          <w:tab w:val="left" w:pos="6930"/>
        </w:tabs>
        <w:spacing w:line="348" w:lineRule="auto"/>
        <w:rPr>
          <w:rFonts w:hAnsi="宋体"/>
          <w:b/>
          <w:szCs w:val="21"/>
        </w:rPr>
      </w:pPr>
      <w:r>
        <w:rPr>
          <w:rFonts w:hint="eastAsia" w:hAnsi="宋体"/>
          <w:b/>
          <w:szCs w:val="21"/>
        </w:rPr>
        <w:t>十六、其他未尽事宜：</w:t>
      </w:r>
    </w:p>
    <w:p>
      <w:pPr>
        <w:tabs>
          <w:tab w:val="left" w:pos="6930"/>
        </w:tabs>
        <w:spacing w:line="348" w:lineRule="auto"/>
        <w:ind w:firstLine="420" w:firstLineChars="200"/>
        <w:rPr>
          <w:rFonts w:hAnsi="宋体"/>
          <w:szCs w:val="21"/>
        </w:rPr>
      </w:pPr>
      <w:r>
        <w:rPr>
          <w:rFonts w:hint="eastAsia" w:hAnsi="宋体"/>
          <w:szCs w:val="21"/>
        </w:rPr>
        <w:t>本合同其他未尽事宜，按国家《合同法》有关规定处理。</w:t>
      </w:r>
    </w:p>
    <w:p>
      <w:pPr>
        <w:tabs>
          <w:tab w:val="left" w:pos="6930"/>
        </w:tabs>
        <w:spacing w:line="348" w:lineRule="auto"/>
        <w:rPr>
          <w:rFonts w:hAnsi="宋体"/>
          <w:b/>
          <w:szCs w:val="21"/>
        </w:rPr>
      </w:pPr>
      <w:r>
        <w:rPr>
          <w:rFonts w:hint="eastAsia" w:hAnsi="宋体"/>
          <w:b/>
          <w:szCs w:val="21"/>
        </w:rPr>
        <w:t>十七、合同份数：</w:t>
      </w:r>
    </w:p>
    <w:p>
      <w:pPr>
        <w:tabs>
          <w:tab w:val="left" w:pos="6930"/>
        </w:tabs>
        <w:spacing w:line="348" w:lineRule="auto"/>
        <w:ind w:firstLine="420" w:firstLineChars="200"/>
        <w:rPr>
          <w:rFonts w:hAnsi="宋体"/>
          <w:szCs w:val="21"/>
        </w:rPr>
      </w:pPr>
      <w:r>
        <w:rPr>
          <w:rFonts w:hint="eastAsia" w:hAnsi="宋体"/>
          <w:szCs w:val="21"/>
        </w:rPr>
        <w:t>本合同一式捌份，甲方</w:t>
      </w:r>
      <w:r>
        <w:rPr>
          <w:rFonts w:hint="eastAsia" w:hAnsi="宋体"/>
          <w:szCs w:val="21"/>
          <w:u w:val="single"/>
        </w:rPr>
        <w:t xml:space="preserve"> </w:t>
      </w:r>
      <w:r>
        <w:rPr>
          <w:rFonts w:hAnsi="宋体"/>
          <w:szCs w:val="21"/>
          <w:u w:val="single"/>
        </w:rPr>
        <w:t xml:space="preserve">  </w:t>
      </w:r>
      <w:r>
        <w:rPr>
          <w:rFonts w:hint="eastAsia" w:hAnsi="宋体"/>
          <w:szCs w:val="21"/>
        </w:rPr>
        <w:t>份，乙方执</w:t>
      </w:r>
      <w:r>
        <w:rPr>
          <w:rFonts w:hint="eastAsia" w:hAnsi="宋体"/>
          <w:szCs w:val="21"/>
          <w:u w:val="single"/>
        </w:rPr>
        <w:t xml:space="preserve"> </w:t>
      </w:r>
      <w:r>
        <w:rPr>
          <w:rFonts w:hAnsi="宋体"/>
          <w:szCs w:val="21"/>
          <w:u w:val="single"/>
        </w:rPr>
        <w:t xml:space="preserve">  </w:t>
      </w:r>
      <w:r>
        <w:rPr>
          <w:rFonts w:hint="eastAsia" w:hAnsi="宋体"/>
          <w:szCs w:val="21"/>
        </w:rPr>
        <w:t>份，鉴证方</w:t>
      </w:r>
      <w:r>
        <w:rPr>
          <w:rFonts w:hint="eastAsia" w:hAnsi="宋体"/>
          <w:szCs w:val="21"/>
          <w:u w:val="single"/>
        </w:rPr>
        <w:t xml:space="preserve"> </w:t>
      </w:r>
      <w:r>
        <w:rPr>
          <w:rFonts w:hAnsi="宋体"/>
          <w:szCs w:val="21"/>
          <w:u w:val="single"/>
        </w:rPr>
        <w:t xml:space="preserve">  </w:t>
      </w:r>
      <w:r>
        <w:rPr>
          <w:rFonts w:hint="eastAsia" w:hAnsi="宋体"/>
          <w:szCs w:val="21"/>
        </w:rPr>
        <w:t>份。</w:t>
      </w:r>
    </w:p>
    <w:p>
      <w:pPr>
        <w:tabs>
          <w:tab w:val="left" w:pos="6930"/>
        </w:tabs>
        <w:spacing w:line="348" w:lineRule="auto"/>
        <w:rPr>
          <w:rFonts w:hAnsi="宋体"/>
          <w:b/>
          <w:szCs w:val="21"/>
        </w:rPr>
      </w:pPr>
      <w:r>
        <w:rPr>
          <w:rFonts w:hint="eastAsia" w:hAnsi="宋体"/>
          <w:b/>
          <w:szCs w:val="21"/>
        </w:rPr>
        <w:t>十八、合同生效：</w:t>
      </w:r>
    </w:p>
    <w:p>
      <w:pPr>
        <w:tabs>
          <w:tab w:val="left" w:pos="6930"/>
        </w:tabs>
        <w:spacing w:line="348" w:lineRule="auto"/>
        <w:ind w:firstLine="420" w:firstLineChars="200"/>
        <w:rPr>
          <w:rFonts w:hAnsi="宋体"/>
          <w:szCs w:val="21"/>
        </w:rPr>
      </w:pPr>
      <w:r>
        <w:rPr>
          <w:rFonts w:hint="eastAsia" w:hAnsi="宋体"/>
          <w:szCs w:val="21"/>
        </w:rPr>
        <w:t>本合同自甲、乙双方签订之日起生效。</w:t>
      </w:r>
    </w:p>
    <w:p>
      <w:pPr>
        <w:tabs>
          <w:tab w:val="left" w:pos="6930"/>
        </w:tabs>
        <w:spacing w:line="348" w:lineRule="auto"/>
        <w:rPr>
          <w:rFonts w:hAnsi="宋体"/>
          <w:b/>
          <w:szCs w:val="21"/>
        </w:rPr>
      </w:pPr>
      <w:r>
        <w:rPr>
          <w:rFonts w:hint="eastAsia" w:hAnsi="宋体"/>
          <w:b/>
          <w:szCs w:val="21"/>
        </w:rPr>
        <w:t>十九、本合同不可分割之部分包括以下所列文件之内容：</w:t>
      </w:r>
    </w:p>
    <w:p>
      <w:pPr>
        <w:spacing w:line="348" w:lineRule="auto"/>
        <w:ind w:firstLine="420" w:firstLineChars="200"/>
        <w:jc w:val="left"/>
        <w:rPr>
          <w:rFonts w:hAnsi="宋体"/>
          <w:szCs w:val="21"/>
        </w:rPr>
      </w:pPr>
      <w:r>
        <w:rPr>
          <w:rFonts w:hint="eastAsia" w:hAnsi="宋体"/>
          <w:szCs w:val="21"/>
        </w:rPr>
        <w:t>1、合同书附件；2、成交通知书；3、乙方响应文件；4、磋商文件；5、甲乙双方签订合同过程中形成的其他文件。</w:t>
      </w:r>
    </w:p>
    <w:p>
      <w:pPr>
        <w:spacing w:line="348" w:lineRule="auto"/>
        <w:rPr>
          <w:rFonts w:hAnsi="宋体"/>
          <w:b/>
          <w:szCs w:val="21"/>
        </w:rPr>
      </w:pPr>
      <w:r>
        <w:rPr>
          <w:rFonts w:hint="eastAsia" w:hAnsi="宋体"/>
          <w:b/>
          <w:szCs w:val="21"/>
        </w:rPr>
        <w:t>二十、本合同除签订合同之时的签名、手写日期为手写体外，其他手写体内容均不构成本合同及附件之内容。</w:t>
      </w:r>
    </w:p>
    <w:p>
      <w:pPr>
        <w:spacing w:line="348" w:lineRule="auto"/>
        <w:jc w:val="center"/>
        <w:rPr>
          <w:rFonts w:hAnsi="宋体"/>
          <w:b/>
          <w:bCs/>
          <w:szCs w:val="21"/>
        </w:rPr>
      </w:pPr>
      <w:r>
        <w:rPr>
          <w:rFonts w:hint="eastAsia" w:hAnsi="宋体"/>
          <w:b/>
          <w:bCs/>
          <w:szCs w:val="21"/>
        </w:rPr>
        <w:t>（合同内容以实际签订为准）</w:t>
      </w:r>
    </w:p>
    <w:p>
      <w:pPr>
        <w:spacing w:line="360" w:lineRule="auto"/>
        <w:rPr>
          <w:rFonts w:hAnsi="宋体"/>
          <w:szCs w:val="21"/>
        </w:rPr>
      </w:pPr>
    </w:p>
    <w:p>
      <w:pPr>
        <w:pStyle w:val="3"/>
        <w:widowControl/>
        <w:spacing w:before="240" w:after="240"/>
        <w:rPr>
          <w:rFonts w:ascii="Times New Roman" w:hAnsi="Times New Roman" w:eastAsia="黑体"/>
          <w:sz w:val="36"/>
          <w:szCs w:val="36"/>
          <w:lang w:val="zh-CN" w:eastAsia="zh-CN"/>
        </w:rPr>
      </w:pPr>
      <w:bookmarkStart w:id="180" w:name="_Toc72489566"/>
      <w:r>
        <w:rPr>
          <w:rFonts w:hint="eastAsia" w:ascii="Times New Roman" w:hAnsi="Times New Roman" w:eastAsia="黑体"/>
          <w:sz w:val="36"/>
          <w:szCs w:val="36"/>
          <w:lang w:val="zh-CN" w:eastAsia="zh-CN"/>
        </w:rPr>
        <w:t>第四章  响应文件格式</w:t>
      </w:r>
      <w:bookmarkEnd w:id="180"/>
    </w:p>
    <w:p>
      <w:pPr>
        <w:spacing w:line="360" w:lineRule="auto"/>
        <w:ind w:firstLine="2072" w:firstLineChars="645"/>
        <w:rPr>
          <w:rFonts w:hAnsi="宋体"/>
          <w:b/>
          <w:sz w:val="32"/>
          <w:szCs w:val="32"/>
          <w:u w:val="single"/>
        </w:rPr>
      </w:pPr>
    </w:p>
    <w:p>
      <w:pPr>
        <w:spacing w:line="600" w:lineRule="auto"/>
        <w:ind w:right="-2"/>
        <w:jc w:val="center"/>
        <w:rPr>
          <w:rFonts w:ascii="黑体" w:hAnsi="黑体" w:eastAsia="黑体"/>
          <w:b/>
          <w:bCs/>
          <w:snapToGrid/>
          <w:kern w:val="2"/>
          <w:sz w:val="48"/>
          <w:szCs w:val="48"/>
        </w:rPr>
      </w:pPr>
      <w:r>
        <w:rPr>
          <w:rFonts w:hint="eastAsia" w:ascii="黑体" w:hAnsi="黑体" w:eastAsia="黑体"/>
          <w:b/>
          <w:bCs/>
          <w:snapToGrid/>
          <w:kern w:val="2"/>
          <w:sz w:val="48"/>
          <w:szCs w:val="48"/>
        </w:rPr>
        <w:t>政务服务中心数据平台建设</w:t>
      </w:r>
    </w:p>
    <w:p/>
    <w:p/>
    <w:p/>
    <w:p/>
    <w:p>
      <w:pPr>
        <w:pStyle w:val="15"/>
        <w:spacing w:line="780" w:lineRule="exact"/>
        <w:jc w:val="center"/>
        <w:rPr>
          <w:rFonts w:hAnsi="宋体"/>
          <w:b/>
          <w:sz w:val="72"/>
          <w:szCs w:val="72"/>
        </w:rPr>
      </w:pPr>
    </w:p>
    <w:p>
      <w:pPr>
        <w:widowControl/>
        <w:spacing w:line="720" w:lineRule="auto"/>
        <w:jc w:val="center"/>
        <w:rPr>
          <w:rFonts w:ascii="Times New Roman" w:hAnsi="Times New Roman" w:eastAsia="黑体"/>
          <w:b/>
          <w:snapToGrid/>
          <w:kern w:val="0"/>
          <w:sz w:val="72"/>
          <w:szCs w:val="72"/>
        </w:rPr>
      </w:pPr>
      <w:r>
        <w:rPr>
          <w:rFonts w:hint="eastAsia" w:ascii="Times New Roman" w:hAnsi="Times New Roman" w:eastAsia="黑体"/>
          <w:b/>
          <w:snapToGrid/>
          <w:kern w:val="0"/>
          <w:sz w:val="72"/>
          <w:szCs w:val="72"/>
        </w:rPr>
        <w:t>响 应 文 件</w:t>
      </w:r>
    </w:p>
    <w:p>
      <w:pPr>
        <w:widowControl/>
        <w:spacing w:line="720" w:lineRule="auto"/>
        <w:jc w:val="center"/>
        <w:rPr>
          <w:rFonts w:ascii="Times New Roman" w:hAnsi="Times New Roman" w:eastAsia="黑体"/>
          <w:b/>
          <w:snapToGrid/>
          <w:kern w:val="0"/>
          <w:sz w:val="28"/>
          <w:szCs w:val="28"/>
        </w:rPr>
      </w:pPr>
      <w:r>
        <w:rPr>
          <w:rFonts w:hint="eastAsia" w:ascii="Times New Roman" w:hAnsi="Times New Roman" w:eastAsia="黑体"/>
          <w:b/>
          <w:snapToGrid/>
          <w:kern w:val="0"/>
          <w:sz w:val="28"/>
          <w:szCs w:val="28"/>
        </w:rPr>
        <w:t>项目编号：</w:t>
      </w:r>
      <w:r>
        <w:rPr>
          <w:rFonts w:ascii="Times New Roman" w:hAnsi="Times New Roman" w:eastAsia="黑体"/>
          <w:b/>
          <w:snapToGrid/>
          <w:kern w:val="0"/>
          <w:sz w:val="28"/>
          <w:szCs w:val="28"/>
        </w:rPr>
        <w:t>KCFW-2021-3890</w:t>
      </w:r>
    </w:p>
    <w:p>
      <w:pPr>
        <w:pStyle w:val="15"/>
        <w:spacing w:line="500" w:lineRule="exact"/>
        <w:jc w:val="center"/>
        <w:rPr>
          <w:rFonts w:hAnsi="宋体"/>
          <w:b/>
          <w:sz w:val="28"/>
          <w:szCs w:val="28"/>
        </w:rPr>
      </w:pPr>
    </w:p>
    <w:p/>
    <w:p/>
    <w:p/>
    <w:p/>
    <w:p/>
    <w:p/>
    <w:p>
      <w:pPr>
        <w:pStyle w:val="15"/>
        <w:spacing w:line="500" w:lineRule="exact"/>
        <w:jc w:val="center"/>
        <w:rPr>
          <w:rFonts w:hAnsi="宋体"/>
          <w:b/>
          <w:sz w:val="28"/>
          <w:szCs w:val="28"/>
        </w:rPr>
      </w:pPr>
    </w:p>
    <w:p/>
    <w:p>
      <w:pPr>
        <w:pStyle w:val="15"/>
        <w:spacing w:line="500" w:lineRule="exact"/>
        <w:jc w:val="center"/>
        <w:rPr>
          <w:rFonts w:hAnsi="宋体"/>
          <w:b/>
          <w:sz w:val="72"/>
          <w:szCs w:val="72"/>
        </w:rPr>
      </w:pPr>
    </w:p>
    <w:p/>
    <w:p/>
    <w:p/>
    <w:p/>
    <w:p>
      <w:pPr>
        <w:widowControl/>
        <w:spacing w:line="480" w:lineRule="auto"/>
        <w:jc w:val="left"/>
        <w:rPr>
          <w:rFonts w:ascii="Times New Roman" w:hAnsi="Times New Roman" w:eastAsia="黑体"/>
          <w:snapToGrid/>
          <w:kern w:val="0"/>
          <w:sz w:val="30"/>
          <w:szCs w:val="30"/>
        </w:rPr>
      </w:pPr>
      <w:r>
        <w:rPr>
          <w:rFonts w:hint="eastAsia" w:ascii="Times New Roman" w:hAnsi="Times New Roman" w:eastAsia="黑体"/>
          <w:snapToGrid/>
          <w:kern w:val="0"/>
          <w:sz w:val="30"/>
          <w:szCs w:val="30"/>
        </w:rPr>
        <w:t>供应商：</w:t>
      </w:r>
      <w:r>
        <w:rPr>
          <w:rFonts w:hint="eastAsia" w:ascii="Times New Roman" w:hAnsi="Times New Roman" w:eastAsia="黑体"/>
          <w:snapToGrid/>
          <w:kern w:val="0"/>
          <w:sz w:val="30"/>
          <w:szCs w:val="30"/>
          <w:u w:val="single"/>
        </w:rPr>
        <w:t xml:space="preserve">                                </w:t>
      </w:r>
      <w:r>
        <w:rPr>
          <w:rFonts w:hint="eastAsia" w:ascii="Times New Roman" w:hAnsi="Times New Roman" w:eastAsia="黑体"/>
          <w:snapToGrid/>
          <w:kern w:val="0"/>
          <w:sz w:val="30"/>
          <w:szCs w:val="30"/>
        </w:rPr>
        <w:t>（加盖公章）</w:t>
      </w:r>
    </w:p>
    <w:p>
      <w:pPr>
        <w:widowControl/>
        <w:spacing w:line="480" w:lineRule="auto"/>
        <w:jc w:val="left"/>
        <w:rPr>
          <w:rFonts w:ascii="Times New Roman" w:hAnsi="Times New Roman" w:eastAsia="黑体"/>
          <w:snapToGrid/>
          <w:kern w:val="0"/>
          <w:sz w:val="30"/>
          <w:szCs w:val="30"/>
        </w:rPr>
      </w:pPr>
      <w:r>
        <w:rPr>
          <w:rFonts w:hint="eastAsia" w:ascii="Times New Roman" w:hAnsi="Times New Roman" w:eastAsia="黑体"/>
          <w:snapToGrid/>
          <w:kern w:val="0"/>
          <w:sz w:val="30"/>
          <w:szCs w:val="30"/>
        </w:rPr>
        <w:t>法定代表人或委托代理人：</w:t>
      </w:r>
      <w:r>
        <w:rPr>
          <w:rFonts w:hint="eastAsia" w:ascii="Times New Roman" w:hAnsi="Times New Roman" w:eastAsia="黑体"/>
          <w:snapToGrid/>
          <w:kern w:val="0"/>
          <w:sz w:val="30"/>
          <w:szCs w:val="30"/>
          <w:u w:val="single"/>
        </w:rPr>
        <w:t xml:space="preserve">                </w:t>
      </w:r>
      <w:r>
        <w:rPr>
          <w:rFonts w:hint="eastAsia" w:ascii="Times New Roman" w:hAnsi="Times New Roman" w:eastAsia="黑体"/>
          <w:snapToGrid/>
          <w:kern w:val="0"/>
          <w:sz w:val="30"/>
          <w:szCs w:val="30"/>
        </w:rPr>
        <w:t>（签字或盖章）</w:t>
      </w:r>
    </w:p>
    <w:p>
      <w:pPr>
        <w:widowControl/>
        <w:spacing w:line="480" w:lineRule="auto"/>
        <w:jc w:val="center"/>
        <w:rPr>
          <w:rFonts w:ascii="Times New Roman" w:hAnsi="Times New Roman" w:eastAsia="黑体"/>
          <w:snapToGrid/>
          <w:kern w:val="0"/>
          <w:sz w:val="30"/>
          <w:szCs w:val="30"/>
        </w:rPr>
      </w:pPr>
      <w:r>
        <w:rPr>
          <w:rFonts w:hint="eastAsia" w:ascii="Times New Roman" w:hAnsi="Times New Roman" w:eastAsia="黑体"/>
          <w:snapToGrid/>
          <w:kern w:val="0"/>
          <w:sz w:val="30"/>
          <w:szCs w:val="30"/>
          <w:u w:val="single"/>
        </w:rPr>
        <w:t xml:space="preserve"> </w:t>
      </w:r>
      <w:r>
        <w:rPr>
          <w:rFonts w:ascii="Times New Roman" w:hAnsi="Times New Roman" w:eastAsia="黑体"/>
          <w:snapToGrid/>
          <w:kern w:val="0"/>
          <w:sz w:val="30"/>
          <w:szCs w:val="30"/>
          <w:u w:val="single"/>
        </w:rPr>
        <w:t xml:space="preserve">       </w:t>
      </w:r>
      <w:r>
        <w:rPr>
          <w:rFonts w:hint="eastAsia" w:ascii="Times New Roman" w:hAnsi="Times New Roman" w:eastAsia="黑体"/>
          <w:snapToGrid/>
          <w:kern w:val="0"/>
          <w:sz w:val="30"/>
          <w:szCs w:val="30"/>
        </w:rPr>
        <w:t>年</w:t>
      </w:r>
      <w:r>
        <w:rPr>
          <w:rFonts w:ascii="Times New Roman" w:hAnsi="Times New Roman" w:eastAsia="黑体"/>
          <w:snapToGrid/>
          <w:kern w:val="0"/>
          <w:sz w:val="30"/>
          <w:szCs w:val="30"/>
          <w:u w:val="single"/>
        </w:rPr>
        <w:t xml:space="preserve">   </w:t>
      </w:r>
      <w:r>
        <w:rPr>
          <w:rFonts w:hint="eastAsia" w:ascii="Times New Roman" w:hAnsi="Times New Roman" w:eastAsia="黑体"/>
          <w:snapToGrid/>
          <w:kern w:val="0"/>
          <w:sz w:val="30"/>
          <w:szCs w:val="30"/>
        </w:rPr>
        <w:t>月</w:t>
      </w:r>
      <w:r>
        <w:rPr>
          <w:rFonts w:ascii="Times New Roman" w:hAnsi="Times New Roman" w:eastAsia="黑体"/>
          <w:snapToGrid/>
          <w:kern w:val="0"/>
          <w:sz w:val="30"/>
          <w:szCs w:val="30"/>
          <w:u w:val="single"/>
        </w:rPr>
        <w:t xml:space="preserve">   </w:t>
      </w:r>
      <w:r>
        <w:rPr>
          <w:rFonts w:hint="eastAsia" w:ascii="Times New Roman" w:hAnsi="Times New Roman" w:eastAsia="黑体"/>
          <w:snapToGrid/>
          <w:kern w:val="0"/>
          <w:sz w:val="30"/>
          <w:szCs w:val="30"/>
        </w:rPr>
        <w:t>日</w:t>
      </w:r>
    </w:p>
    <w:p/>
    <w:p>
      <w:pPr>
        <w:widowControl/>
        <w:spacing w:line="360" w:lineRule="auto"/>
        <w:jc w:val="center"/>
        <w:rPr>
          <w:rFonts w:ascii="Times New Roman" w:hAnsi="Times New Roman" w:eastAsia="黑体"/>
          <w:b/>
          <w:snapToGrid/>
          <w:kern w:val="11"/>
          <w:sz w:val="32"/>
          <w:szCs w:val="32"/>
        </w:rPr>
      </w:pPr>
      <w:bookmarkStart w:id="181" w:name="_Toc491307345"/>
      <w:bookmarkStart w:id="182" w:name="_Toc491307465"/>
      <w:bookmarkStart w:id="183" w:name="_Toc494043329"/>
      <w:bookmarkStart w:id="184" w:name="_Toc491307283"/>
      <w:r>
        <w:rPr>
          <w:rFonts w:ascii="Times New Roman" w:hAnsi="Times New Roman" w:eastAsia="黑体"/>
          <w:b/>
          <w:snapToGrid/>
          <w:kern w:val="11"/>
          <w:sz w:val="32"/>
          <w:szCs w:val="32"/>
        </w:rPr>
        <w:t>目</w:t>
      </w:r>
      <w:r>
        <w:rPr>
          <w:rFonts w:hint="eastAsia" w:ascii="Times New Roman" w:hAnsi="Times New Roman" w:eastAsia="黑体"/>
          <w:b/>
          <w:snapToGrid/>
          <w:kern w:val="11"/>
          <w:sz w:val="32"/>
          <w:szCs w:val="32"/>
        </w:rPr>
        <w:t xml:space="preserve"> </w:t>
      </w:r>
      <w:r>
        <w:rPr>
          <w:rFonts w:ascii="Times New Roman" w:hAnsi="Times New Roman" w:eastAsia="黑体"/>
          <w:b/>
          <w:snapToGrid/>
          <w:kern w:val="11"/>
          <w:sz w:val="32"/>
          <w:szCs w:val="32"/>
        </w:rPr>
        <w:t xml:space="preserve"> 录</w:t>
      </w:r>
    </w:p>
    <w:p>
      <w:pPr>
        <w:numPr>
          <w:ilvl w:val="0"/>
          <w:numId w:val="4"/>
        </w:numPr>
        <w:spacing w:line="360" w:lineRule="auto"/>
        <w:jc w:val="left"/>
        <w:rPr>
          <w:rFonts w:hAnsi="宋体"/>
          <w:szCs w:val="21"/>
        </w:rPr>
      </w:pPr>
      <w:r>
        <w:rPr>
          <w:rFonts w:hint="eastAsia" w:hAnsi="宋体"/>
          <w:szCs w:val="21"/>
        </w:rPr>
        <w:t>磋商报价一览表</w:t>
      </w:r>
      <w:r>
        <w:rPr>
          <w:rFonts w:hAnsi="宋体"/>
          <w:szCs w:val="21"/>
        </w:rPr>
        <w:t>……………………………………………………………………………（     ）</w:t>
      </w:r>
    </w:p>
    <w:p>
      <w:pPr>
        <w:numPr>
          <w:ilvl w:val="0"/>
          <w:numId w:val="4"/>
        </w:numPr>
        <w:spacing w:line="360" w:lineRule="auto"/>
        <w:jc w:val="left"/>
        <w:rPr>
          <w:rFonts w:hAnsi="宋体"/>
          <w:szCs w:val="21"/>
        </w:rPr>
      </w:pPr>
      <w:r>
        <w:rPr>
          <w:rFonts w:hint="eastAsia" w:hAnsi="宋体"/>
          <w:szCs w:val="21"/>
        </w:rPr>
        <w:t>磋商申请函</w:t>
      </w:r>
      <w:r>
        <w:rPr>
          <w:rFonts w:hAnsi="宋体"/>
          <w:szCs w:val="21"/>
        </w:rPr>
        <w:t>…………………………………………………………………………………（     ）</w:t>
      </w:r>
    </w:p>
    <w:p>
      <w:pPr>
        <w:numPr>
          <w:ilvl w:val="0"/>
          <w:numId w:val="4"/>
        </w:numPr>
        <w:spacing w:line="360" w:lineRule="auto"/>
        <w:jc w:val="left"/>
        <w:rPr>
          <w:rFonts w:hAnsi="宋体"/>
          <w:szCs w:val="21"/>
        </w:rPr>
      </w:pPr>
      <w:r>
        <w:rPr>
          <w:rFonts w:hint="eastAsia" w:hAnsi="宋体"/>
          <w:szCs w:val="21"/>
        </w:rPr>
        <w:t>资格证明文件</w:t>
      </w:r>
      <w:r>
        <w:rPr>
          <w:rFonts w:hAnsi="宋体"/>
          <w:szCs w:val="21"/>
        </w:rPr>
        <w:t>………………………………………………………………………………（     ）</w:t>
      </w:r>
    </w:p>
    <w:p>
      <w:pPr>
        <w:numPr>
          <w:ilvl w:val="0"/>
          <w:numId w:val="4"/>
        </w:numPr>
        <w:spacing w:line="360" w:lineRule="auto"/>
        <w:jc w:val="left"/>
        <w:rPr>
          <w:rFonts w:hAnsi="宋体"/>
          <w:szCs w:val="21"/>
        </w:rPr>
      </w:pPr>
      <w:r>
        <w:rPr>
          <w:rFonts w:hint="eastAsia" w:hAnsi="宋体"/>
          <w:szCs w:val="21"/>
        </w:rPr>
        <w:t>构成响应文件的其他资料</w:t>
      </w:r>
      <w:r>
        <w:rPr>
          <w:rFonts w:hAnsi="宋体"/>
          <w:szCs w:val="21"/>
        </w:rPr>
        <w:t>…………………………………………………………………（     ）</w:t>
      </w:r>
    </w:p>
    <w:p>
      <w:pPr>
        <w:numPr>
          <w:ilvl w:val="0"/>
          <w:numId w:val="4"/>
        </w:numPr>
        <w:spacing w:line="360" w:lineRule="auto"/>
        <w:jc w:val="left"/>
        <w:rPr>
          <w:rFonts w:hAnsi="宋体"/>
          <w:szCs w:val="21"/>
        </w:rPr>
      </w:pPr>
      <w:r>
        <w:rPr>
          <w:rFonts w:hint="eastAsia" w:hAnsi="宋体"/>
          <w:szCs w:val="21"/>
        </w:rPr>
        <w:t>商务条款偏离表</w:t>
      </w:r>
      <w:r>
        <w:rPr>
          <w:rFonts w:hAnsi="宋体"/>
          <w:szCs w:val="21"/>
        </w:rPr>
        <w:t>……………………………………………………………………………（     ）</w:t>
      </w:r>
    </w:p>
    <w:p>
      <w:pPr>
        <w:numPr>
          <w:ilvl w:val="0"/>
          <w:numId w:val="4"/>
        </w:numPr>
        <w:spacing w:line="360" w:lineRule="auto"/>
        <w:jc w:val="left"/>
        <w:rPr>
          <w:rFonts w:hAnsi="宋体"/>
          <w:szCs w:val="21"/>
        </w:rPr>
      </w:pPr>
      <w:r>
        <w:rPr>
          <w:rFonts w:hint="eastAsia" w:hAnsi="宋体"/>
          <w:szCs w:val="21"/>
        </w:rPr>
        <w:t>数据中心建设方案</w:t>
      </w:r>
      <w:r>
        <w:rPr>
          <w:rFonts w:hAnsi="宋体"/>
          <w:szCs w:val="21"/>
        </w:rPr>
        <w:t>…………………………………………………………………………（     ）</w:t>
      </w:r>
    </w:p>
    <w:p>
      <w:pPr>
        <w:numPr>
          <w:ilvl w:val="0"/>
          <w:numId w:val="4"/>
        </w:numPr>
        <w:spacing w:line="360" w:lineRule="auto"/>
        <w:jc w:val="left"/>
        <w:rPr>
          <w:rFonts w:hAnsi="宋体"/>
          <w:szCs w:val="21"/>
        </w:rPr>
      </w:pPr>
      <w:r>
        <w:rPr>
          <w:rFonts w:hint="eastAsia" w:hAnsi="宋体"/>
          <w:szCs w:val="21"/>
        </w:rPr>
        <w:t>系统功能方案</w:t>
      </w:r>
      <w:r>
        <w:rPr>
          <w:rFonts w:hAnsi="宋体"/>
          <w:szCs w:val="21"/>
        </w:rPr>
        <w:t>………………………………………………………………………………（     ）</w:t>
      </w:r>
    </w:p>
    <w:p>
      <w:pPr>
        <w:numPr>
          <w:ilvl w:val="0"/>
          <w:numId w:val="4"/>
        </w:numPr>
        <w:spacing w:line="360" w:lineRule="auto"/>
        <w:jc w:val="left"/>
        <w:rPr>
          <w:rFonts w:hAnsi="宋体"/>
          <w:szCs w:val="21"/>
        </w:rPr>
      </w:pPr>
      <w:r>
        <w:rPr>
          <w:rFonts w:hint="eastAsia" w:hAnsi="宋体"/>
          <w:szCs w:val="21"/>
        </w:rPr>
        <w:t>数据中心平台信息完全、保密措施</w:t>
      </w:r>
      <w:r>
        <w:rPr>
          <w:rFonts w:hAnsi="宋体"/>
          <w:szCs w:val="21"/>
        </w:rPr>
        <w:t>………………………………………………………（     ）</w:t>
      </w:r>
    </w:p>
    <w:p>
      <w:pPr>
        <w:numPr>
          <w:ilvl w:val="0"/>
          <w:numId w:val="4"/>
        </w:numPr>
        <w:spacing w:line="360" w:lineRule="auto"/>
        <w:jc w:val="left"/>
        <w:rPr>
          <w:rFonts w:hAnsi="宋体"/>
          <w:szCs w:val="21"/>
        </w:rPr>
      </w:pPr>
      <w:r>
        <w:rPr>
          <w:rFonts w:hint="eastAsia" w:hAnsi="宋体"/>
          <w:szCs w:val="21"/>
        </w:rPr>
        <w:t>时间进度计划安排</w:t>
      </w:r>
      <w:r>
        <w:rPr>
          <w:rFonts w:hAnsi="宋体"/>
          <w:szCs w:val="21"/>
        </w:rPr>
        <w:t>…………………………………………………………………………（     ）</w:t>
      </w:r>
    </w:p>
    <w:p>
      <w:pPr>
        <w:numPr>
          <w:ilvl w:val="0"/>
          <w:numId w:val="4"/>
        </w:numPr>
        <w:spacing w:line="360" w:lineRule="auto"/>
        <w:jc w:val="left"/>
        <w:rPr>
          <w:rFonts w:hAnsi="宋体"/>
          <w:szCs w:val="21"/>
        </w:rPr>
      </w:pPr>
      <w:r>
        <w:rPr>
          <w:rFonts w:hint="eastAsia" w:hAnsi="宋体"/>
          <w:szCs w:val="21"/>
        </w:rPr>
        <w:t>供应商综合能力</w:t>
      </w:r>
      <w:r>
        <w:rPr>
          <w:rFonts w:hAnsi="宋体"/>
          <w:szCs w:val="21"/>
        </w:rPr>
        <w:t>……………………………………………………………………………（     ）</w:t>
      </w:r>
    </w:p>
    <w:p>
      <w:pPr>
        <w:numPr>
          <w:ilvl w:val="0"/>
          <w:numId w:val="4"/>
        </w:numPr>
        <w:spacing w:line="360" w:lineRule="auto"/>
        <w:jc w:val="left"/>
        <w:rPr>
          <w:rFonts w:hAnsi="宋体"/>
          <w:szCs w:val="21"/>
        </w:rPr>
      </w:pPr>
      <w:r>
        <w:rPr>
          <w:rFonts w:hint="eastAsia" w:hAnsi="宋体"/>
          <w:szCs w:val="21"/>
        </w:rPr>
        <w:t xml:space="preserve">拟派往本项目的项目成员 </w:t>
      </w:r>
      <w:r>
        <w:rPr>
          <w:rFonts w:hAnsi="宋体"/>
          <w:szCs w:val="21"/>
        </w:rPr>
        <w:t>………………………………………………………………（     ）</w:t>
      </w:r>
    </w:p>
    <w:p>
      <w:pPr>
        <w:numPr>
          <w:ilvl w:val="0"/>
          <w:numId w:val="4"/>
        </w:numPr>
        <w:spacing w:line="360" w:lineRule="auto"/>
        <w:jc w:val="left"/>
        <w:rPr>
          <w:rFonts w:hAnsi="宋体"/>
          <w:szCs w:val="21"/>
        </w:rPr>
      </w:pPr>
      <w:r>
        <w:rPr>
          <w:rFonts w:hint="eastAsia" w:hAnsi="宋体"/>
          <w:szCs w:val="21"/>
        </w:rPr>
        <w:t xml:space="preserve">服务承诺 </w:t>
      </w:r>
      <w:r>
        <w:rPr>
          <w:rFonts w:hAnsi="宋体"/>
          <w:szCs w:val="21"/>
        </w:rPr>
        <w:t>…………………………………………………………………………………（     ）</w:t>
      </w:r>
    </w:p>
    <w:p>
      <w:pPr>
        <w:numPr>
          <w:ilvl w:val="0"/>
          <w:numId w:val="4"/>
        </w:numPr>
        <w:spacing w:line="360" w:lineRule="auto"/>
        <w:jc w:val="left"/>
        <w:rPr>
          <w:rFonts w:hAnsi="宋体"/>
          <w:szCs w:val="21"/>
        </w:rPr>
      </w:pPr>
      <w:r>
        <w:rPr>
          <w:rFonts w:hint="eastAsia" w:hAnsi="宋体"/>
          <w:szCs w:val="21"/>
        </w:rPr>
        <w:t xml:space="preserve">类似项目业绩列表 </w:t>
      </w:r>
      <w:r>
        <w:rPr>
          <w:rFonts w:hAnsi="宋体"/>
          <w:szCs w:val="21"/>
        </w:rPr>
        <w:t>………………………………………………………………………（     ）</w:t>
      </w:r>
    </w:p>
    <w:p/>
    <w:p>
      <w:pPr>
        <w:spacing w:line="360" w:lineRule="auto"/>
        <w:rPr>
          <w:rFonts w:hAnsi="宋体"/>
          <w:b/>
          <w:bCs/>
          <w:szCs w:val="21"/>
        </w:rPr>
      </w:pPr>
      <w:bookmarkStart w:id="185" w:name="_Toc6496656"/>
      <w:r>
        <w:rPr>
          <w:rFonts w:hAnsi="宋体"/>
          <w:b/>
          <w:bCs/>
          <w:szCs w:val="21"/>
        </w:rPr>
        <w:t>注：</w:t>
      </w:r>
      <w:r>
        <w:rPr>
          <w:rFonts w:hint="eastAsia" w:hAnsi="宋体"/>
          <w:b/>
          <w:bCs/>
          <w:szCs w:val="21"/>
        </w:rPr>
        <w:t>响应</w:t>
      </w:r>
      <w:r>
        <w:rPr>
          <w:rFonts w:hAnsi="宋体"/>
          <w:b/>
          <w:bCs/>
          <w:szCs w:val="21"/>
        </w:rPr>
        <w:t>文件内容须按照以上目录顺序进行装订，并每页连续标注页码。</w:t>
      </w:r>
      <w:bookmarkEnd w:id="185"/>
    </w:p>
    <w:p/>
    <w:p/>
    <w:p/>
    <w:p/>
    <w:p/>
    <w:p/>
    <w:p/>
    <w:p/>
    <w:p/>
    <w:p/>
    <w:p/>
    <w:p/>
    <w:p/>
    <w:p/>
    <w:p/>
    <w:p/>
    <w:p/>
    <w:p>
      <w:pPr>
        <w:pStyle w:val="15"/>
        <w:autoSpaceDE w:val="0"/>
        <w:autoSpaceDN w:val="0"/>
        <w:adjustRightInd w:val="0"/>
        <w:spacing w:line="360" w:lineRule="auto"/>
        <w:jc w:val="left"/>
        <w:rPr>
          <w:rFonts w:asciiTheme="minorEastAsia" w:hAnsiTheme="minorEastAsia" w:eastAsiaTheme="minorEastAsia"/>
          <w:b/>
          <w:kern w:val="0"/>
          <w:sz w:val="28"/>
          <w:szCs w:val="28"/>
        </w:rPr>
      </w:pPr>
      <w:bookmarkStart w:id="186" w:name="_Toc6496657"/>
      <w:r>
        <w:rPr>
          <w:rFonts w:hint="eastAsia" w:asciiTheme="minorEastAsia" w:hAnsiTheme="minorEastAsia" w:eastAsiaTheme="minorEastAsia"/>
          <w:b/>
          <w:kern w:val="0"/>
          <w:sz w:val="28"/>
          <w:szCs w:val="28"/>
        </w:rPr>
        <w:t>格式</w:t>
      </w:r>
      <w:r>
        <w:rPr>
          <w:rFonts w:asciiTheme="minorEastAsia" w:hAnsiTheme="minorEastAsia" w:eastAsiaTheme="minorEastAsia"/>
          <w:b/>
          <w:kern w:val="0"/>
          <w:sz w:val="28"/>
          <w:szCs w:val="28"/>
        </w:rPr>
        <w:t>1</w:t>
      </w:r>
      <w:bookmarkEnd w:id="181"/>
      <w:bookmarkEnd w:id="182"/>
      <w:bookmarkEnd w:id="183"/>
      <w:bookmarkEnd w:id="184"/>
      <w:bookmarkEnd w:id="186"/>
    </w:p>
    <w:p>
      <w:pPr>
        <w:pStyle w:val="4"/>
        <w:keepLines w:val="0"/>
        <w:spacing w:before="240" w:after="240" w:line="360" w:lineRule="auto"/>
        <w:jc w:val="center"/>
        <w:rPr>
          <w:rFonts w:hint="default" w:hAnsi="黑体"/>
          <w:kern w:val="0"/>
          <w:sz w:val="30"/>
          <w:szCs w:val="30"/>
          <w:lang w:val="en-US" w:eastAsia="zh-CN"/>
        </w:rPr>
      </w:pPr>
      <w:bookmarkStart w:id="187" w:name="_Toc491307284"/>
      <w:bookmarkStart w:id="188" w:name="_Toc491307346"/>
      <w:bookmarkStart w:id="189" w:name="_Toc491307466"/>
      <w:bookmarkStart w:id="190" w:name="_Toc494043330"/>
      <w:bookmarkStart w:id="191" w:name="_Toc6496658"/>
      <w:bookmarkStart w:id="192" w:name="_Toc72489567"/>
      <w:bookmarkStart w:id="193" w:name="_Toc415662825"/>
      <w:bookmarkStart w:id="194" w:name="_Toc383175510"/>
      <w:bookmarkStart w:id="195" w:name="_Toc347849248"/>
      <w:r>
        <w:rPr>
          <w:rFonts w:hAnsi="黑体"/>
          <w:kern w:val="0"/>
          <w:sz w:val="30"/>
          <w:szCs w:val="30"/>
          <w:lang w:val="en-US" w:eastAsia="zh-CN"/>
        </w:rPr>
        <w:t>磋商报价一览表</w:t>
      </w:r>
      <w:bookmarkEnd w:id="187"/>
      <w:bookmarkEnd w:id="188"/>
      <w:bookmarkEnd w:id="189"/>
      <w:bookmarkEnd w:id="190"/>
      <w:bookmarkEnd w:id="191"/>
      <w:bookmarkEnd w:id="192"/>
    </w:p>
    <w:p>
      <w:pPr>
        <w:autoSpaceDE w:val="0"/>
        <w:autoSpaceDN w:val="0"/>
        <w:adjustRightInd w:val="0"/>
        <w:spacing w:line="360" w:lineRule="auto"/>
        <w:jc w:val="left"/>
        <w:rPr>
          <w:rFonts w:hAnsi="宋体"/>
          <w:bCs/>
          <w:kern w:val="0"/>
          <w:szCs w:val="21"/>
          <w:u w:val="single"/>
        </w:rPr>
      </w:pPr>
      <w:r>
        <w:rPr>
          <w:rFonts w:hint="eastAsia" w:hAnsi="宋体"/>
          <w:bCs/>
          <w:kern w:val="0"/>
          <w:szCs w:val="21"/>
        </w:rPr>
        <w:t>项目名称：</w:t>
      </w:r>
    </w:p>
    <w:p>
      <w:pPr>
        <w:autoSpaceDE w:val="0"/>
        <w:autoSpaceDN w:val="0"/>
        <w:adjustRightInd w:val="0"/>
        <w:spacing w:line="360" w:lineRule="auto"/>
        <w:jc w:val="left"/>
        <w:rPr>
          <w:rFonts w:hAnsi="宋体"/>
          <w:bCs/>
          <w:kern w:val="0"/>
          <w:szCs w:val="21"/>
          <w:u w:val="single"/>
        </w:rPr>
      </w:pPr>
      <w:r>
        <w:rPr>
          <w:rFonts w:hint="eastAsia" w:hAnsi="宋体"/>
          <w:bCs/>
          <w:kern w:val="0"/>
          <w:szCs w:val="21"/>
        </w:rPr>
        <w:t>项目编号：</w:t>
      </w:r>
    </w:p>
    <w:tbl>
      <w:tblPr>
        <w:tblStyle w:val="28"/>
        <w:tblW w:w="9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9"/>
        <w:gridCol w:w="7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274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Ansi="宋体" w:cs="宋体"/>
                <w:szCs w:val="21"/>
              </w:rPr>
            </w:pPr>
            <w:r>
              <w:rPr>
                <w:rFonts w:hint="eastAsia" w:hAnsi="宋体" w:cs="宋体"/>
                <w:szCs w:val="21"/>
              </w:rPr>
              <w:t>供应商名称</w:t>
            </w:r>
          </w:p>
        </w:tc>
        <w:tc>
          <w:tcPr>
            <w:tcW w:w="70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274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Ansi="宋体" w:cs="宋体"/>
                <w:szCs w:val="21"/>
              </w:rPr>
            </w:pPr>
            <w:r>
              <w:rPr>
                <w:rFonts w:hint="eastAsia" w:hAnsi="宋体"/>
                <w:szCs w:val="21"/>
              </w:rPr>
              <w:t>磋商</w:t>
            </w:r>
            <w:r>
              <w:rPr>
                <w:rFonts w:hAnsi="宋体"/>
                <w:szCs w:val="21"/>
              </w:rPr>
              <w:t>报价（元）</w:t>
            </w:r>
          </w:p>
        </w:tc>
        <w:tc>
          <w:tcPr>
            <w:tcW w:w="7062" w:type="dxa"/>
            <w:tcBorders>
              <w:top w:val="single" w:color="auto" w:sz="4" w:space="0"/>
              <w:left w:val="single" w:color="auto" w:sz="4" w:space="0"/>
              <w:bottom w:val="single" w:color="auto" w:sz="4" w:space="0"/>
              <w:right w:val="single" w:color="auto" w:sz="4" w:space="0"/>
            </w:tcBorders>
            <w:vAlign w:val="center"/>
          </w:tcPr>
          <w:p>
            <w:pPr>
              <w:spacing w:line="360" w:lineRule="auto"/>
              <w:rPr>
                <w:rFonts w:hAnsi="宋体" w:cs="宋体"/>
                <w:szCs w:val="21"/>
              </w:rPr>
            </w:pPr>
            <w:r>
              <w:rPr>
                <w:rFonts w:hint="eastAsia" w:hAnsi="宋体" w:cs="宋体"/>
                <w:szCs w:val="21"/>
              </w:rPr>
              <w:t>小写：￥</w:t>
            </w:r>
            <w:r>
              <w:rPr>
                <w:rFonts w:hint="eastAsia" w:hAnsi="宋体" w:cs="宋体"/>
                <w:szCs w:val="21"/>
                <w:u w:val="single"/>
              </w:rPr>
              <w:t xml:space="preserve"> </w:t>
            </w:r>
            <w:r>
              <w:rPr>
                <w:rFonts w:hAnsi="宋体" w:cs="宋体"/>
                <w:szCs w:val="21"/>
                <w:u w:val="single"/>
              </w:rPr>
              <w:t xml:space="preserve">          </w:t>
            </w:r>
            <w:r>
              <w:rPr>
                <w:rFonts w:hint="eastAsia" w:hAnsi="宋体" w:cs="宋体"/>
                <w:szCs w:val="21"/>
              </w:rPr>
              <w:t>元</w:t>
            </w:r>
          </w:p>
          <w:p>
            <w:pPr>
              <w:spacing w:line="360" w:lineRule="auto"/>
              <w:rPr>
                <w:rFonts w:hAnsi="宋体" w:cs="宋体"/>
                <w:szCs w:val="21"/>
                <w:u w:val="single"/>
              </w:rPr>
            </w:pPr>
            <w:r>
              <w:rPr>
                <w:rFonts w:hint="eastAsia" w:hAnsi="宋体" w:cs="宋体"/>
                <w:szCs w:val="21"/>
              </w:rPr>
              <w:t>大写：人民币</w:t>
            </w:r>
            <w:r>
              <w:rPr>
                <w:rFonts w:hint="eastAsia" w:hAnsi="宋体" w:cs="宋体"/>
                <w:szCs w:val="21"/>
                <w:u w:val="single"/>
              </w:rPr>
              <w:t xml:space="preserve"> </w:t>
            </w:r>
            <w:r>
              <w:rPr>
                <w:rFonts w:hAnsi="宋体" w:cs="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274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Ansi="宋体" w:cs="宋体"/>
                <w:szCs w:val="21"/>
              </w:rPr>
            </w:pPr>
            <w:r>
              <w:rPr>
                <w:rFonts w:hint="eastAsia" w:hAnsi="宋体"/>
                <w:szCs w:val="21"/>
              </w:rPr>
              <w:t>项目实施地点承诺</w:t>
            </w:r>
          </w:p>
        </w:tc>
        <w:tc>
          <w:tcPr>
            <w:tcW w:w="7062" w:type="dxa"/>
            <w:tcBorders>
              <w:top w:val="single" w:color="auto" w:sz="4" w:space="0"/>
              <w:left w:val="single" w:color="auto" w:sz="4" w:space="0"/>
              <w:bottom w:val="single" w:color="auto" w:sz="4" w:space="0"/>
              <w:right w:val="single" w:color="auto" w:sz="4" w:space="0"/>
            </w:tcBorders>
            <w:vAlign w:val="center"/>
          </w:tcPr>
          <w:p>
            <w:pPr>
              <w:spacing w:line="360" w:lineRule="auto"/>
              <w:rPr>
                <w:rFonts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274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Ansi="宋体" w:cs="宋体"/>
                <w:szCs w:val="21"/>
              </w:rPr>
            </w:pPr>
            <w:r>
              <w:rPr>
                <w:rFonts w:hint="eastAsia" w:hAnsi="宋体"/>
                <w:szCs w:val="21"/>
              </w:rPr>
              <w:t>合同履行期限承诺</w:t>
            </w:r>
          </w:p>
        </w:tc>
        <w:tc>
          <w:tcPr>
            <w:tcW w:w="7062" w:type="dxa"/>
            <w:tcBorders>
              <w:top w:val="single" w:color="auto" w:sz="4" w:space="0"/>
              <w:left w:val="single" w:color="auto" w:sz="4" w:space="0"/>
              <w:bottom w:val="single" w:color="auto" w:sz="4" w:space="0"/>
              <w:right w:val="single" w:color="auto" w:sz="4" w:space="0"/>
            </w:tcBorders>
            <w:vAlign w:val="center"/>
          </w:tcPr>
          <w:p>
            <w:pPr>
              <w:spacing w:line="360" w:lineRule="auto"/>
              <w:rPr>
                <w:rFonts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274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Ansi="宋体" w:cs="宋体"/>
                <w:szCs w:val="21"/>
              </w:rPr>
            </w:pPr>
            <w:r>
              <w:rPr>
                <w:rFonts w:hint="eastAsia" w:hAnsi="宋体" w:cs="宋体-18030"/>
                <w:szCs w:val="21"/>
              </w:rPr>
              <w:t>磋商保证金形式</w:t>
            </w:r>
          </w:p>
        </w:tc>
        <w:tc>
          <w:tcPr>
            <w:tcW w:w="7062" w:type="dxa"/>
            <w:tcBorders>
              <w:top w:val="single" w:color="auto" w:sz="4" w:space="0"/>
              <w:left w:val="single" w:color="auto" w:sz="4" w:space="0"/>
              <w:bottom w:val="single" w:color="auto" w:sz="4" w:space="0"/>
              <w:right w:val="single" w:color="auto" w:sz="4" w:space="0"/>
            </w:tcBorders>
            <w:vAlign w:val="center"/>
          </w:tcPr>
          <w:p>
            <w:pPr>
              <w:spacing w:line="360" w:lineRule="auto"/>
              <w:rPr>
                <w:rFonts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jc w:val="center"/>
        </w:trPr>
        <w:tc>
          <w:tcPr>
            <w:tcW w:w="981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Ansi="宋体" w:cs="宋体"/>
                <w:szCs w:val="21"/>
              </w:rPr>
            </w:pPr>
            <w:r>
              <w:rPr>
                <w:rFonts w:hint="eastAsia" w:hAnsi="宋体" w:cs="宋体"/>
                <w:szCs w:val="21"/>
              </w:rPr>
              <w:t>备 注</w:t>
            </w:r>
          </w:p>
          <w:p>
            <w:pPr>
              <w:spacing w:line="360" w:lineRule="auto"/>
              <w:rPr>
                <w:rFonts w:hAnsi="宋体"/>
                <w:szCs w:val="21"/>
              </w:rPr>
            </w:pPr>
          </w:p>
          <w:p>
            <w:pPr>
              <w:spacing w:line="360" w:lineRule="auto"/>
              <w:rPr>
                <w:rFonts w:hAnsi="宋体"/>
                <w:szCs w:val="21"/>
              </w:rPr>
            </w:pPr>
          </w:p>
        </w:tc>
      </w:tr>
    </w:tbl>
    <w:p>
      <w:pPr>
        <w:pStyle w:val="15"/>
        <w:spacing w:line="360" w:lineRule="auto"/>
        <w:rPr>
          <w:rFonts w:hAnsi="宋体"/>
          <w:szCs w:val="21"/>
        </w:rPr>
      </w:pPr>
      <w:r>
        <w:rPr>
          <w:rFonts w:hint="eastAsia" w:hAnsi="宋体"/>
          <w:szCs w:val="21"/>
        </w:rPr>
        <w:t>注：本表中“磋商报价”应与格式2“</w:t>
      </w:r>
      <w:r>
        <w:rPr>
          <w:rFonts w:hint="eastAsia" w:hAnsi="宋体"/>
          <w:bCs/>
          <w:szCs w:val="21"/>
        </w:rPr>
        <w:t>磋商申请函</w:t>
      </w:r>
      <w:r>
        <w:rPr>
          <w:rFonts w:hint="eastAsia" w:hAnsi="宋体"/>
          <w:szCs w:val="21"/>
        </w:rPr>
        <w:t>”中“磋商报价”一致。</w:t>
      </w:r>
    </w:p>
    <w:p/>
    <w:p>
      <w:pPr>
        <w:pStyle w:val="15"/>
        <w:spacing w:line="480" w:lineRule="auto"/>
        <w:rPr>
          <w:rFonts w:hAnsi="宋体"/>
          <w:szCs w:val="21"/>
        </w:rPr>
      </w:pPr>
      <w:r>
        <w:rPr>
          <w:rFonts w:hint="eastAsia" w:hAnsi="宋体"/>
          <w:szCs w:val="21"/>
        </w:rPr>
        <w:t>供应商（加盖公章)：</w:t>
      </w:r>
    </w:p>
    <w:p>
      <w:pPr>
        <w:pStyle w:val="15"/>
        <w:spacing w:line="480" w:lineRule="auto"/>
        <w:rPr>
          <w:rFonts w:hAnsi="宋体"/>
          <w:szCs w:val="21"/>
        </w:rPr>
      </w:pPr>
      <w:r>
        <w:rPr>
          <w:rFonts w:hint="eastAsia" w:hAnsi="宋体"/>
          <w:szCs w:val="21"/>
        </w:rPr>
        <w:t>法定代表人或委托代理人（签字或盖章）：</w:t>
      </w:r>
    </w:p>
    <w:p>
      <w:pPr>
        <w:pStyle w:val="15"/>
        <w:spacing w:line="480" w:lineRule="auto"/>
        <w:rPr>
          <w:rFonts w:hAnsi="宋体"/>
          <w:szCs w:val="21"/>
        </w:rPr>
      </w:pPr>
      <w:r>
        <w:rPr>
          <w:rFonts w:hint="eastAsia" w:hAnsi="宋体"/>
          <w:szCs w:val="21"/>
        </w:rPr>
        <w:t>日期：</w:t>
      </w:r>
      <w:bookmarkStart w:id="196" w:name="_Toc491307467"/>
      <w:bookmarkStart w:id="197" w:name="_Toc494043331"/>
      <w:bookmarkStart w:id="198" w:name="_Toc491307347"/>
      <w:bookmarkStart w:id="199" w:name="_Toc491307285"/>
      <w:bookmarkStart w:id="200" w:name="_Toc481694845"/>
      <w:bookmarkStart w:id="201" w:name="_Toc488633616"/>
    </w:p>
    <w:p/>
    <w:p/>
    <w:p/>
    <w:p/>
    <w:p/>
    <w:p>
      <w:pPr>
        <w:pStyle w:val="15"/>
        <w:autoSpaceDE w:val="0"/>
        <w:autoSpaceDN w:val="0"/>
        <w:adjustRightInd w:val="0"/>
        <w:spacing w:line="360" w:lineRule="auto"/>
        <w:jc w:val="left"/>
        <w:rPr>
          <w:rFonts w:asciiTheme="minorEastAsia" w:hAnsiTheme="minorEastAsia" w:eastAsiaTheme="minorEastAsia"/>
          <w:b/>
          <w:kern w:val="0"/>
          <w:sz w:val="28"/>
          <w:szCs w:val="28"/>
        </w:rPr>
      </w:pPr>
      <w:r>
        <w:rPr>
          <w:rFonts w:hint="eastAsia" w:asciiTheme="minorEastAsia" w:hAnsiTheme="minorEastAsia" w:eastAsiaTheme="minorEastAsia"/>
          <w:b/>
          <w:kern w:val="0"/>
          <w:sz w:val="28"/>
          <w:szCs w:val="28"/>
        </w:rPr>
        <w:t>格式2</w:t>
      </w:r>
      <w:bookmarkEnd w:id="196"/>
      <w:bookmarkEnd w:id="197"/>
      <w:bookmarkEnd w:id="198"/>
      <w:bookmarkEnd w:id="199"/>
    </w:p>
    <w:p>
      <w:pPr>
        <w:pStyle w:val="4"/>
        <w:keepLines w:val="0"/>
        <w:spacing w:before="240" w:after="240" w:line="360" w:lineRule="auto"/>
        <w:jc w:val="center"/>
        <w:rPr>
          <w:rFonts w:hint="default" w:hAnsi="黑体"/>
          <w:kern w:val="0"/>
          <w:sz w:val="30"/>
          <w:szCs w:val="30"/>
          <w:lang w:val="en-US" w:eastAsia="zh-CN"/>
        </w:rPr>
      </w:pPr>
      <w:bookmarkStart w:id="202" w:name="_Toc491307348"/>
      <w:bookmarkStart w:id="203" w:name="_Toc491307468"/>
      <w:bookmarkStart w:id="204" w:name="_Toc491307286"/>
      <w:bookmarkStart w:id="205" w:name="_Toc494043332"/>
      <w:bookmarkStart w:id="206" w:name="_Toc6496659"/>
      <w:bookmarkStart w:id="207" w:name="_Toc72489568"/>
      <w:r>
        <w:rPr>
          <w:rFonts w:hAnsi="黑体"/>
          <w:kern w:val="0"/>
          <w:sz w:val="30"/>
          <w:szCs w:val="30"/>
          <w:lang w:val="en-US" w:eastAsia="zh-CN"/>
        </w:rPr>
        <w:t>磋商申请函</w:t>
      </w:r>
      <w:bookmarkEnd w:id="200"/>
      <w:bookmarkEnd w:id="201"/>
      <w:bookmarkEnd w:id="202"/>
      <w:bookmarkEnd w:id="203"/>
      <w:bookmarkEnd w:id="204"/>
      <w:bookmarkEnd w:id="205"/>
      <w:bookmarkEnd w:id="206"/>
      <w:bookmarkEnd w:id="207"/>
    </w:p>
    <w:p>
      <w:pPr>
        <w:pStyle w:val="15"/>
        <w:spacing w:line="300" w:lineRule="auto"/>
        <w:jc w:val="left"/>
        <w:rPr>
          <w:rFonts w:hAnsi="宋体"/>
          <w:szCs w:val="21"/>
        </w:rPr>
      </w:pPr>
      <w:r>
        <w:rPr>
          <w:rFonts w:hint="eastAsia" w:hAnsi="宋体"/>
          <w:szCs w:val="21"/>
        </w:rPr>
        <w:t>致：</w:t>
      </w:r>
      <w:r>
        <w:rPr>
          <w:rFonts w:hint="eastAsia" w:hAnsi="宋体"/>
          <w:szCs w:val="21"/>
          <w:u w:val="single"/>
        </w:rPr>
        <w:t>（采购人名称）</w:t>
      </w:r>
    </w:p>
    <w:p>
      <w:pPr>
        <w:pStyle w:val="15"/>
        <w:spacing w:line="300" w:lineRule="auto"/>
        <w:ind w:firstLine="420" w:firstLineChars="200"/>
        <w:jc w:val="left"/>
        <w:rPr>
          <w:rFonts w:hAnsi="宋体"/>
          <w:szCs w:val="21"/>
        </w:rPr>
      </w:pPr>
      <w:r>
        <w:rPr>
          <w:rFonts w:hint="eastAsia" w:hAnsi="宋体"/>
          <w:szCs w:val="21"/>
        </w:rPr>
        <w:t>我方仔细研究了</w:t>
      </w:r>
      <w:r>
        <w:rPr>
          <w:rFonts w:hAnsi="宋体"/>
          <w:szCs w:val="21"/>
          <w:u w:val="single"/>
        </w:rPr>
        <w:t xml:space="preserve">     </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（项目名称）（项目编号：</w:t>
      </w:r>
      <w:r>
        <w:rPr>
          <w:rFonts w:hint="eastAsia" w:hAnsi="宋体"/>
          <w:szCs w:val="21"/>
          <w:u w:val="single"/>
        </w:rPr>
        <w:t xml:space="preserve">        </w:t>
      </w:r>
      <w:r>
        <w:rPr>
          <w:rFonts w:hint="eastAsia" w:hAnsi="宋体"/>
          <w:szCs w:val="21"/>
        </w:rPr>
        <w:t>）竞争性磋商文件的全部内容，正式授权下述签字人</w:t>
      </w:r>
      <w:r>
        <w:rPr>
          <w:rFonts w:hint="eastAsia" w:hAnsi="宋体"/>
          <w:szCs w:val="21"/>
          <w:u w:val="single"/>
        </w:rPr>
        <w:t xml:space="preserve">        </w:t>
      </w:r>
      <w:r>
        <w:rPr>
          <w:rFonts w:hint="eastAsia" w:hAnsi="宋体"/>
          <w:szCs w:val="21"/>
        </w:rPr>
        <w:t>（姓名和职务）全权代表供应商</w:t>
      </w:r>
      <w:r>
        <w:rPr>
          <w:rFonts w:hint="eastAsia" w:hAnsi="宋体"/>
          <w:szCs w:val="21"/>
          <w:u w:val="single"/>
        </w:rPr>
        <w:t xml:space="preserve">  </w:t>
      </w:r>
      <w:r>
        <w:rPr>
          <w:rFonts w:hAnsi="宋体"/>
          <w:szCs w:val="21"/>
          <w:u w:val="single"/>
        </w:rPr>
        <w:t xml:space="preserve">           </w:t>
      </w:r>
      <w:r>
        <w:rPr>
          <w:rFonts w:hint="eastAsia" w:hAnsi="宋体"/>
          <w:szCs w:val="21"/>
        </w:rPr>
        <w:t>（供应商全称）</w:t>
      </w:r>
      <w:r>
        <w:rPr>
          <w:rFonts w:hAnsi="宋体"/>
          <w:szCs w:val="21"/>
        </w:rPr>
        <w:t>参加</w:t>
      </w:r>
      <w:r>
        <w:rPr>
          <w:rFonts w:hint="eastAsia" w:hAnsi="宋体"/>
          <w:szCs w:val="21"/>
        </w:rPr>
        <w:t>磋商</w:t>
      </w:r>
      <w:r>
        <w:rPr>
          <w:rFonts w:hAnsi="宋体"/>
          <w:szCs w:val="21"/>
        </w:rPr>
        <w:t>，并</w:t>
      </w:r>
      <w:r>
        <w:rPr>
          <w:rFonts w:hint="eastAsia" w:hAnsi="宋体"/>
          <w:szCs w:val="21"/>
        </w:rPr>
        <w:t>提交响应文件</w:t>
      </w:r>
      <w:r>
        <w:rPr>
          <w:rFonts w:hAnsi="宋体"/>
          <w:szCs w:val="21"/>
        </w:rPr>
        <w:t>。</w:t>
      </w:r>
    </w:p>
    <w:p>
      <w:pPr>
        <w:pStyle w:val="15"/>
        <w:spacing w:line="300" w:lineRule="auto"/>
        <w:ind w:firstLine="420" w:firstLineChars="200"/>
        <w:jc w:val="left"/>
        <w:rPr>
          <w:rFonts w:hAnsi="宋体"/>
          <w:szCs w:val="21"/>
        </w:rPr>
      </w:pPr>
      <w:r>
        <w:rPr>
          <w:rFonts w:hint="eastAsia" w:hAnsi="宋体"/>
          <w:szCs w:val="21"/>
        </w:rPr>
        <w:t>据此函，签字人兹宣布同意如下：</w:t>
      </w:r>
    </w:p>
    <w:p>
      <w:pPr>
        <w:pStyle w:val="15"/>
        <w:spacing w:line="300" w:lineRule="auto"/>
        <w:ind w:firstLine="420" w:firstLineChars="200"/>
        <w:jc w:val="left"/>
        <w:rPr>
          <w:rFonts w:hAnsi="宋体"/>
          <w:szCs w:val="21"/>
        </w:rPr>
      </w:pPr>
      <w:r>
        <w:rPr>
          <w:rFonts w:hint="eastAsia" w:hAnsi="宋体"/>
          <w:szCs w:val="21"/>
        </w:rPr>
        <w:t>1</w:t>
      </w:r>
      <w:r>
        <w:rPr>
          <w:rFonts w:hAnsi="宋体"/>
          <w:szCs w:val="21"/>
        </w:rPr>
        <w:t>．</w:t>
      </w:r>
      <w:r>
        <w:rPr>
          <w:rFonts w:hint="eastAsia" w:hAnsi="宋体"/>
          <w:szCs w:val="21"/>
        </w:rPr>
        <w:t>按本竞争性磋商文件及采购需求进行报价，并认可</w:t>
      </w:r>
      <w:r>
        <w:rPr>
          <w:rFonts w:hint="eastAsia" w:hAnsi="宋体"/>
          <w:kern w:val="0"/>
          <w:szCs w:val="21"/>
        </w:rPr>
        <w:t>我方授权人在</w:t>
      </w:r>
      <w:r>
        <w:rPr>
          <w:rFonts w:hint="eastAsia" w:hAnsi="宋体"/>
          <w:kern w:val="0"/>
          <w:szCs w:val="21"/>
          <w:u w:val="single"/>
        </w:rPr>
        <w:t>磋商现场填报的最终磋商报价</w:t>
      </w:r>
      <w:r>
        <w:rPr>
          <w:rFonts w:hint="eastAsia" w:hAnsi="宋体"/>
          <w:kern w:val="0"/>
          <w:szCs w:val="21"/>
        </w:rPr>
        <w:t>为成交价</w:t>
      </w:r>
      <w:r>
        <w:rPr>
          <w:rFonts w:hint="eastAsia" w:hAnsi="宋体"/>
          <w:szCs w:val="21"/>
        </w:rPr>
        <w:t>，并承诺在合同约定的期限内完成全部合同工作。</w:t>
      </w:r>
    </w:p>
    <w:p>
      <w:pPr>
        <w:pStyle w:val="15"/>
        <w:spacing w:line="300" w:lineRule="auto"/>
        <w:ind w:firstLine="420" w:firstLineChars="200"/>
        <w:jc w:val="left"/>
        <w:rPr>
          <w:rFonts w:hAnsi="宋体"/>
          <w:spacing w:val="-10"/>
          <w:szCs w:val="21"/>
        </w:rPr>
      </w:pPr>
      <w:r>
        <w:rPr>
          <w:rFonts w:hint="eastAsia" w:hAnsi="宋体"/>
          <w:szCs w:val="21"/>
        </w:rPr>
        <w:t>2</w:t>
      </w:r>
      <w:r>
        <w:rPr>
          <w:rFonts w:hAnsi="宋体"/>
          <w:szCs w:val="21"/>
        </w:rPr>
        <w:t>．</w:t>
      </w:r>
      <w:r>
        <w:rPr>
          <w:rFonts w:hint="eastAsia" w:hAnsi="宋体"/>
          <w:spacing w:val="-10"/>
          <w:szCs w:val="21"/>
        </w:rPr>
        <w:t>我方已</w:t>
      </w:r>
      <w:r>
        <w:rPr>
          <w:rFonts w:hAnsi="宋体"/>
          <w:spacing w:val="-10"/>
          <w:szCs w:val="21"/>
        </w:rPr>
        <w:t>详细审查</w:t>
      </w:r>
      <w:r>
        <w:rPr>
          <w:rFonts w:hint="eastAsia" w:hAnsi="宋体"/>
          <w:szCs w:val="21"/>
        </w:rPr>
        <w:t>本竞争性</w:t>
      </w:r>
      <w:r>
        <w:rPr>
          <w:rFonts w:hint="eastAsia" w:hAnsi="宋体"/>
          <w:spacing w:val="-10"/>
          <w:szCs w:val="21"/>
        </w:rPr>
        <w:t>磋商</w:t>
      </w:r>
      <w:r>
        <w:rPr>
          <w:rFonts w:hAnsi="宋体"/>
          <w:spacing w:val="-10"/>
          <w:szCs w:val="21"/>
        </w:rPr>
        <w:t>文件</w:t>
      </w:r>
      <w:r>
        <w:rPr>
          <w:rFonts w:hint="eastAsia" w:hAnsi="宋体"/>
          <w:spacing w:val="-10"/>
          <w:szCs w:val="21"/>
        </w:rPr>
        <w:t>的全部内容</w:t>
      </w:r>
      <w:r>
        <w:rPr>
          <w:rFonts w:hAnsi="宋体"/>
          <w:spacing w:val="-10"/>
          <w:szCs w:val="21"/>
        </w:rPr>
        <w:t>，包括</w:t>
      </w:r>
      <w:r>
        <w:rPr>
          <w:rFonts w:hint="eastAsia" w:hAnsi="宋体"/>
          <w:spacing w:val="-10"/>
          <w:szCs w:val="21"/>
        </w:rPr>
        <w:t>澄清、修改</w:t>
      </w:r>
      <w:r>
        <w:rPr>
          <w:rFonts w:hAnsi="宋体"/>
          <w:spacing w:val="-10"/>
          <w:szCs w:val="21"/>
        </w:rPr>
        <w:t>文件</w:t>
      </w:r>
      <w:r>
        <w:rPr>
          <w:rFonts w:hint="eastAsia" w:hAnsi="宋体"/>
          <w:spacing w:val="-10"/>
          <w:szCs w:val="21"/>
        </w:rPr>
        <w:t>（</w:t>
      </w:r>
      <w:r>
        <w:rPr>
          <w:rFonts w:hAnsi="宋体"/>
          <w:spacing w:val="-10"/>
          <w:szCs w:val="21"/>
        </w:rPr>
        <w:t>如果有</w:t>
      </w:r>
      <w:r>
        <w:rPr>
          <w:rFonts w:hint="eastAsia" w:hAnsi="宋体"/>
          <w:spacing w:val="-10"/>
          <w:szCs w:val="21"/>
        </w:rPr>
        <w:t>）</w:t>
      </w:r>
      <w:r>
        <w:rPr>
          <w:rFonts w:hAnsi="宋体"/>
          <w:spacing w:val="-10"/>
          <w:szCs w:val="21"/>
        </w:rPr>
        <w:t>。我</w:t>
      </w:r>
      <w:r>
        <w:rPr>
          <w:rFonts w:hint="eastAsia" w:hAnsi="宋体"/>
          <w:spacing w:val="-10"/>
          <w:szCs w:val="21"/>
        </w:rPr>
        <w:t>方</w:t>
      </w:r>
      <w:r>
        <w:rPr>
          <w:rFonts w:hAnsi="宋体"/>
          <w:spacing w:val="-10"/>
          <w:szCs w:val="21"/>
        </w:rPr>
        <w:t>完全理解</w:t>
      </w:r>
      <w:r>
        <w:rPr>
          <w:rFonts w:hint="eastAsia" w:hAnsi="宋体"/>
          <w:szCs w:val="21"/>
        </w:rPr>
        <w:t>本竞争性</w:t>
      </w:r>
      <w:r>
        <w:rPr>
          <w:rFonts w:hint="eastAsia" w:hAnsi="宋体"/>
          <w:spacing w:val="-10"/>
          <w:szCs w:val="21"/>
        </w:rPr>
        <w:t>磋商文件相关要求，</w:t>
      </w:r>
      <w:r>
        <w:rPr>
          <w:rFonts w:hAnsi="宋体"/>
          <w:spacing w:val="-10"/>
          <w:szCs w:val="21"/>
        </w:rPr>
        <w:t>并</w:t>
      </w:r>
      <w:r>
        <w:rPr>
          <w:rFonts w:hint="eastAsia" w:hAnsi="宋体"/>
          <w:spacing w:val="-10"/>
          <w:szCs w:val="21"/>
        </w:rPr>
        <w:t>承担</w:t>
      </w:r>
      <w:r>
        <w:rPr>
          <w:rFonts w:hAnsi="宋体"/>
          <w:spacing w:val="-10"/>
          <w:szCs w:val="21"/>
        </w:rPr>
        <w:t>对</w:t>
      </w:r>
      <w:r>
        <w:rPr>
          <w:rFonts w:hint="eastAsia" w:hAnsi="宋体"/>
          <w:szCs w:val="21"/>
        </w:rPr>
        <w:t>本竞争性</w:t>
      </w:r>
      <w:r>
        <w:rPr>
          <w:rFonts w:hint="eastAsia" w:hAnsi="宋体"/>
          <w:spacing w:val="-10"/>
          <w:szCs w:val="21"/>
        </w:rPr>
        <w:t>磋商文件</w:t>
      </w:r>
      <w:r>
        <w:rPr>
          <w:rFonts w:hAnsi="宋体"/>
          <w:spacing w:val="-10"/>
          <w:szCs w:val="21"/>
        </w:rPr>
        <w:t>有不明及误解的</w:t>
      </w:r>
      <w:r>
        <w:rPr>
          <w:rFonts w:hint="eastAsia" w:hAnsi="宋体"/>
          <w:spacing w:val="-10"/>
          <w:szCs w:val="21"/>
        </w:rPr>
        <w:t>后果</w:t>
      </w:r>
      <w:r>
        <w:rPr>
          <w:rFonts w:hAnsi="宋体"/>
          <w:spacing w:val="-10"/>
          <w:szCs w:val="21"/>
        </w:rPr>
        <w:t>。</w:t>
      </w:r>
    </w:p>
    <w:p>
      <w:pPr>
        <w:pStyle w:val="15"/>
        <w:spacing w:line="300" w:lineRule="auto"/>
        <w:ind w:firstLine="420" w:firstLineChars="200"/>
        <w:jc w:val="left"/>
        <w:rPr>
          <w:rFonts w:hAnsi="宋体"/>
          <w:szCs w:val="21"/>
        </w:rPr>
      </w:pPr>
      <w:r>
        <w:rPr>
          <w:rFonts w:hint="eastAsia" w:hAnsi="宋体"/>
          <w:szCs w:val="21"/>
        </w:rPr>
        <w:t>3</w:t>
      </w:r>
      <w:r>
        <w:rPr>
          <w:rFonts w:hAnsi="宋体"/>
          <w:szCs w:val="21"/>
        </w:rPr>
        <w:t>．</w:t>
      </w:r>
      <w:r>
        <w:rPr>
          <w:rFonts w:hint="eastAsia" w:hAnsi="宋体"/>
          <w:szCs w:val="21"/>
        </w:rPr>
        <w:t>在供应商须知规定的提交日期起遵循本竞争性磋商文件，并在供应商须知第17.1条规定的响应文件有效期届满之日前均具有约束力。</w:t>
      </w:r>
    </w:p>
    <w:p>
      <w:pPr>
        <w:pStyle w:val="15"/>
        <w:spacing w:line="300" w:lineRule="auto"/>
        <w:ind w:firstLine="420" w:firstLineChars="200"/>
        <w:jc w:val="left"/>
        <w:rPr>
          <w:rFonts w:hAnsi="宋体"/>
          <w:szCs w:val="21"/>
        </w:rPr>
      </w:pPr>
      <w:r>
        <w:rPr>
          <w:rFonts w:hint="eastAsia" w:hAnsi="宋体"/>
          <w:szCs w:val="21"/>
        </w:rPr>
        <w:t>4</w:t>
      </w:r>
      <w:r>
        <w:rPr>
          <w:rFonts w:hAnsi="宋体"/>
          <w:szCs w:val="21"/>
        </w:rPr>
        <w:t>．同意</w:t>
      </w:r>
      <w:r>
        <w:rPr>
          <w:rFonts w:hint="eastAsia" w:hAnsi="宋体"/>
          <w:szCs w:val="21"/>
        </w:rPr>
        <w:t>本竞争性磋商文件</w:t>
      </w:r>
      <w:r>
        <w:rPr>
          <w:rFonts w:hAnsi="宋体"/>
          <w:szCs w:val="21"/>
        </w:rPr>
        <w:t>中关于</w:t>
      </w:r>
      <w:r>
        <w:rPr>
          <w:rFonts w:hint="eastAsia" w:hAnsi="宋体"/>
          <w:szCs w:val="21"/>
        </w:rPr>
        <w:t>没收磋商</w:t>
      </w:r>
      <w:r>
        <w:rPr>
          <w:rFonts w:hAnsi="宋体"/>
          <w:szCs w:val="21"/>
        </w:rPr>
        <w:t>保证金的规定。</w:t>
      </w:r>
    </w:p>
    <w:p>
      <w:pPr>
        <w:pStyle w:val="15"/>
        <w:spacing w:line="300" w:lineRule="auto"/>
        <w:ind w:firstLine="420" w:firstLineChars="200"/>
        <w:jc w:val="left"/>
        <w:rPr>
          <w:rFonts w:hAnsi="宋体"/>
          <w:szCs w:val="21"/>
        </w:rPr>
      </w:pPr>
      <w:r>
        <w:rPr>
          <w:rFonts w:hint="eastAsia" w:hAnsi="宋体"/>
          <w:szCs w:val="21"/>
        </w:rPr>
        <w:t>5</w:t>
      </w:r>
      <w:r>
        <w:rPr>
          <w:rFonts w:hAnsi="宋体"/>
          <w:szCs w:val="21"/>
        </w:rPr>
        <w:t>．</w:t>
      </w:r>
      <w:r>
        <w:rPr>
          <w:rFonts w:hint="eastAsia" w:hAnsi="宋体"/>
          <w:szCs w:val="21"/>
        </w:rPr>
        <w:t>同意应贵方要求提供与本项目有关的任何数据或资料</w:t>
      </w:r>
      <w:r>
        <w:rPr>
          <w:rFonts w:hAnsi="宋体"/>
          <w:szCs w:val="21"/>
        </w:rPr>
        <w:t>，并保证数据和资料的完整性和真实性。</w:t>
      </w:r>
    </w:p>
    <w:p>
      <w:pPr>
        <w:pStyle w:val="15"/>
        <w:spacing w:line="300" w:lineRule="auto"/>
        <w:ind w:firstLine="420" w:firstLineChars="200"/>
        <w:jc w:val="left"/>
        <w:rPr>
          <w:rFonts w:hAnsi="宋体"/>
          <w:szCs w:val="21"/>
        </w:rPr>
      </w:pPr>
      <w:r>
        <w:rPr>
          <w:rFonts w:hint="eastAsia" w:hAnsi="宋体"/>
          <w:szCs w:val="21"/>
        </w:rPr>
        <w:t>6</w:t>
      </w:r>
      <w:r>
        <w:rPr>
          <w:rFonts w:hAnsi="宋体"/>
          <w:szCs w:val="21"/>
        </w:rPr>
        <w:t>．</w:t>
      </w:r>
      <w:r>
        <w:rPr>
          <w:rFonts w:hint="eastAsia" w:hAnsi="宋体"/>
          <w:szCs w:val="21"/>
        </w:rPr>
        <w:t>完全理解贵方不一定要接受最低报价的供应商为成交供应商的行为。</w:t>
      </w:r>
    </w:p>
    <w:p>
      <w:pPr>
        <w:pStyle w:val="15"/>
        <w:spacing w:line="300" w:lineRule="auto"/>
        <w:ind w:firstLine="420" w:firstLineChars="200"/>
        <w:jc w:val="left"/>
        <w:rPr>
          <w:rFonts w:hAnsi="宋体"/>
          <w:szCs w:val="21"/>
        </w:rPr>
      </w:pPr>
      <w:r>
        <w:rPr>
          <w:rFonts w:hint="eastAsia" w:hAnsi="宋体"/>
          <w:szCs w:val="21"/>
        </w:rPr>
        <w:t>7</w:t>
      </w:r>
      <w:r>
        <w:rPr>
          <w:rFonts w:hAnsi="宋体"/>
          <w:szCs w:val="21"/>
        </w:rPr>
        <w:t>．如我方</w:t>
      </w:r>
      <w:r>
        <w:rPr>
          <w:rFonts w:hint="eastAsia" w:hAnsi="宋体"/>
          <w:szCs w:val="21"/>
        </w:rPr>
        <w:t>成交</w:t>
      </w:r>
      <w:r>
        <w:rPr>
          <w:rFonts w:hAnsi="宋体"/>
          <w:szCs w:val="21"/>
        </w:rPr>
        <w:t>：</w:t>
      </w:r>
    </w:p>
    <w:p>
      <w:pPr>
        <w:pStyle w:val="15"/>
        <w:spacing w:line="300" w:lineRule="auto"/>
        <w:ind w:firstLine="420" w:firstLineChars="200"/>
        <w:jc w:val="left"/>
        <w:rPr>
          <w:rFonts w:hAnsi="宋体"/>
          <w:szCs w:val="21"/>
        </w:rPr>
      </w:pPr>
      <w:r>
        <w:rPr>
          <w:rFonts w:hAnsi="宋体"/>
          <w:szCs w:val="21"/>
        </w:rPr>
        <w:t>（1）我方承诺在收到</w:t>
      </w:r>
      <w:r>
        <w:rPr>
          <w:rFonts w:hint="eastAsia" w:hAnsi="宋体"/>
          <w:szCs w:val="21"/>
        </w:rPr>
        <w:t>成交</w:t>
      </w:r>
      <w:r>
        <w:rPr>
          <w:rFonts w:hAnsi="宋体"/>
          <w:szCs w:val="21"/>
        </w:rPr>
        <w:t>通知书后，在</w:t>
      </w:r>
      <w:r>
        <w:rPr>
          <w:rFonts w:hint="eastAsia" w:hAnsi="宋体"/>
          <w:szCs w:val="21"/>
        </w:rPr>
        <w:t>成交</w:t>
      </w:r>
      <w:r>
        <w:rPr>
          <w:rFonts w:hAnsi="宋体"/>
          <w:szCs w:val="21"/>
        </w:rPr>
        <w:t>通知书规定的期限内与你方签订合同</w:t>
      </w:r>
      <w:r>
        <w:rPr>
          <w:rFonts w:hint="eastAsia" w:hAnsi="宋体"/>
          <w:szCs w:val="21"/>
        </w:rPr>
        <w:t>，并</w:t>
      </w:r>
      <w:r>
        <w:rPr>
          <w:rFonts w:hAnsi="宋体"/>
          <w:szCs w:val="21"/>
        </w:rPr>
        <w:t>履行</w:t>
      </w:r>
      <w:r>
        <w:rPr>
          <w:rFonts w:hint="eastAsia" w:hAnsi="宋体"/>
          <w:szCs w:val="21"/>
        </w:rPr>
        <w:t>相应的</w:t>
      </w:r>
      <w:r>
        <w:rPr>
          <w:rFonts w:hAnsi="宋体"/>
          <w:szCs w:val="21"/>
        </w:rPr>
        <w:t>合同责任和义务。</w:t>
      </w:r>
    </w:p>
    <w:p>
      <w:pPr>
        <w:pStyle w:val="15"/>
        <w:spacing w:line="300" w:lineRule="auto"/>
        <w:ind w:firstLine="420" w:firstLineChars="200"/>
        <w:jc w:val="left"/>
        <w:rPr>
          <w:rFonts w:hAnsi="宋体"/>
          <w:szCs w:val="21"/>
        </w:rPr>
      </w:pPr>
      <w:r>
        <w:rPr>
          <w:rFonts w:hAnsi="宋体"/>
          <w:szCs w:val="21"/>
        </w:rPr>
        <w:t>（2）我方承诺按照</w:t>
      </w:r>
      <w:r>
        <w:rPr>
          <w:rFonts w:hint="eastAsia" w:hAnsi="宋体"/>
          <w:szCs w:val="21"/>
        </w:rPr>
        <w:t>本竞争性磋商</w:t>
      </w:r>
      <w:r>
        <w:rPr>
          <w:rFonts w:hAnsi="宋体"/>
          <w:szCs w:val="21"/>
        </w:rPr>
        <w:t>文件</w:t>
      </w:r>
      <w:r>
        <w:rPr>
          <w:rFonts w:hint="eastAsia" w:hAnsi="宋体"/>
          <w:szCs w:val="21"/>
        </w:rPr>
        <w:t>的</w:t>
      </w:r>
      <w:r>
        <w:rPr>
          <w:rFonts w:hAnsi="宋体"/>
          <w:szCs w:val="21"/>
        </w:rPr>
        <w:t>规定向你方递交履约</w:t>
      </w:r>
      <w:r>
        <w:rPr>
          <w:rFonts w:hint="eastAsia" w:hAnsi="宋体"/>
          <w:szCs w:val="21"/>
        </w:rPr>
        <w:t>保证金</w:t>
      </w:r>
      <w:r>
        <w:rPr>
          <w:rFonts w:hAnsi="宋体"/>
          <w:szCs w:val="21"/>
        </w:rPr>
        <w:t>。</w:t>
      </w:r>
    </w:p>
    <w:p>
      <w:pPr>
        <w:pStyle w:val="15"/>
        <w:spacing w:line="300" w:lineRule="auto"/>
        <w:ind w:firstLine="420" w:firstLineChars="200"/>
        <w:jc w:val="left"/>
        <w:rPr>
          <w:rFonts w:hAnsi="宋体"/>
          <w:szCs w:val="21"/>
        </w:rPr>
      </w:pPr>
      <w:r>
        <w:rPr>
          <w:rFonts w:hint="eastAsia" w:hAnsi="宋体"/>
          <w:szCs w:val="21"/>
        </w:rPr>
        <w:t>（3）</w:t>
      </w:r>
      <w:r>
        <w:rPr>
          <w:rFonts w:hAnsi="宋体"/>
          <w:szCs w:val="21"/>
        </w:rPr>
        <w:t>我方承诺</w:t>
      </w:r>
      <w:r>
        <w:rPr>
          <w:rFonts w:hint="eastAsia" w:hAnsi="宋体"/>
          <w:szCs w:val="21"/>
        </w:rPr>
        <w:t>将承担售后服务及质量责任。</w:t>
      </w:r>
    </w:p>
    <w:p>
      <w:pPr>
        <w:pStyle w:val="15"/>
        <w:spacing w:line="300" w:lineRule="auto"/>
        <w:ind w:firstLine="420" w:firstLineChars="200"/>
        <w:jc w:val="left"/>
        <w:rPr>
          <w:rFonts w:hAnsi="宋体"/>
          <w:szCs w:val="21"/>
        </w:rPr>
      </w:pPr>
      <w:r>
        <w:rPr>
          <w:rFonts w:hint="eastAsia" w:hAnsi="宋体"/>
          <w:szCs w:val="21"/>
        </w:rPr>
        <w:t>8</w:t>
      </w:r>
      <w:r>
        <w:rPr>
          <w:rFonts w:hAnsi="宋体"/>
          <w:szCs w:val="21"/>
        </w:rPr>
        <w:t>．</w:t>
      </w:r>
      <w:r>
        <w:rPr>
          <w:rFonts w:hint="eastAsia" w:hAnsi="宋体"/>
          <w:szCs w:val="21"/>
        </w:rPr>
        <w:t>我方在此声明，所递交的响应文件及有关资料内容完整、真实和准确。</w:t>
      </w:r>
    </w:p>
    <w:p>
      <w:pPr>
        <w:pStyle w:val="15"/>
        <w:spacing w:line="300" w:lineRule="auto"/>
        <w:ind w:firstLine="420" w:firstLineChars="200"/>
        <w:jc w:val="left"/>
        <w:rPr>
          <w:rFonts w:hAnsi="宋体"/>
          <w:szCs w:val="21"/>
        </w:rPr>
      </w:pPr>
      <w:r>
        <w:rPr>
          <w:rFonts w:hint="eastAsia" w:hAnsi="宋体"/>
          <w:szCs w:val="21"/>
        </w:rPr>
        <w:t>9．</w:t>
      </w:r>
      <w:r>
        <w:rPr>
          <w:rFonts w:hAnsi="宋体"/>
          <w:szCs w:val="21"/>
          <w:u w:val="single"/>
        </w:rPr>
        <w:t xml:space="preserve">                                       </w:t>
      </w:r>
      <w:r>
        <w:rPr>
          <w:rFonts w:hAnsi="宋体"/>
          <w:szCs w:val="21"/>
        </w:rPr>
        <w:t>（</w:t>
      </w:r>
      <w:r>
        <w:rPr>
          <w:rFonts w:hint="eastAsia" w:hAnsi="宋体"/>
          <w:szCs w:val="21"/>
        </w:rPr>
        <w:t>其他</w:t>
      </w:r>
      <w:r>
        <w:rPr>
          <w:rFonts w:hAnsi="宋体"/>
          <w:szCs w:val="21"/>
        </w:rPr>
        <w:t>补充说明）。</w:t>
      </w:r>
    </w:p>
    <w:p>
      <w:pPr>
        <w:pStyle w:val="15"/>
        <w:spacing w:line="300" w:lineRule="auto"/>
        <w:ind w:firstLine="420" w:firstLineChars="200"/>
        <w:jc w:val="left"/>
        <w:rPr>
          <w:rFonts w:hAnsi="宋体"/>
          <w:szCs w:val="21"/>
        </w:rPr>
      </w:pPr>
      <w:r>
        <w:rPr>
          <w:rFonts w:hint="eastAsia" w:hAnsi="宋体"/>
          <w:szCs w:val="21"/>
        </w:rPr>
        <w:t>我单位正式通讯地址为：</w:t>
      </w:r>
    </w:p>
    <w:p>
      <w:pPr>
        <w:pStyle w:val="15"/>
        <w:spacing w:line="300" w:lineRule="auto"/>
        <w:ind w:firstLine="420" w:firstLineChars="200"/>
        <w:jc w:val="left"/>
        <w:rPr>
          <w:rFonts w:hAnsi="宋体"/>
          <w:szCs w:val="21"/>
          <w:u w:val="single"/>
        </w:rPr>
      </w:pPr>
      <w:r>
        <w:rPr>
          <w:rFonts w:hint="eastAsia" w:hAnsi="宋体"/>
          <w:szCs w:val="21"/>
        </w:rPr>
        <w:t>地址：</w:t>
      </w:r>
      <w:r>
        <w:rPr>
          <w:rFonts w:hint="eastAsia" w:hAnsi="宋体"/>
          <w:szCs w:val="21"/>
          <w:u w:val="single"/>
        </w:rPr>
        <w:t xml:space="preserve">                         </w:t>
      </w:r>
      <w:r>
        <w:rPr>
          <w:rFonts w:hint="eastAsia" w:hAnsi="宋体"/>
          <w:szCs w:val="21"/>
        </w:rPr>
        <w:t>邮政编码：</w:t>
      </w:r>
      <w:r>
        <w:rPr>
          <w:rFonts w:hint="eastAsia" w:hAnsi="宋体"/>
          <w:szCs w:val="21"/>
          <w:u w:val="single"/>
        </w:rPr>
        <w:t xml:space="preserve">                  </w:t>
      </w:r>
    </w:p>
    <w:p>
      <w:pPr>
        <w:pStyle w:val="15"/>
        <w:spacing w:line="300" w:lineRule="auto"/>
        <w:ind w:firstLine="420" w:firstLineChars="200"/>
        <w:jc w:val="left"/>
        <w:rPr>
          <w:rFonts w:hAnsi="宋体"/>
          <w:szCs w:val="21"/>
        </w:rPr>
      </w:pPr>
      <w:r>
        <w:rPr>
          <w:rFonts w:hint="eastAsia" w:hAnsi="宋体"/>
          <w:szCs w:val="21"/>
        </w:rPr>
        <w:t>电话：</w:t>
      </w:r>
      <w:r>
        <w:rPr>
          <w:rFonts w:hint="eastAsia" w:hAnsi="宋体"/>
          <w:szCs w:val="21"/>
          <w:u w:val="single"/>
        </w:rPr>
        <w:t xml:space="preserve">                         </w:t>
      </w:r>
      <w:r>
        <w:rPr>
          <w:rFonts w:hint="eastAsia" w:hAnsi="宋体"/>
          <w:szCs w:val="21"/>
        </w:rPr>
        <w:t>传真：</w:t>
      </w:r>
      <w:r>
        <w:rPr>
          <w:rFonts w:hint="eastAsia" w:hAnsi="宋体"/>
          <w:szCs w:val="21"/>
          <w:u w:val="single"/>
        </w:rPr>
        <w:t xml:space="preserve">                      </w:t>
      </w:r>
    </w:p>
    <w:p>
      <w:pPr>
        <w:pStyle w:val="15"/>
        <w:spacing w:line="300" w:lineRule="auto"/>
        <w:ind w:firstLine="420" w:firstLineChars="200"/>
        <w:jc w:val="left"/>
        <w:rPr>
          <w:rFonts w:hAnsi="宋体"/>
          <w:szCs w:val="21"/>
          <w:u w:val="single"/>
        </w:rPr>
      </w:pPr>
      <w:r>
        <w:rPr>
          <w:rFonts w:hint="eastAsia" w:hAnsi="宋体"/>
          <w:szCs w:val="21"/>
        </w:rPr>
        <w:t>开户名称：</w:t>
      </w:r>
      <w:r>
        <w:rPr>
          <w:rFonts w:hint="eastAsia" w:hAnsi="宋体"/>
          <w:szCs w:val="21"/>
          <w:u w:val="single"/>
        </w:rPr>
        <w:t xml:space="preserve">                     </w:t>
      </w:r>
      <w:r>
        <w:rPr>
          <w:rFonts w:hint="eastAsia" w:hAnsi="宋体"/>
          <w:szCs w:val="21"/>
        </w:rPr>
        <w:t>开户银行：</w:t>
      </w:r>
      <w:r>
        <w:rPr>
          <w:rFonts w:hint="eastAsia" w:hAnsi="宋体"/>
          <w:szCs w:val="21"/>
          <w:u w:val="single"/>
        </w:rPr>
        <w:t xml:space="preserve">                  </w:t>
      </w:r>
    </w:p>
    <w:p>
      <w:pPr>
        <w:pStyle w:val="15"/>
        <w:spacing w:line="300" w:lineRule="auto"/>
        <w:ind w:firstLine="420" w:firstLineChars="200"/>
        <w:jc w:val="left"/>
        <w:rPr>
          <w:rFonts w:hAnsi="宋体"/>
          <w:szCs w:val="21"/>
          <w:u w:val="single"/>
        </w:rPr>
      </w:pPr>
      <w:r>
        <w:rPr>
          <w:rFonts w:hint="eastAsia" w:hAnsi="宋体"/>
          <w:szCs w:val="21"/>
        </w:rPr>
        <w:t>帐    号：</w:t>
      </w:r>
      <w:r>
        <w:rPr>
          <w:rFonts w:hint="eastAsia" w:hAnsi="宋体"/>
          <w:szCs w:val="21"/>
          <w:u w:val="single"/>
        </w:rPr>
        <w:t xml:space="preserve">                     </w:t>
      </w:r>
    </w:p>
    <w:p>
      <w:pPr>
        <w:pStyle w:val="15"/>
        <w:spacing w:line="300" w:lineRule="auto"/>
        <w:ind w:firstLine="420" w:firstLineChars="200"/>
        <w:jc w:val="left"/>
        <w:rPr>
          <w:rFonts w:hAnsi="宋体"/>
          <w:szCs w:val="21"/>
        </w:rPr>
      </w:pPr>
      <w:r>
        <w:rPr>
          <w:rFonts w:hint="eastAsia" w:hAnsi="宋体"/>
          <w:szCs w:val="21"/>
        </w:rPr>
        <w:t>供应商（加盖公章)：</w:t>
      </w:r>
    </w:p>
    <w:p>
      <w:pPr>
        <w:pStyle w:val="15"/>
        <w:spacing w:line="300" w:lineRule="auto"/>
        <w:ind w:firstLine="420" w:firstLineChars="200"/>
        <w:jc w:val="left"/>
        <w:rPr>
          <w:rFonts w:hAnsi="宋体"/>
          <w:szCs w:val="21"/>
        </w:rPr>
      </w:pPr>
      <w:r>
        <w:rPr>
          <w:rFonts w:hint="eastAsia" w:hAnsi="宋体"/>
          <w:szCs w:val="21"/>
        </w:rPr>
        <w:t>法定代表人或委托代理人（签字或盖章）：</w:t>
      </w:r>
    </w:p>
    <w:p>
      <w:pPr>
        <w:pStyle w:val="15"/>
        <w:spacing w:line="300" w:lineRule="auto"/>
        <w:ind w:firstLine="420" w:firstLineChars="200"/>
        <w:jc w:val="left"/>
        <w:rPr>
          <w:rFonts w:hAnsi="宋体"/>
          <w:szCs w:val="21"/>
        </w:rPr>
      </w:pPr>
      <w:r>
        <w:rPr>
          <w:rFonts w:hint="eastAsia" w:hAnsi="宋体"/>
          <w:szCs w:val="21"/>
        </w:rPr>
        <w:t>日期：</w:t>
      </w:r>
      <w:bookmarkStart w:id="208" w:name="_Toc494043333"/>
      <w:bookmarkStart w:id="209" w:name="_Toc491307287"/>
      <w:bookmarkStart w:id="210" w:name="_Toc491307349"/>
      <w:bookmarkStart w:id="211" w:name="_Toc491307469"/>
    </w:p>
    <w:bookmarkEnd w:id="193"/>
    <w:bookmarkEnd w:id="194"/>
    <w:bookmarkEnd w:id="195"/>
    <w:bookmarkEnd w:id="208"/>
    <w:bookmarkEnd w:id="209"/>
    <w:bookmarkEnd w:id="210"/>
    <w:bookmarkEnd w:id="211"/>
    <w:p>
      <w:pPr>
        <w:pStyle w:val="15"/>
        <w:autoSpaceDE w:val="0"/>
        <w:autoSpaceDN w:val="0"/>
        <w:adjustRightInd w:val="0"/>
        <w:spacing w:line="360" w:lineRule="auto"/>
        <w:jc w:val="left"/>
        <w:rPr>
          <w:rFonts w:asciiTheme="minorEastAsia" w:hAnsiTheme="minorEastAsia" w:eastAsiaTheme="minorEastAsia"/>
          <w:b/>
          <w:kern w:val="0"/>
          <w:sz w:val="28"/>
          <w:szCs w:val="28"/>
        </w:rPr>
      </w:pPr>
      <w:bookmarkStart w:id="212" w:name="_Toc491307353"/>
      <w:bookmarkStart w:id="213" w:name="_Toc491307301"/>
      <w:bookmarkStart w:id="214" w:name="_Toc491307363"/>
      <w:bookmarkStart w:id="215" w:name="_Toc491307483"/>
      <w:bookmarkStart w:id="216" w:name="_Toc494043337"/>
      <w:bookmarkStart w:id="217" w:name="_Toc491307473"/>
      <w:bookmarkStart w:id="218" w:name="_Toc491307291"/>
      <w:r>
        <w:rPr>
          <w:rFonts w:hint="eastAsia" w:asciiTheme="minorEastAsia" w:hAnsiTheme="minorEastAsia" w:eastAsiaTheme="minorEastAsia"/>
          <w:b/>
          <w:kern w:val="0"/>
          <w:sz w:val="28"/>
          <w:szCs w:val="28"/>
        </w:rPr>
        <w:t>格式3</w:t>
      </w:r>
    </w:p>
    <w:p>
      <w:pPr>
        <w:pStyle w:val="4"/>
        <w:keepLines w:val="0"/>
        <w:spacing w:before="240" w:after="240" w:line="360" w:lineRule="auto"/>
        <w:jc w:val="center"/>
        <w:rPr>
          <w:rFonts w:hint="default" w:hAnsi="黑体"/>
          <w:kern w:val="0"/>
          <w:sz w:val="30"/>
          <w:szCs w:val="30"/>
          <w:lang w:val="en-US" w:eastAsia="zh-CN"/>
        </w:rPr>
      </w:pPr>
      <w:bookmarkStart w:id="219" w:name="_Toc491307484"/>
      <w:bookmarkStart w:id="220" w:name="_Toc6496666"/>
      <w:bookmarkStart w:id="221" w:name="_Toc491307302"/>
      <w:bookmarkStart w:id="222" w:name="_Toc491307364"/>
      <w:bookmarkStart w:id="223" w:name="_Toc494043338"/>
      <w:bookmarkStart w:id="224" w:name="_Toc72489569"/>
      <w:r>
        <w:rPr>
          <w:rFonts w:hAnsi="黑体"/>
          <w:kern w:val="0"/>
          <w:sz w:val="30"/>
          <w:szCs w:val="30"/>
          <w:lang w:val="en-US" w:eastAsia="zh-CN"/>
        </w:rPr>
        <w:t>资格证明文件</w:t>
      </w:r>
      <w:bookmarkEnd w:id="219"/>
      <w:bookmarkEnd w:id="220"/>
      <w:bookmarkEnd w:id="221"/>
      <w:bookmarkEnd w:id="222"/>
      <w:bookmarkEnd w:id="223"/>
      <w:bookmarkEnd w:id="224"/>
    </w:p>
    <w:p>
      <w:pPr>
        <w:spacing w:line="360" w:lineRule="auto"/>
        <w:ind w:firstLine="420" w:firstLineChars="200"/>
        <w:rPr>
          <w:rFonts w:hAnsi="宋体"/>
          <w:szCs w:val="21"/>
        </w:rPr>
      </w:pPr>
      <w:r>
        <w:rPr>
          <w:rFonts w:hint="eastAsia" w:hAnsi="宋体"/>
          <w:szCs w:val="21"/>
        </w:rPr>
        <w:t>1.供应商应填写和提交下述规定的有关资料。</w:t>
      </w:r>
    </w:p>
    <w:p>
      <w:pPr>
        <w:spacing w:line="360" w:lineRule="auto"/>
        <w:ind w:firstLine="420" w:firstLineChars="200"/>
        <w:rPr>
          <w:rFonts w:hAnsi="宋体"/>
          <w:szCs w:val="21"/>
        </w:rPr>
      </w:pPr>
      <w:r>
        <w:rPr>
          <w:rFonts w:hint="eastAsia" w:hAnsi="宋体"/>
          <w:szCs w:val="21"/>
        </w:rPr>
        <w:t>2.所附格式要求填写的全部内容都必须填写。</w:t>
      </w:r>
    </w:p>
    <w:p>
      <w:pPr>
        <w:spacing w:line="360" w:lineRule="auto"/>
        <w:ind w:firstLine="420" w:firstLineChars="200"/>
        <w:rPr>
          <w:rFonts w:hAnsi="宋体"/>
          <w:szCs w:val="21"/>
        </w:rPr>
      </w:pPr>
      <w:r>
        <w:rPr>
          <w:rFonts w:hint="eastAsia" w:hAnsi="宋体"/>
          <w:szCs w:val="21"/>
        </w:rPr>
        <w:t>3.供应商应保证全部声明和填写的内容是真实的和正确的。</w:t>
      </w:r>
    </w:p>
    <w:p>
      <w:pPr>
        <w:spacing w:line="360" w:lineRule="auto"/>
        <w:ind w:firstLine="420" w:firstLineChars="200"/>
        <w:rPr>
          <w:rFonts w:hAnsi="宋体"/>
          <w:szCs w:val="21"/>
        </w:rPr>
      </w:pPr>
      <w:r>
        <w:rPr>
          <w:rFonts w:hint="eastAsia" w:hAnsi="宋体"/>
          <w:szCs w:val="21"/>
        </w:rPr>
        <w:t>4.供应商提交的材料将被保密，但不退还。</w:t>
      </w:r>
    </w:p>
    <w:p>
      <w:pPr>
        <w:pStyle w:val="15"/>
        <w:autoSpaceDE w:val="0"/>
        <w:autoSpaceDN w:val="0"/>
        <w:adjustRightInd w:val="0"/>
        <w:spacing w:line="360" w:lineRule="auto"/>
        <w:jc w:val="left"/>
        <w:rPr>
          <w:rFonts w:asciiTheme="minorEastAsia" w:hAnsiTheme="minorEastAsia" w:eastAsiaTheme="minorEastAsia"/>
          <w:b/>
          <w:kern w:val="0"/>
          <w:sz w:val="28"/>
          <w:szCs w:val="28"/>
        </w:rPr>
      </w:pPr>
      <w:bookmarkStart w:id="225" w:name="_Toc494043339"/>
      <w:bookmarkStart w:id="226" w:name="_Toc491307365"/>
      <w:bookmarkStart w:id="227" w:name="_Toc491307303"/>
      <w:bookmarkStart w:id="228" w:name="_Toc6496667"/>
      <w:bookmarkStart w:id="229" w:name="_Toc491307485"/>
      <w:r>
        <w:rPr>
          <w:rFonts w:hint="eastAsia" w:asciiTheme="minorEastAsia" w:hAnsiTheme="minorEastAsia" w:eastAsiaTheme="minorEastAsia"/>
          <w:b/>
          <w:kern w:val="0"/>
          <w:sz w:val="28"/>
          <w:szCs w:val="28"/>
        </w:rPr>
        <w:t>格式3-1</w:t>
      </w:r>
      <w:bookmarkEnd w:id="225"/>
      <w:bookmarkEnd w:id="226"/>
      <w:bookmarkEnd w:id="227"/>
      <w:bookmarkEnd w:id="228"/>
      <w:bookmarkEnd w:id="229"/>
    </w:p>
    <w:p>
      <w:pPr>
        <w:spacing w:line="360" w:lineRule="auto"/>
        <w:ind w:firstLine="420" w:firstLineChars="200"/>
        <w:rPr>
          <w:rFonts w:hAnsi="宋体"/>
          <w:szCs w:val="21"/>
        </w:rPr>
      </w:pPr>
      <w:bookmarkStart w:id="230" w:name="_Toc6496668"/>
      <w:r>
        <w:rPr>
          <w:rFonts w:hint="eastAsia" w:hAnsi="宋体"/>
          <w:szCs w:val="21"/>
        </w:rPr>
        <w:t>供应商须在中华人民共和国境内登记或注册，具有独立承担民事责任的能力，提供有效的营业执照或事业单位法人证书或其他类似的法定证明文件（复印件并加盖单位公章）；</w:t>
      </w:r>
      <w:bookmarkStart w:id="231" w:name="_Toc491307487"/>
      <w:bookmarkStart w:id="232" w:name="_Toc494043341"/>
      <w:bookmarkStart w:id="233" w:name="_Toc6496669"/>
      <w:bookmarkStart w:id="234" w:name="_Toc491307305"/>
      <w:bookmarkStart w:id="235" w:name="_Toc491307367"/>
    </w:p>
    <w:p>
      <w:pPr>
        <w:pStyle w:val="15"/>
        <w:autoSpaceDE w:val="0"/>
        <w:autoSpaceDN w:val="0"/>
        <w:adjustRightInd w:val="0"/>
        <w:spacing w:line="360" w:lineRule="auto"/>
        <w:jc w:val="left"/>
        <w:rPr>
          <w:rFonts w:asciiTheme="minorEastAsia" w:hAnsiTheme="minorEastAsia" w:eastAsiaTheme="minorEastAsia"/>
          <w:b/>
          <w:kern w:val="0"/>
          <w:sz w:val="28"/>
          <w:szCs w:val="28"/>
        </w:rPr>
      </w:pPr>
      <w:r>
        <w:rPr>
          <w:rFonts w:hint="eastAsia" w:asciiTheme="minorEastAsia" w:hAnsiTheme="minorEastAsia" w:eastAsiaTheme="minorEastAsia"/>
          <w:b/>
          <w:kern w:val="0"/>
          <w:sz w:val="28"/>
          <w:szCs w:val="28"/>
        </w:rPr>
        <w:t>格式3-2</w:t>
      </w:r>
      <w:bookmarkEnd w:id="230"/>
      <w:bookmarkEnd w:id="231"/>
      <w:bookmarkEnd w:id="232"/>
      <w:bookmarkEnd w:id="233"/>
      <w:bookmarkEnd w:id="234"/>
      <w:bookmarkEnd w:id="235"/>
    </w:p>
    <w:p>
      <w:pPr>
        <w:spacing w:line="360" w:lineRule="auto"/>
        <w:ind w:firstLine="420" w:firstLineChars="200"/>
        <w:rPr>
          <w:rFonts w:hAnsi="宋体"/>
          <w:szCs w:val="21"/>
        </w:rPr>
      </w:pPr>
      <w:bookmarkStart w:id="236" w:name="_Toc494043342"/>
      <w:r>
        <w:rPr>
          <w:rFonts w:hint="eastAsia" w:hAnsi="宋体"/>
          <w:szCs w:val="21"/>
        </w:rPr>
        <w:t>供应商须提供2020年度经第三方机构审计的审计报告及财务报表【包括但不限于：资产负债表、利润表（或损益表）、现金流量表】【注：供应商若为事业单位的，则不需提供利润表（或损益表）；新成立企业不满一年的</w:t>
      </w:r>
      <w:r>
        <w:rPr>
          <w:rFonts w:hAnsi="宋体"/>
          <w:szCs w:val="21"/>
        </w:rPr>
        <w:t>,</w:t>
      </w:r>
      <w:r>
        <w:rPr>
          <w:rFonts w:hint="eastAsia" w:hAnsi="宋体"/>
          <w:szCs w:val="21"/>
        </w:rPr>
        <w:t>可提供开户银行出具的资信证明或资金存款证明】（复印件并加盖单位公章）；</w:t>
      </w:r>
    </w:p>
    <w:p>
      <w:pPr>
        <w:pStyle w:val="15"/>
        <w:autoSpaceDE w:val="0"/>
        <w:autoSpaceDN w:val="0"/>
        <w:adjustRightInd w:val="0"/>
        <w:spacing w:line="360" w:lineRule="auto"/>
        <w:jc w:val="left"/>
        <w:rPr>
          <w:rFonts w:asciiTheme="minorEastAsia" w:hAnsiTheme="minorEastAsia" w:eastAsiaTheme="minorEastAsia"/>
          <w:b/>
          <w:kern w:val="0"/>
          <w:sz w:val="28"/>
          <w:szCs w:val="28"/>
        </w:rPr>
      </w:pPr>
      <w:bookmarkStart w:id="237" w:name="_Toc491307369"/>
      <w:bookmarkStart w:id="238" w:name="_Toc491307489"/>
      <w:bookmarkStart w:id="239" w:name="_Toc494043343"/>
      <w:bookmarkStart w:id="240" w:name="_Toc491307307"/>
      <w:r>
        <w:rPr>
          <w:rFonts w:hint="eastAsia" w:asciiTheme="minorEastAsia" w:hAnsiTheme="minorEastAsia" w:eastAsiaTheme="minorEastAsia"/>
          <w:b/>
          <w:kern w:val="0"/>
          <w:sz w:val="28"/>
          <w:szCs w:val="28"/>
        </w:rPr>
        <w:t>格式3-3</w:t>
      </w:r>
      <w:bookmarkEnd w:id="236"/>
      <w:bookmarkEnd w:id="237"/>
      <w:bookmarkEnd w:id="238"/>
      <w:bookmarkEnd w:id="239"/>
      <w:bookmarkEnd w:id="240"/>
    </w:p>
    <w:p>
      <w:pPr>
        <w:spacing w:line="360" w:lineRule="auto"/>
        <w:ind w:firstLine="420" w:firstLineChars="200"/>
        <w:rPr>
          <w:rFonts w:hAnsi="宋体"/>
          <w:szCs w:val="21"/>
        </w:rPr>
      </w:pPr>
      <w:bookmarkStart w:id="241" w:name="_Toc491307491"/>
      <w:bookmarkStart w:id="242" w:name="_Toc491307371"/>
      <w:bookmarkStart w:id="243" w:name="_Toc491307309"/>
      <w:bookmarkStart w:id="244" w:name="_Toc494043345"/>
      <w:r>
        <w:rPr>
          <w:rFonts w:hint="eastAsia" w:hAnsi="宋体"/>
          <w:szCs w:val="21"/>
        </w:rPr>
        <w:t>供应商须提供具有履行合同所必需的设备和专业技术能力的证明材料或书面声明（原件并加盖单位公章）；</w:t>
      </w:r>
    </w:p>
    <w:p>
      <w:pPr>
        <w:pStyle w:val="15"/>
        <w:autoSpaceDE w:val="0"/>
        <w:autoSpaceDN w:val="0"/>
        <w:adjustRightInd w:val="0"/>
        <w:spacing w:line="360" w:lineRule="auto"/>
        <w:jc w:val="left"/>
        <w:rPr>
          <w:rFonts w:asciiTheme="minorEastAsia" w:hAnsiTheme="minorEastAsia" w:eastAsiaTheme="minorEastAsia"/>
          <w:b/>
          <w:kern w:val="0"/>
          <w:sz w:val="28"/>
          <w:szCs w:val="28"/>
        </w:rPr>
      </w:pPr>
      <w:r>
        <w:rPr>
          <w:rFonts w:hint="eastAsia" w:asciiTheme="minorEastAsia" w:hAnsiTheme="minorEastAsia" w:eastAsiaTheme="minorEastAsia"/>
          <w:b/>
          <w:kern w:val="0"/>
          <w:sz w:val="28"/>
          <w:szCs w:val="28"/>
        </w:rPr>
        <w:t>格式3-4</w:t>
      </w:r>
      <w:bookmarkEnd w:id="241"/>
      <w:bookmarkEnd w:id="242"/>
      <w:bookmarkEnd w:id="243"/>
      <w:bookmarkEnd w:id="244"/>
    </w:p>
    <w:p>
      <w:pPr>
        <w:spacing w:line="360" w:lineRule="auto"/>
        <w:ind w:firstLine="420" w:firstLineChars="200"/>
        <w:rPr>
          <w:rFonts w:hAnsi="宋体"/>
          <w:szCs w:val="21"/>
        </w:rPr>
      </w:pPr>
      <w:r>
        <w:rPr>
          <w:rFonts w:hint="eastAsia" w:hAnsi="宋体"/>
          <w:szCs w:val="21"/>
        </w:rPr>
        <w:t>供应商须提供缴税所属时间在2020年01月至本项目响应文件提交截止时间前任意2个月的税务局税收通用缴款书或银行电子缴税（费）凭证或税务局出具的纳税情况相关证明材料；依法免税的，应提供依法免税的相关证明材料（自行编写无效，复印件并加盖单位公章）；</w:t>
      </w:r>
      <w:bookmarkStart w:id="245" w:name="_Toc491307493"/>
      <w:bookmarkStart w:id="246" w:name="_Toc491307311"/>
      <w:bookmarkStart w:id="247" w:name="_Toc491307373"/>
      <w:bookmarkStart w:id="248" w:name="_Toc494043347"/>
    </w:p>
    <w:p>
      <w:pPr>
        <w:pStyle w:val="15"/>
        <w:autoSpaceDE w:val="0"/>
        <w:autoSpaceDN w:val="0"/>
        <w:adjustRightInd w:val="0"/>
        <w:spacing w:line="360" w:lineRule="auto"/>
        <w:jc w:val="left"/>
        <w:rPr>
          <w:rFonts w:asciiTheme="minorEastAsia" w:hAnsiTheme="minorEastAsia" w:eastAsiaTheme="minorEastAsia"/>
          <w:b/>
          <w:kern w:val="0"/>
          <w:sz w:val="28"/>
          <w:szCs w:val="28"/>
        </w:rPr>
      </w:pPr>
      <w:r>
        <w:rPr>
          <w:rFonts w:hint="eastAsia" w:asciiTheme="minorEastAsia" w:hAnsiTheme="minorEastAsia" w:eastAsiaTheme="minorEastAsia"/>
          <w:b/>
          <w:kern w:val="0"/>
          <w:sz w:val="28"/>
          <w:szCs w:val="28"/>
        </w:rPr>
        <w:t>格式3-5</w:t>
      </w:r>
    </w:p>
    <w:p>
      <w:pPr>
        <w:spacing w:line="360" w:lineRule="auto"/>
        <w:ind w:firstLine="420" w:firstLineChars="200"/>
        <w:rPr>
          <w:rFonts w:hAnsi="宋体"/>
          <w:szCs w:val="21"/>
        </w:rPr>
      </w:pPr>
      <w:r>
        <w:rPr>
          <w:rFonts w:hint="eastAsia" w:hAnsi="宋体"/>
          <w:szCs w:val="21"/>
        </w:rPr>
        <w:t>供应商须提供缴费所属时间在2020年01月至本项目响应文件提交截止时间前任意2个月的社会保险费缴款书或银行电子缴税（费）凭证或社保管理部门出具的缴款证明；依法免缴的，应提供依法免缴的相关证明材料（自行编写无效，复印件并加盖单位公章）；</w:t>
      </w:r>
    </w:p>
    <w:p/>
    <w:p>
      <w:pPr>
        <w:pStyle w:val="15"/>
        <w:autoSpaceDE w:val="0"/>
        <w:autoSpaceDN w:val="0"/>
        <w:adjustRightInd w:val="0"/>
        <w:spacing w:line="360" w:lineRule="auto"/>
        <w:jc w:val="left"/>
        <w:rPr>
          <w:rFonts w:asciiTheme="minorEastAsia" w:hAnsiTheme="minorEastAsia" w:eastAsiaTheme="minorEastAsia"/>
          <w:b/>
          <w:kern w:val="0"/>
          <w:sz w:val="28"/>
          <w:szCs w:val="28"/>
        </w:rPr>
      </w:pPr>
      <w:r>
        <w:rPr>
          <w:rFonts w:hint="eastAsia" w:asciiTheme="minorEastAsia" w:hAnsiTheme="minorEastAsia" w:eastAsiaTheme="minorEastAsia"/>
          <w:b/>
          <w:kern w:val="0"/>
          <w:sz w:val="28"/>
          <w:szCs w:val="28"/>
        </w:rPr>
        <w:t>格式3-</w:t>
      </w:r>
      <w:bookmarkEnd w:id="245"/>
      <w:bookmarkEnd w:id="246"/>
      <w:bookmarkEnd w:id="247"/>
      <w:bookmarkEnd w:id="248"/>
      <w:r>
        <w:rPr>
          <w:rFonts w:hint="eastAsia" w:asciiTheme="minorEastAsia" w:hAnsiTheme="minorEastAsia" w:eastAsiaTheme="minorEastAsia"/>
          <w:b/>
          <w:kern w:val="0"/>
          <w:sz w:val="28"/>
          <w:szCs w:val="28"/>
        </w:rPr>
        <w:t>6</w:t>
      </w:r>
    </w:p>
    <w:p>
      <w:pPr>
        <w:spacing w:line="360" w:lineRule="auto"/>
        <w:ind w:firstLine="420" w:firstLineChars="200"/>
        <w:rPr>
          <w:rFonts w:hAnsi="宋体"/>
          <w:szCs w:val="21"/>
        </w:rPr>
      </w:pPr>
      <w:r>
        <w:rPr>
          <w:rFonts w:hint="eastAsia" w:hAnsi="宋体"/>
          <w:szCs w:val="21"/>
        </w:rPr>
        <w:t>供应商须提供参加政府采购活动前三年内，在经营活动中没有重大违法记录（重大违法记录是指：供应商因违法经营受到刑事处罚或者责令停产停业、吊销许可证或者执照、较大数额罚款等行政处罚）的书面声明（原件并加盖单位公章）；</w:t>
      </w:r>
    </w:p>
    <w:p/>
    <w:p>
      <w:pPr>
        <w:spacing w:line="440" w:lineRule="exact"/>
        <w:rPr>
          <w:rFonts w:asciiTheme="minorEastAsia" w:hAnsiTheme="minorEastAsia" w:eastAsiaTheme="minorEastAsia"/>
          <w:b/>
          <w:snapToGrid/>
          <w:kern w:val="0"/>
          <w:sz w:val="28"/>
          <w:szCs w:val="28"/>
        </w:rPr>
      </w:pPr>
      <w:r>
        <w:rPr>
          <w:rFonts w:hint="eastAsia" w:asciiTheme="minorEastAsia" w:hAnsiTheme="minorEastAsia" w:eastAsiaTheme="minorEastAsia"/>
          <w:b/>
          <w:snapToGrid/>
          <w:kern w:val="0"/>
          <w:sz w:val="28"/>
          <w:szCs w:val="28"/>
        </w:rPr>
        <w:t>格式3-7</w:t>
      </w:r>
    </w:p>
    <w:p>
      <w:pPr>
        <w:pStyle w:val="6"/>
        <w:spacing w:before="240" w:after="240" w:line="360" w:lineRule="auto"/>
        <w:ind w:firstLine="0"/>
        <w:jc w:val="center"/>
        <w:rPr>
          <w:rFonts w:hint="default" w:hAnsi="黑体"/>
          <w:kern w:val="0"/>
          <w:szCs w:val="30"/>
          <w:lang w:val="en-US" w:eastAsia="zh-CN"/>
        </w:rPr>
      </w:pPr>
      <w:bookmarkStart w:id="249" w:name="_Toc481694857"/>
      <w:bookmarkStart w:id="250" w:name="_Toc488633629"/>
      <w:bookmarkStart w:id="251" w:name="_Toc491307318"/>
      <w:bookmarkStart w:id="252" w:name="_Toc494043354"/>
      <w:bookmarkStart w:id="253" w:name="_Toc6496670"/>
      <w:bookmarkStart w:id="254" w:name="_Toc491307500"/>
      <w:bookmarkStart w:id="255" w:name="_Toc491307380"/>
      <w:bookmarkStart w:id="256" w:name="_Toc46924580"/>
      <w:bookmarkStart w:id="257" w:name="_Toc72489570"/>
      <w:r>
        <w:rPr>
          <w:rFonts w:hAnsi="黑体"/>
          <w:kern w:val="0"/>
          <w:szCs w:val="30"/>
          <w:lang w:val="en-US" w:eastAsia="zh-CN"/>
        </w:rPr>
        <w:t>法定代表人身份证明书</w:t>
      </w:r>
      <w:bookmarkEnd w:id="249"/>
      <w:bookmarkEnd w:id="250"/>
      <w:bookmarkEnd w:id="251"/>
      <w:bookmarkEnd w:id="252"/>
      <w:bookmarkEnd w:id="253"/>
      <w:bookmarkEnd w:id="254"/>
      <w:bookmarkEnd w:id="255"/>
      <w:bookmarkEnd w:id="256"/>
      <w:bookmarkEnd w:id="257"/>
    </w:p>
    <w:p>
      <w:pPr>
        <w:spacing w:line="440" w:lineRule="exact"/>
        <w:jc w:val="center"/>
        <w:rPr>
          <w:rFonts w:hAnsi="宋体"/>
          <w:b/>
          <w:sz w:val="30"/>
          <w:szCs w:val="30"/>
        </w:rPr>
      </w:pPr>
    </w:p>
    <w:p>
      <w:pPr>
        <w:spacing w:line="360" w:lineRule="auto"/>
        <w:rPr>
          <w:rFonts w:hAnsi="宋体"/>
          <w:szCs w:val="21"/>
          <w:u w:val="single"/>
        </w:rPr>
      </w:pPr>
      <w:r>
        <w:rPr>
          <w:rFonts w:hint="eastAsia" w:hAnsi="宋体"/>
          <w:szCs w:val="21"/>
        </w:rPr>
        <w:t>供应商名称：</w:t>
      </w:r>
      <w:r>
        <w:rPr>
          <w:rFonts w:hAnsi="宋体"/>
          <w:szCs w:val="21"/>
          <w:u w:val="single"/>
        </w:rPr>
        <w:t xml:space="preserve">                          </w:t>
      </w:r>
    </w:p>
    <w:p>
      <w:pPr>
        <w:spacing w:line="360" w:lineRule="auto"/>
        <w:rPr>
          <w:rFonts w:hAnsi="宋体"/>
          <w:szCs w:val="21"/>
          <w:u w:val="single"/>
        </w:rPr>
      </w:pPr>
      <w:r>
        <w:rPr>
          <w:rFonts w:hint="eastAsia" w:hAnsi="宋体"/>
          <w:szCs w:val="21"/>
        </w:rPr>
        <w:t>单位性质：</w:t>
      </w:r>
      <w:r>
        <w:rPr>
          <w:rFonts w:hAnsi="宋体"/>
          <w:szCs w:val="21"/>
          <w:u w:val="single"/>
        </w:rPr>
        <w:t xml:space="preserve">                            </w:t>
      </w:r>
    </w:p>
    <w:p>
      <w:pPr>
        <w:spacing w:line="360" w:lineRule="auto"/>
        <w:rPr>
          <w:rFonts w:hAnsi="宋体"/>
          <w:szCs w:val="21"/>
          <w:u w:val="single"/>
        </w:rPr>
      </w:pPr>
      <w:r>
        <w:rPr>
          <w:rFonts w:hint="eastAsia" w:hAnsi="宋体"/>
          <w:szCs w:val="21"/>
        </w:rPr>
        <w:t xml:space="preserve">地 </w:t>
      </w:r>
      <w:r>
        <w:rPr>
          <w:rFonts w:hAnsi="宋体"/>
          <w:szCs w:val="21"/>
        </w:rPr>
        <w:t xml:space="preserve">   </w:t>
      </w:r>
      <w:r>
        <w:rPr>
          <w:rFonts w:hint="eastAsia" w:hAnsi="宋体"/>
          <w:szCs w:val="21"/>
        </w:rPr>
        <w:t>址：</w:t>
      </w:r>
      <w:r>
        <w:rPr>
          <w:rFonts w:hAnsi="宋体"/>
          <w:szCs w:val="21"/>
          <w:u w:val="single"/>
        </w:rPr>
        <w:t xml:space="preserve">                            </w:t>
      </w:r>
    </w:p>
    <w:p>
      <w:pPr>
        <w:spacing w:line="360" w:lineRule="auto"/>
        <w:rPr>
          <w:rFonts w:hAnsi="宋体"/>
          <w:szCs w:val="21"/>
        </w:rPr>
      </w:pPr>
      <w:r>
        <w:rPr>
          <w:rFonts w:hint="eastAsia" w:hAnsi="宋体"/>
          <w:szCs w:val="21"/>
        </w:rPr>
        <w:t>成立时间：</w:t>
      </w:r>
      <w:r>
        <w:rPr>
          <w:rFonts w:hAnsi="宋体"/>
          <w:szCs w:val="21"/>
          <w:u w:val="single"/>
        </w:rPr>
        <w:t xml:space="preserve">        </w:t>
      </w:r>
      <w:r>
        <w:rPr>
          <w:rFonts w:hint="eastAsia" w:hAnsi="宋体"/>
          <w:szCs w:val="21"/>
        </w:rPr>
        <w:t>年</w:t>
      </w:r>
      <w:r>
        <w:rPr>
          <w:rFonts w:hAnsi="宋体"/>
          <w:szCs w:val="21"/>
          <w:u w:val="single"/>
        </w:rPr>
        <w:t xml:space="preserve">       </w:t>
      </w:r>
      <w:r>
        <w:rPr>
          <w:rFonts w:hint="eastAsia" w:hAnsi="宋体"/>
          <w:szCs w:val="21"/>
        </w:rPr>
        <w:t>月</w:t>
      </w:r>
      <w:r>
        <w:rPr>
          <w:rFonts w:hAnsi="宋体"/>
          <w:szCs w:val="21"/>
          <w:u w:val="single"/>
        </w:rPr>
        <w:t xml:space="preserve">       </w:t>
      </w:r>
      <w:r>
        <w:rPr>
          <w:rFonts w:hint="eastAsia" w:hAnsi="宋体"/>
          <w:szCs w:val="21"/>
        </w:rPr>
        <w:t>日</w:t>
      </w:r>
    </w:p>
    <w:p>
      <w:pPr>
        <w:spacing w:line="360" w:lineRule="auto"/>
        <w:rPr>
          <w:rFonts w:hAnsi="宋体"/>
          <w:szCs w:val="21"/>
        </w:rPr>
      </w:pPr>
      <w:r>
        <w:rPr>
          <w:rFonts w:hint="eastAsia" w:hAnsi="宋体"/>
          <w:szCs w:val="21"/>
        </w:rPr>
        <w:t>经营期限：</w:t>
      </w:r>
      <w:r>
        <w:rPr>
          <w:rFonts w:hAnsi="宋体"/>
          <w:szCs w:val="21"/>
          <w:u w:val="single"/>
        </w:rPr>
        <w:t xml:space="preserve">                            </w:t>
      </w:r>
    </w:p>
    <w:p>
      <w:pPr>
        <w:spacing w:line="360" w:lineRule="auto"/>
        <w:rPr>
          <w:rFonts w:hAnsi="宋体"/>
          <w:szCs w:val="21"/>
        </w:rPr>
      </w:pPr>
      <w:r>
        <w:rPr>
          <w:rFonts w:hint="eastAsia" w:hAnsi="宋体"/>
          <w:szCs w:val="21"/>
        </w:rPr>
        <w:t>姓名：</w:t>
      </w:r>
      <w:r>
        <w:rPr>
          <w:rFonts w:hAnsi="宋体"/>
          <w:szCs w:val="21"/>
          <w:u w:val="single"/>
        </w:rPr>
        <w:t xml:space="preserve">            </w:t>
      </w:r>
      <w:r>
        <w:rPr>
          <w:rFonts w:hAnsi="宋体"/>
          <w:szCs w:val="21"/>
        </w:rPr>
        <w:t xml:space="preserve">  </w:t>
      </w:r>
      <w:r>
        <w:rPr>
          <w:rFonts w:hint="eastAsia" w:hAnsi="宋体"/>
          <w:szCs w:val="21"/>
        </w:rPr>
        <w:t>性别：</w:t>
      </w:r>
      <w:r>
        <w:rPr>
          <w:rFonts w:hAnsi="宋体"/>
          <w:szCs w:val="21"/>
          <w:u w:val="single"/>
        </w:rPr>
        <w:t xml:space="preserve">            </w:t>
      </w:r>
      <w:r>
        <w:rPr>
          <w:rFonts w:hAnsi="宋体"/>
          <w:szCs w:val="21"/>
        </w:rPr>
        <w:t xml:space="preserve">  </w:t>
      </w:r>
      <w:r>
        <w:rPr>
          <w:rFonts w:hint="eastAsia" w:hAnsi="宋体"/>
          <w:szCs w:val="21"/>
        </w:rPr>
        <w:t>年龄：</w:t>
      </w:r>
      <w:r>
        <w:rPr>
          <w:rFonts w:hAnsi="宋体"/>
          <w:szCs w:val="21"/>
          <w:u w:val="single"/>
        </w:rPr>
        <w:t xml:space="preserve">            </w:t>
      </w:r>
      <w:r>
        <w:rPr>
          <w:rFonts w:hAnsi="宋体"/>
          <w:szCs w:val="21"/>
        </w:rPr>
        <w:t xml:space="preserve">  </w:t>
      </w:r>
      <w:r>
        <w:rPr>
          <w:rFonts w:hint="eastAsia" w:hAnsi="宋体"/>
          <w:szCs w:val="21"/>
        </w:rPr>
        <w:t>职务：</w:t>
      </w:r>
      <w:r>
        <w:rPr>
          <w:rFonts w:hAnsi="宋体"/>
          <w:szCs w:val="21"/>
          <w:u w:val="single"/>
        </w:rPr>
        <w:t xml:space="preserve">            </w:t>
      </w:r>
    </w:p>
    <w:p>
      <w:pPr>
        <w:spacing w:line="360" w:lineRule="auto"/>
        <w:rPr>
          <w:rFonts w:hAnsi="宋体"/>
          <w:szCs w:val="21"/>
        </w:rPr>
      </w:pPr>
      <w:r>
        <w:rPr>
          <w:rFonts w:hint="eastAsia" w:hAnsi="宋体"/>
          <w:szCs w:val="21"/>
        </w:rPr>
        <w:t>系</w:t>
      </w:r>
      <w:r>
        <w:rPr>
          <w:rFonts w:hAnsi="宋体"/>
          <w:szCs w:val="21"/>
          <w:u w:val="single"/>
        </w:rPr>
        <w:t xml:space="preserve">                        </w:t>
      </w:r>
      <w:r>
        <w:rPr>
          <w:rFonts w:hint="eastAsia" w:hAnsi="宋体"/>
          <w:szCs w:val="21"/>
        </w:rPr>
        <w:t>（供应商名称）的法定代表人。</w:t>
      </w:r>
    </w:p>
    <w:p>
      <w:pPr>
        <w:spacing w:line="360" w:lineRule="auto"/>
        <w:ind w:firstLine="420" w:firstLineChars="200"/>
        <w:rPr>
          <w:rFonts w:hAnsi="宋体"/>
          <w:szCs w:val="21"/>
        </w:rPr>
      </w:pPr>
    </w:p>
    <w:p>
      <w:pPr>
        <w:spacing w:line="360" w:lineRule="auto"/>
        <w:ind w:firstLine="420" w:firstLineChars="200"/>
        <w:rPr>
          <w:rFonts w:hAnsi="宋体"/>
          <w:szCs w:val="21"/>
        </w:rPr>
      </w:pPr>
      <w:r>
        <w:rPr>
          <w:rFonts w:hint="eastAsia" w:hAnsi="宋体"/>
          <w:szCs w:val="21"/>
        </w:rPr>
        <w:t>特此证明。</w:t>
      </w:r>
    </w:p>
    <w:p>
      <w:pPr>
        <w:spacing w:line="360" w:lineRule="auto"/>
        <w:rPr>
          <w:rFonts w:hAnsi="宋体"/>
          <w:szCs w:val="21"/>
        </w:rPr>
      </w:pPr>
    </w:p>
    <w:p>
      <w:pPr>
        <w:spacing w:line="360" w:lineRule="auto"/>
        <w:jc w:val="left"/>
        <w:rPr>
          <w:rFonts w:hAnsi="宋体"/>
          <w:szCs w:val="21"/>
        </w:rPr>
      </w:pPr>
      <w:r>
        <w:rPr>
          <w:rFonts w:hint="eastAsia" w:hAnsi="宋体"/>
          <w:szCs w:val="21"/>
        </w:rPr>
        <w:t>供应商（加盖公章）：</w:t>
      </w:r>
    </w:p>
    <w:p>
      <w:pPr>
        <w:spacing w:line="360" w:lineRule="auto"/>
        <w:jc w:val="left"/>
        <w:rPr>
          <w:rFonts w:hAnsi="宋体"/>
          <w:szCs w:val="21"/>
        </w:rPr>
      </w:pPr>
    </w:p>
    <w:p>
      <w:pPr>
        <w:spacing w:line="360" w:lineRule="auto"/>
        <w:jc w:val="left"/>
        <w:rPr>
          <w:rFonts w:hAnsi="宋体"/>
          <w:szCs w:val="21"/>
        </w:rPr>
      </w:pPr>
      <w:r>
        <w:rPr>
          <w:rFonts w:hint="eastAsia" w:hAnsi="宋体"/>
          <w:szCs w:val="21"/>
        </w:rPr>
        <w:t>日期：</w:t>
      </w:r>
    </w:p>
    <w:p>
      <w:pPr>
        <w:pStyle w:val="15"/>
        <w:spacing w:line="360" w:lineRule="auto"/>
        <w:jc w:val="left"/>
        <w:rPr>
          <w:rFonts w:hAnsi="宋体"/>
          <w:b/>
          <w:bCs/>
          <w:szCs w:val="21"/>
        </w:rPr>
      </w:pPr>
      <w:r>
        <w:rPr>
          <w:rFonts w:hint="eastAsia" w:hAnsi="宋体"/>
          <w:b/>
          <w:bCs/>
          <w:szCs w:val="21"/>
        </w:rPr>
        <w:t>注:</w:t>
      </w:r>
    </w:p>
    <w:p>
      <w:pPr>
        <w:pStyle w:val="15"/>
        <w:spacing w:line="360" w:lineRule="auto"/>
        <w:ind w:firstLine="422" w:firstLineChars="200"/>
        <w:jc w:val="left"/>
        <w:rPr>
          <w:rFonts w:hAnsi="宋体"/>
          <w:b/>
          <w:bCs/>
          <w:szCs w:val="21"/>
        </w:rPr>
      </w:pPr>
      <w:r>
        <w:rPr>
          <w:rFonts w:hint="eastAsia" w:hAnsi="宋体"/>
          <w:b/>
          <w:bCs/>
          <w:szCs w:val="21"/>
        </w:rPr>
        <w:t>1.法定代表人提交响应文件的</w:t>
      </w:r>
      <w:r>
        <w:rPr>
          <w:rFonts w:hAnsi="宋体"/>
          <w:b/>
          <w:bCs/>
          <w:szCs w:val="21"/>
        </w:rPr>
        <w:t>，</w:t>
      </w:r>
      <w:r>
        <w:rPr>
          <w:rFonts w:hint="eastAsia" w:hAnsi="宋体"/>
          <w:b/>
          <w:bCs/>
          <w:szCs w:val="21"/>
        </w:rPr>
        <w:t>应提供</w:t>
      </w:r>
      <w:r>
        <w:rPr>
          <w:rFonts w:hAnsi="宋体"/>
          <w:b/>
          <w:bCs/>
          <w:szCs w:val="21"/>
        </w:rPr>
        <w:t>本人</w:t>
      </w:r>
      <w:r>
        <w:rPr>
          <w:rFonts w:hint="eastAsia" w:hAnsi="宋体"/>
          <w:b/>
          <w:bCs/>
          <w:szCs w:val="21"/>
        </w:rPr>
        <w:t>有效居民身份证（如非中国国籍应提供护照）原件</w:t>
      </w:r>
      <w:r>
        <w:rPr>
          <w:rFonts w:hAnsi="宋体"/>
          <w:b/>
          <w:bCs/>
          <w:szCs w:val="21"/>
        </w:rPr>
        <w:t>交由</w:t>
      </w:r>
      <w:r>
        <w:rPr>
          <w:rFonts w:hint="eastAsia" w:hAnsi="宋体"/>
          <w:b/>
          <w:bCs/>
          <w:szCs w:val="21"/>
        </w:rPr>
        <w:t>工作</w:t>
      </w:r>
      <w:r>
        <w:rPr>
          <w:rFonts w:hAnsi="宋体"/>
          <w:b/>
          <w:bCs/>
          <w:szCs w:val="21"/>
        </w:rPr>
        <w:t>人员</w:t>
      </w:r>
      <w:r>
        <w:rPr>
          <w:rFonts w:hint="eastAsia" w:hAnsi="宋体"/>
          <w:b/>
          <w:bCs/>
          <w:szCs w:val="21"/>
        </w:rPr>
        <w:t>现场登记。</w:t>
      </w:r>
    </w:p>
    <w:p>
      <w:pPr>
        <w:pStyle w:val="15"/>
        <w:spacing w:line="360" w:lineRule="auto"/>
        <w:ind w:firstLine="422" w:firstLineChars="200"/>
        <w:jc w:val="left"/>
        <w:rPr>
          <w:rFonts w:hAnsi="宋体"/>
          <w:b/>
          <w:bCs/>
          <w:szCs w:val="21"/>
        </w:rPr>
      </w:pPr>
      <w:r>
        <w:rPr>
          <w:rFonts w:hint="eastAsia" w:hAnsi="宋体"/>
          <w:b/>
          <w:bCs/>
          <w:szCs w:val="21"/>
        </w:rPr>
        <w:t>2.在响应文件中附法定代表人有效居民身份证复印件。</w:t>
      </w:r>
      <w:bookmarkStart w:id="258" w:name="_Toc491307381"/>
      <w:bookmarkStart w:id="259" w:name="_Toc494043355"/>
      <w:bookmarkStart w:id="260" w:name="_Toc491307501"/>
      <w:bookmarkStart w:id="261" w:name="_Toc491307319"/>
    </w:p>
    <w:p/>
    <w:p/>
    <w:p/>
    <w:p>
      <w:pPr>
        <w:spacing w:line="440" w:lineRule="exact"/>
        <w:rPr>
          <w:rFonts w:asciiTheme="minorEastAsia" w:hAnsiTheme="minorEastAsia" w:eastAsiaTheme="minorEastAsia"/>
          <w:b/>
          <w:snapToGrid/>
          <w:kern w:val="0"/>
          <w:sz w:val="28"/>
          <w:szCs w:val="28"/>
        </w:rPr>
      </w:pPr>
      <w:r>
        <w:rPr>
          <w:rFonts w:hint="eastAsia" w:asciiTheme="minorEastAsia" w:hAnsiTheme="minorEastAsia" w:eastAsiaTheme="minorEastAsia"/>
          <w:b/>
          <w:snapToGrid/>
          <w:kern w:val="0"/>
          <w:sz w:val="28"/>
          <w:szCs w:val="28"/>
        </w:rPr>
        <w:t>格式</w:t>
      </w:r>
      <w:bookmarkEnd w:id="258"/>
      <w:bookmarkEnd w:id="259"/>
      <w:bookmarkEnd w:id="260"/>
      <w:bookmarkEnd w:id="261"/>
      <w:r>
        <w:rPr>
          <w:rFonts w:hint="eastAsia" w:asciiTheme="minorEastAsia" w:hAnsiTheme="minorEastAsia" w:eastAsiaTheme="minorEastAsia"/>
          <w:b/>
          <w:snapToGrid/>
          <w:kern w:val="0"/>
          <w:sz w:val="28"/>
          <w:szCs w:val="28"/>
        </w:rPr>
        <w:t>3-8</w:t>
      </w:r>
    </w:p>
    <w:p>
      <w:pPr>
        <w:pStyle w:val="6"/>
        <w:spacing w:before="240" w:after="240" w:line="360" w:lineRule="auto"/>
        <w:ind w:firstLine="0"/>
        <w:jc w:val="center"/>
        <w:rPr>
          <w:rFonts w:hint="default" w:hAnsi="黑体"/>
          <w:kern w:val="0"/>
          <w:szCs w:val="30"/>
          <w:lang w:val="en-US" w:eastAsia="zh-CN"/>
        </w:rPr>
      </w:pPr>
      <w:bookmarkStart w:id="262" w:name="_Toc481694858"/>
      <w:bookmarkStart w:id="263" w:name="_Toc488633630"/>
      <w:bookmarkStart w:id="264" w:name="_Toc491307320"/>
      <w:bookmarkStart w:id="265" w:name="_Toc491307502"/>
      <w:bookmarkStart w:id="266" w:name="_Toc494043356"/>
      <w:bookmarkStart w:id="267" w:name="_Toc491307382"/>
      <w:bookmarkStart w:id="268" w:name="_Toc213141107"/>
      <w:bookmarkStart w:id="269" w:name="_Toc6496671"/>
      <w:bookmarkStart w:id="270" w:name="_Toc46924581"/>
      <w:bookmarkStart w:id="271" w:name="_Toc72489571"/>
      <w:r>
        <w:rPr>
          <w:rFonts w:hAnsi="黑体"/>
          <w:kern w:val="0"/>
          <w:szCs w:val="30"/>
          <w:lang w:val="en-US" w:eastAsia="zh-CN"/>
        </w:rPr>
        <w:t>法定代表人授权委托书</w:t>
      </w:r>
      <w:bookmarkEnd w:id="262"/>
      <w:bookmarkEnd w:id="263"/>
      <w:bookmarkEnd w:id="264"/>
      <w:bookmarkEnd w:id="265"/>
      <w:bookmarkEnd w:id="266"/>
      <w:bookmarkEnd w:id="267"/>
      <w:bookmarkEnd w:id="268"/>
      <w:bookmarkEnd w:id="269"/>
      <w:bookmarkEnd w:id="270"/>
      <w:bookmarkEnd w:id="271"/>
    </w:p>
    <w:p>
      <w:pPr>
        <w:spacing w:line="360" w:lineRule="auto"/>
        <w:ind w:firstLine="420" w:firstLineChars="200"/>
        <w:rPr>
          <w:rFonts w:hAnsi="宋体"/>
          <w:szCs w:val="21"/>
        </w:rPr>
      </w:pPr>
      <w:r>
        <w:rPr>
          <w:rFonts w:hint="eastAsia" w:ascii="Times New Roman" w:hAnsi="Times New Roman"/>
          <w:kern w:val="0"/>
          <w:szCs w:val="21"/>
        </w:rPr>
        <w:t>本授权委托书声明</w:t>
      </w:r>
      <w:r>
        <w:rPr>
          <w:rFonts w:hint="eastAsia" w:hAnsi="宋体"/>
          <w:szCs w:val="21"/>
        </w:rPr>
        <w:t>：</w:t>
      </w:r>
      <w:r>
        <w:rPr>
          <w:rFonts w:hint="eastAsia" w:hAnsi="宋体"/>
          <w:szCs w:val="21"/>
          <w:u w:val="single"/>
        </w:rPr>
        <w:t xml:space="preserve">  （供应商全称）  </w:t>
      </w:r>
      <w:r>
        <w:rPr>
          <w:rFonts w:hint="eastAsia" w:hAnsi="宋体"/>
          <w:szCs w:val="21"/>
        </w:rPr>
        <w:t>的法定代表人代表本公司授权</w:t>
      </w:r>
      <w:r>
        <w:rPr>
          <w:rFonts w:hint="eastAsia" w:hAnsi="宋体"/>
          <w:szCs w:val="21"/>
          <w:u w:val="single"/>
        </w:rPr>
        <w:t>（委托代理人姓名）</w:t>
      </w:r>
      <w:r>
        <w:rPr>
          <w:rFonts w:hint="eastAsia" w:hAnsi="宋体"/>
          <w:szCs w:val="21"/>
        </w:rPr>
        <w:t>为本公司合法代理人，就贵方组织的有关</w:t>
      </w:r>
      <w:r>
        <w:rPr>
          <w:rFonts w:hint="eastAsia" w:hAnsi="宋体"/>
          <w:szCs w:val="21"/>
          <w:u w:val="single"/>
        </w:rPr>
        <w:t>（项目名称）</w:t>
      </w:r>
      <w:r>
        <w:rPr>
          <w:rFonts w:hint="eastAsia" w:hAnsi="宋体"/>
          <w:szCs w:val="21"/>
        </w:rPr>
        <w:t>项目（项目编号：</w:t>
      </w:r>
      <w:r>
        <w:rPr>
          <w:rFonts w:hint="eastAsia" w:hAnsi="宋体"/>
          <w:szCs w:val="21"/>
          <w:u w:val="single"/>
        </w:rPr>
        <w:t xml:space="preserve">       </w:t>
      </w:r>
      <w:r>
        <w:rPr>
          <w:rFonts w:hint="eastAsia" w:hAnsi="宋体"/>
          <w:szCs w:val="21"/>
        </w:rPr>
        <w:t>）的竞争性磋商，以本单位名义参加。</w:t>
      </w:r>
      <w:r>
        <w:rPr>
          <w:rFonts w:hAnsi="宋体"/>
          <w:szCs w:val="21"/>
        </w:rPr>
        <w:t>代理人在本项目</w:t>
      </w:r>
      <w:r>
        <w:rPr>
          <w:rFonts w:hint="eastAsia" w:hAnsi="宋体"/>
          <w:szCs w:val="21"/>
        </w:rPr>
        <w:t>磋商</w:t>
      </w:r>
      <w:r>
        <w:rPr>
          <w:rFonts w:hAnsi="宋体"/>
          <w:szCs w:val="21"/>
        </w:rPr>
        <w:t>过程中所签署的一切文件和处理与之有关的一切事务，我方均予承认。</w:t>
      </w:r>
    </w:p>
    <w:p>
      <w:pPr>
        <w:pStyle w:val="15"/>
        <w:spacing w:line="360" w:lineRule="auto"/>
        <w:ind w:firstLine="420"/>
        <w:rPr>
          <w:rFonts w:hAnsi="宋体"/>
          <w:szCs w:val="21"/>
        </w:rPr>
      </w:pPr>
      <w:r>
        <w:rPr>
          <w:rFonts w:hint="eastAsia" w:ascii="Times New Roman" w:hAnsi="Times New Roman"/>
          <w:kern w:val="0"/>
          <w:szCs w:val="21"/>
        </w:rPr>
        <w:t>代理人无转委托权，特此委托</w:t>
      </w:r>
      <w:r>
        <w:rPr>
          <w:rFonts w:hAnsi="宋体"/>
          <w:szCs w:val="21"/>
        </w:rPr>
        <w:t>。</w:t>
      </w:r>
    </w:p>
    <w:p>
      <w:pPr>
        <w:pStyle w:val="15"/>
        <w:spacing w:line="360" w:lineRule="auto"/>
        <w:jc w:val="left"/>
        <w:rPr>
          <w:rFonts w:hAnsi="宋体"/>
          <w:szCs w:val="21"/>
        </w:rPr>
      </w:pPr>
    </w:p>
    <w:p>
      <w:pPr>
        <w:spacing w:line="360" w:lineRule="auto"/>
        <w:ind w:firstLine="2" w:firstLineChars="1"/>
        <w:jc w:val="left"/>
        <w:rPr>
          <w:rFonts w:hAnsi="宋体"/>
          <w:szCs w:val="21"/>
        </w:rPr>
      </w:pPr>
      <w:r>
        <w:rPr>
          <w:rFonts w:hAnsi="宋体"/>
          <w:szCs w:val="21"/>
        </w:rPr>
        <w:t>供应商（加盖公章）：</w:t>
      </w:r>
    </w:p>
    <w:p>
      <w:pPr>
        <w:spacing w:line="360" w:lineRule="auto"/>
        <w:ind w:firstLine="2" w:firstLineChars="1"/>
        <w:jc w:val="left"/>
        <w:rPr>
          <w:rFonts w:hAnsi="宋体"/>
          <w:szCs w:val="21"/>
        </w:rPr>
      </w:pPr>
      <w:r>
        <w:rPr>
          <w:rFonts w:hAnsi="宋体"/>
          <w:szCs w:val="21"/>
        </w:rPr>
        <w:t>法定代表人（签字</w:t>
      </w:r>
      <w:r>
        <w:rPr>
          <w:rFonts w:hint="eastAsia" w:hAnsi="宋体"/>
          <w:szCs w:val="21"/>
        </w:rPr>
        <w:t>或盖章</w:t>
      </w:r>
      <w:r>
        <w:rPr>
          <w:rFonts w:hAnsi="宋体"/>
          <w:szCs w:val="21"/>
        </w:rPr>
        <w:t>）：</w:t>
      </w:r>
    </w:p>
    <w:p>
      <w:pPr>
        <w:spacing w:line="360" w:lineRule="auto"/>
        <w:ind w:firstLine="2" w:firstLineChars="1"/>
        <w:jc w:val="left"/>
        <w:rPr>
          <w:rFonts w:hAnsi="宋体"/>
          <w:szCs w:val="21"/>
        </w:rPr>
      </w:pPr>
      <w:r>
        <w:rPr>
          <w:rFonts w:hAnsi="宋体"/>
          <w:szCs w:val="21"/>
        </w:rPr>
        <w:t>委托代理人（签字</w:t>
      </w:r>
      <w:r>
        <w:rPr>
          <w:rFonts w:hint="eastAsia" w:hAnsi="宋体"/>
          <w:szCs w:val="21"/>
        </w:rPr>
        <w:t>或盖章</w:t>
      </w:r>
      <w:r>
        <w:rPr>
          <w:rFonts w:hAnsi="宋体"/>
          <w:szCs w:val="21"/>
        </w:rPr>
        <w:t>）：</w:t>
      </w:r>
    </w:p>
    <w:p>
      <w:pPr>
        <w:pStyle w:val="15"/>
        <w:spacing w:line="360" w:lineRule="auto"/>
        <w:rPr>
          <w:rFonts w:hAnsi="宋体"/>
          <w:szCs w:val="21"/>
        </w:rPr>
      </w:pPr>
      <w:r>
        <w:rPr>
          <w:rFonts w:hint="eastAsia" w:hAnsi="宋体"/>
          <w:szCs w:val="21"/>
        </w:rPr>
        <w:t>日期：</w:t>
      </w:r>
    </w:p>
    <w:tbl>
      <w:tblPr>
        <w:tblStyle w:val="28"/>
        <w:tblW w:w="0" w:type="auto"/>
        <w:tblInd w:w="720" w:type="dxa"/>
        <w:tblLayout w:type="fixed"/>
        <w:tblCellMar>
          <w:top w:w="0" w:type="dxa"/>
          <w:left w:w="108" w:type="dxa"/>
          <w:bottom w:w="0" w:type="dxa"/>
          <w:right w:w="108" w:type="dxa"/>
        </w:tblCellMar>
      </w:tblPr>
      <w:tblGrid>
        <w:gridCol w:w="1908"/>
        <w:gridCol w:w="3960"/>
      </w:tblGrid>
      <w:tr>
        <w:tblPrEx>
          <w:tblCellMar>
            <w:top w:w="0" w:type="dxa"/>
            <w:left w:w="108" w:type="dxa"/>
            <w:bottom w:w="0" w:type="dxa"/>
            <w:right w:w="108" w:type="dxa"/>
          </w:tblCellMar>
        </w:tblPrEx>
        <w:tc>
          <w:tcPr>
            <w:tcW w:w="1908" w:type="dxa"/>
            <w:tcBorders>
              <w:top w:val="nil"/>
              <w:left w:val="nil"/>
              <w:bottom w:val="nil"/>
              <w:right w:val="nil"/>
            </w:tcBorders>
          </w:tcPr>
          <w:p>
            <w:pPr>
              <w:pStyle w:val="15"/>
              <w:spacing w:line="360" w:lineRule="auto"/>
              <w:rPr>
                <w:rFonts w:hAnsi="宋体"/>
                <w:szCs w:val="21"/>
              </w:rPr>
            </w:pPr>
            <w:r>
              <w:rPr>
                <w:rFonts w:hint="eastAsia" w:hAnsi="宋体"/>
                <w:szCs w:val="21"/>
              </w:rPr>
              <w:t>附：</w:t>
            </w:r>
          </w:p>
        </w:tc>
        <w:tc>
          <w:tcPr>
            <w:tcW w:w="3960" w:type="dxa"/>
            <w:tcBorders>
              <w:top w:val="nil"/>
              <w:left w:val="nil"/>
              <w:bottom w:val="nil"/>
              <w:right w:val="nil"/>
            </w:tcBorders>
          </w:tcPr>
          <w:p>
            <w:pPr>
              <w:pStyle w:val="15"/>
              <w:spacing w:line="360" w:lineRule="auto"/>
              <w:rPr>
                <w:rFonts w:hAnsi="宋体"/>
                <w:szCs w:val="21"/>
              </w:rPr>
            </w:pPr>
            <w:r>
              <w:rPr>
                <w:rFonts w:hint="eastAsia" w:hAnsi="宋体"/>
                <w:szCs w:val="21"/>
              </w:rPr>
              <w:tab/>
            </w:r>
            <w:r>
              <w:rPr>
                <w:rFonts w:hint="eastAsia" w:hAnsi="宋体"/>
                <w:szCs w:val="21"/>
              </w:rPr>
              <w:tab/>
            </w:r>
            <w:r>
              <w:rPr>
                <w:rFonts w:hint="eastAsia" w:hAnsi="宋体"/>
                <w:szCs w:val="21"/>
              </w:rPr>
              <w:tab/>
            </w:r>
            <w:r>
              <w:rPr>
                <w:rFonts w:hint="eastAsia" w:hAnsi="宋体"/>
                <w:szCs w:val="21"/>
              </w:rPr>
              <w:tab/>
            </w:r>
            <w:r>
              <w:rPr>
                <w:rFonts w:hint="eastAsia" w:hAnsi="宋体"/>
                <w:szCs w:val="21"/>
              </w:rPr>
              <w:tab/>
            </w:r>
          </w:p>
        </w:tc>
      </w:tr>
      <w:tr>
        <w:tblPrEx>
          <w:tblCellMar>
            <w:top w:w="0" w:type="dxa"/>
            <w:left w:w="108" w:type="dxa"/>
            <w:bottom w:w="0" w:type="dxa"/>
            <w:right w:w="108" w:type="dxa"/>
          </w:tblCellMar>
        </w:tblPrEx>
        <w:tc>
          <w:tcPr>
            <w:tcW w:w="1908" w:type="dxa"/>
            <w:tcBorders>
              <w:top w:val="nil"/>
              <w:left w:val="nil"/>
              <w:bottom w:val="nil"/>
              <w:right w:val="nil"/>
            </w:tcBorders>
          </w:tcPr>
          <w:p>
            <w:pPr>
              <w:pStyle w:val="15"/>
              <w:spacing w:line="360" w:lineRule="auto"/>
              <w:jc w:val="distribute"/>
              <w:rPr>
                <w:rFonts w:hAnsi="宋体"/>
                <w:szCs w:val="21"/>
              </w:rPr>
            </w:pPr>
            <w:r>
              <w:rPr>
                <w:rFonts w:hint="eastAsia" w:hAnsi="宋体"/>
                <w:szCs w:val="21"/>
              </w:rPr>
              <w:t>委托代理人姓名：</w:t>
            </w:r>
          </w:p>
        </w:tc>
        <w:tc>
          <w:tcPr>
            <w:tcW w:w="3960" w:type="dxa"/>
            <w:tcBorders>
              <w:top w:val="nil"/>
              <w:left w:val="nil"/>
              <w:bottom w:val="nil"/>
              <w:right w:val="nil"/>
            </w:tcBorders>
          </w:tcPr>
          <w:p>
            <w:pPr>
              <w:pStyle w:val="15"/>
              <w:spacing w:line="360" w:lineRule="auto"/>
              <w:rPr>
                <w:rFonts w:hAnsi="宋体"/>
                <w:szCs w:val="21"/>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15"/>
              <w:spacing w:line="360" w:lineRule="auto"/>
              <w:jc w:val="distribute"/>
              <w:rPr>
                <w:rFonts w:hAnsi="宋体"/>
                <w:szCs w:val="21"/>
              </w:rPr>
            </w:pPr>
            <w:r>
              <w:rPr>
                <w:rFonts w:hint="eastAsia" w:hAnsi="宋体"/>
                <w:szCs w:val="21"/>
              </w:rPr>
              <w:t>职       务：</w:t>
            </w:r>
          </w:p>
        </w:tc>
        <w:tc>
          <w:tcPr>
            <w:tcW w:w="3960" w:type="dxa"/>
            <w:tcBorders>
              <w:top w:val="nil"/>
              <w:left w:val="nil"/>
              <w:bottom w:val="nil"/>
              <w:right w:val="nil"/>
            </w:tcBorders>
          </w:tcPr>
          <w:p>
            <w:pPr>
              <w:pStyle w:val="15"/>
              <w:spacing w:line="360" w:lineRule="auto"/>
              <w:rPr>
                <w:rFonts w:hAnsi="宋体"/>
                <w:szCs w:val="21"/>
              </w:rPr>
            </w:pPr>
          </w:p>
        </w:tc>
      </w:tr>
      <w:tr>
        <w:tc>
          <w:tcPr>
            <w:tcW w:w="1908" w:type="dxa"/>
            <w:tcBorders>
              <w:top w:val="nil"/>
              <w:left w:val="nil"/>
              <w:bottom w:val="nil"/>
              <w:right w:val="nil"/>
            </w:tcBorders>
          </w:tcPr>
          <w:p>
            <w:pPr>
              <w:pStyle w:val="15"/>
              <w:spacing w:line="360" w:lineRule="auto"/>
              <w:jc w:val="distribute"/>
              <w:rPr>
                <w:rFonts w:hAnsi="宋体"/>
                <w:szCs w:val="21"/>
              </w:rPr>
            </w:pPr>
            <w:r>
              <w:rPr>
                <w:rFonts w:hint="eastAsia" w:hAnsi="宋体"/>
                <w:szCs w:val="21"/>
              </w:rPr>
              <w:t>居民身份证号码：</w:t>
            </w:r>
          </w:p>
        </w:tc>
        <w:tc>
          <w:tcPr>
            <w:tcW w:w="3960" w:type="dxa"/>
            <w:tcBorders>
              <w:top w:val="nil"/>
              <w:left w:val="nil"/>
              <w:bottom w:val="nil"/>
              <w:right w:val="nil"/>
            </w:tcBorders>
          </w:tcPr>
          <w:p>
            <w:pPr>
              <w:pStyle w:val="15"/>
              <w:spacing w:line="360" w:lineRule="auto"/>
              <w:rPr>
                <w:rFonts w:hAnsi="宋体"/>
                <w:szCs w:val="21"/>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15"/>
              <w:spacing w:line="360" w:lineRule="auto"/>
              <w:jc w:val="distribute"/>
              <w:rPr>
                <w:rFonts w:hAnsi="宋体"/>
                <w:szCs w:val="21"/>
              </w:rPr>
            </w:pPr>
            <w:r>
              <w:rPr>
                <w:rFonts w:hint="eastAsia" w:hAnsi="宋体"/>
                <w:szCs w:val="21"/>
              </w:rPr>
              <w:t>详 细  地 址：</w:t>
            </w:r>
          </w:p>
        </w:tc>
        <w:tc>
          <w:tcPr>
            <w:tcW w:w="3960" w:type="dxa"/>
            <w:tcBorders>
              <w:top w:val="nil"/>
              <w:left w:val="nil"/>
              <w:bottom w:val="nil"/>
              <w:right w:val="nil"/>
            </w:tcBorders>
          </w:tcPr>
          <w:p>
            <w:pPr>
              <w:pStyle w:val="15"/>
              <w:spacing w:line="360" w:lineRule="auto"/>
              <w:rPr>
                <w:rFonts w:hAnsi="宋体"/>
                <w:szCs w:val="21"/>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15"/>
              <w:spacing w:line="360" w:lineRule="auto"/>
              <w:jc w:val="distribute"/>
              <w:rPr>
                <w:rFonts w:hAnsi="宋体"/>
                <w:szCs w:val="21"/>
              </w:rPr>
            </w:pPr>
            <w:r>
              <w:rPr>
                <w:rFonts w:hint="eastAsia" w:hAnsi="宋体"/>
                <w:szCs w:val="21"/>
              </w:rPr>
              <w:t>电       话：</w:t>
            </w:r>
          </w:p>
        </w:tc>
        <w:tc>
          <w:tcPr>
            <w:tcW w:w="3960" w:type="dxa"/>
            <w:tcBorders>
              <w:top w:val="nil"/>
              <w:left w:val="nil"/>
              <w:bottom w:val="nil"/>
              <w:right w:val="nil"/>
            </w:tcBorders>
          </w:tcPr>
          <w:p>
            <w:pPr>
              <w:pStyle w:val="15"/>
              <w:spacing w:line="360" w:lineRule="auto"/>
              <w:rPr>
                <w:rFonts w:hAnsi="宋体"/>
                <w:szCs w:val="21"/>
              </w:rPr>
            </w:pPr>
          </w:p>
        </w:tc>
      </w:tr>
    </w:tbl>
    <w:p>
      <w:pPr>
        <w:pStyle w:val="15"/>
        <w:spacing w:line="360" w:lineRule="auto"/>
        <w:rPr>
          <w:rFonts w:hAnsi="宋体"/>
          <w:b/>
          <w:bCs/>
          <w:szCs w:val="21"/>
        </w:rPr>
      </w:pPr>
      <w:r>
        <w:rPr>
          <w:rFonts w:hint="eastAsia" w:hAnsi="宋体"/>
          <w:b/>
          <w:bCs/>
          <w:szCs w:val="21"/>
        </w:rPr>
        <w:t>注:</w:t>
      </w:r>
    </w:p>
    <w:p>
      <w:pPr>
        <w:pStyle w:val="15"/>
        <w:spacing w:line="360" w:lineRule="auto"/>
        <w:ind w:firstLine="422" w:firstLineChars="200"/>
        <w:rPr>
          <w:rFonts w:hAnsi="宋体"/>
          <w:b/>
          <w:bCs/>
          <w:szCs w:val="21"/>
        </w:rPr>
      </w:pPr>
      <w:r>
        <w:rPr>
          <w:rFonts w:hint="eastAsia" w:hAnsi="宋体"/>
          <w:b/>
          <w:bCs/>
          <w:szCs w:val="21"/>
        </w:rPr>
        <w:t>1.委托代理人提交响应文件的</w:t>
      </w:r>
      <w:r>
        <w:rPr>
          <w:rFonts w:hAnsi="宋体"/>
          <w:b/>
          <w:bCs/>
          <w:szCs w:val="21"/>
        </w:rPr>
        <w:t>，</w:t>
      </w:r>
      <w:r>
        <w:rPr>
          <w:rFonts w:hint="eastAsia" w:hAnsi="宋体"/>
          <w:b/>
          <w:bCs/>
          <w:szCs w:val="21"/>
        </w:rPr>
        <w:t>应提供</w:t>
      </w:r>
      <w:r>
        <w:rPr>
          <w:rFonts w:hAnsi="宋体"/>
          <w:b/>
          <w:bCs/>
          <w:szCs w:val="21"/>
        </w:rPr>
        <w:t>本人</w:t>
      </w:r>
      <w:r>
        <w:rPr>
          <w:rFonts w:hint="eastAsia" w:hAnsi="宋体"/>
          <w:b/>
          <w:bCs/>
          <w:szCs w:val="21"/>
        </w:rPr>
        <w:t>有效居民身份证（如非中国国籍应提供护照）原件</w:t>
      </w:r>
      <w:r>
        <w:rPr>
          <w:rFonts w:hAnsi="宋体"/>
          <w:b/>
          <w:bCs/>
          <w:szCs w:val="21"/>
        </w:rPr>
        <w:t>交由</w:t>
      </w:r>
      <w:r>
        <w:rPr>
          <w:rFonts w:hint="eastAsia" w:hAnsi="宋体"/>
          <w:b/>
          <w:bCs/>
          <w:szCs w:val="21"/>
        </w:rPr>
        <w:t>工作</w:t>
      </w:r>
      <w:r>
        <w:rPr>
          <w:rFonts w:hAnsi="宋体"/>
          <w:b/>
          <w:bCs/>
          <w:szCs w:val="21"/>
        </w:rPr>
        <w:t>人员核验</w:t>
      </w:r>
      <w:r>
        <w:rPr>
          <w:rFonts w:hint="eastAsia" w:hAnsi="宋体"/>
          <w:b/>
          <w:bCs/>
          <w:szCs w:val="21"/>
        </w:rPr>
        <w:t>。</w:t>
      </w:r>
    </w:p>
    <w:p>
      <w:pPr>
        <w:pStyle w:val="15"/>
        <w:spacing w:line="360" w:lineRule="auto"/>
        <w:ind w:firstLine="422" w:firstLineChars="200"/>
        <w:rPr>
          <w:rFonts w:hAnsi="宋体"/>
          <w:b/>
          <w:bCs/>
          <w:szCs w:val="21"/>
        </w:rPr>
      </w:pPr>
      <w:r>
        <w:rPr>
          <w:rFonts w:hint="eastAsia" w:hAnsi="宋体"/>
          <w:b/>
          <w:bCs/>
          <w:szCs w:val="21"/>
        </w:rPr>
        <w:t>2.在响应文件中附法定代表人及委托代理人有效居民身份证复印件。</w:t>
      </w:r>
    </w:p>
    <w:p>
      <w:pPr>
        <w:pStyle w:val="15"/>
        <w:spacing w:line="360" w:lineRule="auto"/>
        <w:ind w:firstLine="422" w:firstLineChars="200"/>
        <w:rPr>
          <w:rFonts w:hAnsi="宋体"/>
          <w:b/>
          <w:bCs/>
          <w:szCs w:val="21"/>
        </w:rPr>
      </w:pPr>
      <w:r>
        <w:rPr>
          <w:rFonts w:hint="eastAsia" w:hAnsi="宋体"/>
          <w:b/>
          <w:bCs/>
          <w:szCs w:val="21"/>
        </w:rPr>
        <w:t>3.如供应商由法定代表人亲自签署响应文件并参与相关活动，则不需要办理授权。如由被授权的代理人签署上述文件，则必须按本格式规定填报并提交法定代表人授权委托书，否则被授权的代理人将不被认可。</w:t>
      </w:r>
    </w:p>
    <w:p>
      <w:pPr>
        <w:pStyle w:val="15"/>
        <w:spacing w:line="360" w:lineRule="auto"/>
        <w:ind w:firstLine="422" w:firstLineChars="200"/>
        <w:rPr>
          <w:rFonts w:hAnsi="宋体"/>
          <w:b/>
          <w:bCs/>
          <w:szCs w:val="21"/>
        </w:rPr>
      </w:pPr>
      <w:r>
        <w:rPr>
          <w:rFonts w:hint="eastAsia" w:hAnsi="宋体"/>
          <w:b/>
          <w:bCs/>
          <w:szCs w:val="21"/>
        </w:rPr>
        <w:t>4.本授权委托书配合法定代表人身份证明书使用方可生效。</w:t>
      </w:r>
    </w:p>
    <w:p/>
    <w:p>
      <w:pPr>
        <w:spacing w:line="440" w:lineRule="exact"/>
        <w:rPr>
          <w:rFonts w:asciiTheme="minorEastAsia" w:hAnsiTheme="minorEastAsia" w:eastAsiaTheme="minorEastAsia"/>
          <w:b/>
          <w:snapToGrid/>
          <w:kern w:val="0"/>
          <w:sz w:val="28"/>
          <w:szCs w:val="28"/>
        </w:rPr>
      </w:pPr>
      <w:bookmarkStart w:id="272" w:name="_Toc491307321"/>
      <w:bookmarkStart w:id="273" w:name="_Toc494043357"/>
      <w:bookmarkStart w:id="274" w:name="_Toc491307503"/>
      <w:bookmarkStart w:id="275" w:name="_Toc491307383"/>
      <w:bookmarkStart w:id="276" w:name="_Toc6496672"/>
      <w:r>
        <w:rPr>
          <w:rFonts w:hint="eastAsia" w:asciiTheme="minorEastAsia" w:hAnsiTheme="minorEastAsia" w:eastAsiaTheme="minorEastAsia"/>
          <w:b/>
          <w:snapToGrid/>
          <w:kern w:val="0"/>
          <w:sz w:val="28"/>
          <w:szCs w:val="28"/>
        </w:rPr>
        <w:t>格式</w:t>
      </w:r>
      <w:bookmarkEnd w:id="272"/>
      <w:bookmarkEnd w:id="273"/>
      <w:bookmarkEnd w:id="274"/>
      <w:bookmarkEnd w:id="275"/>
      <w:r>
        <w:rPr>
          <w:rFonts w:hint="eastAsia" w:asciiTheme="minorEastAsia" w:hAnsiTheme="minorEastAsia" w:eastAsiaTheme="minorEastAsia"/>
          <w:b/>
          <w:snapToGrid/>
          <w:kern w:val="0"/>
          <w:sz w:val="28"/>
          <w:szCs w:val="28"/>
        </w:rPr>
        <w:t>3-</w:t>
      </w:r>
      <w:bookmarkEnd w:id="276"/>
      <w:r>
        <w:rPr>
          <w:rFonts w:hint="eastAsia" w:asciiTheme="minorEastAsia" w:hAnsiTheme="minorEastAsia" w:eastAsiaTheme="minorEastAsia"/>
          <w:b/>
          <w:snapToGrid/>
          <w:kern w:val="0"/>
          <w:sz w:val="28"/>
          <w:szCs w:val="28"/>
        </w:rPr>
        <w:t>9</w:t>
      </w:r>
    </w:p>
    <w:p>
      <w:pPr>
        <w:pStyle w:val="6"/>
        <w:spacing w:before="240" w:after="240" w:line="360" w:lineRule="auto"/>
        <w:ind w:firstLine="0"/>
        <w:jc w:val="center"/>
        <w:rPr>
          <w:rFonts w:hint="default" w:hAnsi="黑体"/>
          <w:kern w:val="0"/>
          <w:szCs w:val="30"/>
          <w:lang w:val="en-US" w:eastAsia="zh-CN"/>
        </w:rPr>
      </w:pPr>
      <w:bookmarkStart w:id="277" w:name="_Toc488633631"/>
      <w:bookmarkStart w:id="278" w:name="_Toc491307322"/>
      <w:bookmarkStart w:id="279" w:name="_Toc491307504"/>
      <w:bookmarkStart w:id="280" w:name="_Toc6496673"/>
      <w:bookmarkStart w:id="281" w:name="_Toc481694859"/>
      <w:bookmarkStart w:id="282" w:name="_Toc494043358"/>
      <w:bookmarkStart w:id="283" w:name="_Toc491307384"/>
      <w:bookmarkStart w:id="284" w:name="_Toc46924582"/>
      <w:bookmarkStart w:id="285" w:name="_Toc72489572"/>
      <w:r>
        <w:rPr>
          <w:rFonts w:hAnsi="黑体"/>
          <w:kern w:val="0"/>
          <w:szCs w:val="30"/>
          <w:lang w:val="en-US" w:eastAsia="zh-CN"/>
        </w:rPr>
        <w:t>供应商具备参加政府采购活动条件承诺书</w:t>
      </w:r>
      <w:bookmarkEnd w:id="277"/>
      <w:bookmarkEnd w:id="278"/>
      <w:bookmarkEnd w:id="279"/>
      <w:bookmarkEnd w:id="280"/>
      <w:bookmarkEnd w:id="281"/>
      <w:bookmarkEnd w:id="282"/>
      <w:bookmarkEnd w:id="283"/>
      <w:bookmarkEnd w:id="284"/>
      <w:bookmarkEnd w:id="285"/>
    </w:p>
    <w:p>
      <w:pPr>
        <w:spacing w:line="360" w:lineRule="auto"/>
        <w:rPr>
          <w:rFonts w:hAnsi="宋体"/>
          <w:szCs w:val="21"/>
        </w:rPr>
      </w:pPr>
      <w:r>
        <w:rPr>
          <w:rFonts w:hint="eastAsia" w:hAnsi="宋体"/>
          <w:szCs w:val="21"/>
        </w:rPr>
        <w:t>致：（采购人名称）</w:t>
      </w:r>
      <w:r>
        <w:rPr>
          <w:rFonts w:hAnsi="宋体"/>
          <w:szCs w:val="21"/>
        </w:rPr>
        <w:t>：</w:t>
      </w:r>
    </w:p>
    <w:p>
      <w:pPr>
        <w:spacing w:line="360" w:lineRule="auto"/>
        <w:ind w:firstLine="4410" w:firstLineChars="2100"/>
        <w:rPr>
          <w:rFonts w:hAnsi="宋体"/>
          <w:szCs w:val="21"/>
        </w:rPr>
      </w:pPr>
    </w:p>
    <w:p>
      <w:pPr>
        <w:spacing w:line="360" w:lineRule="auto"/>
        <w:ind w:firstLine="4410" w:firstLineChars="2100"/>
        <w:rPr>
          <w:rFonts w:hAnsi="宋体"/>
          <w:szCs w:val="21"/>
        </w:rPr>
      </w:pPr>
    </w:p>
    <w:p>
      <w:pPr>
        <w:spacing w:line="360" w:lineRule="auto"/>
        <w:jc w:val="center"/>
        <w:rPr>
          <w:rFonts w:hAnsi="宋体"/>
          <w:szCs w:val="21"/>
        </w:rPr>
      </w:pPr>
      <w:r>
        <w:rPr>
          <w:rFonts w:hint="eastAsia" w:hAnsi="宋体"/>
          <w:szCs w:val="21"/>
        </w:rPr>
        <w:t>（供应商自行承诺及说明，内容自拟）</w:t>
      </w:r>
    </w:p>
    <w:p>
      <w:pPr>
        <w:spacing w:line="360" w:lineRule="auto"/>
        <w:jc w:val="left"/>
        <w:rPr>
          <w:rFonts w:hAnsi="宋体"/>
          <w:sz w:val="24"/>
        </w:rPr>
      </w:pPr>
    </w:p>
    <w:p>
      <w:pPr>
        <w:spacing w:line="360" w:lineRule="auto"/>
        <w:jc w:val="left"/>
        <w:rPr>
          <w:rFonts w:hAnsi="宋体"/>
          <w:sz w:val="24"/>
        </w:rPr>
      </w:pPr>
    </w:p>
    <w:p>
      <w:pPr>
        <w:spacing w:line="360" w:lineRule="auto"/>
        <w:jc w:val="left"/>
        <w:rPr>
          <w:rFonts w:hAnsi="宋体"/>
          <w:sz w:val="24"/>
        </w:rPr>
      </w:pPr>
    </w:p>
    <w:p>
      <w:pPr>
        <w:spacing w:line="360" w:lineRule="auto"/>
        <w:jc w:val="left"/>
        <w:rPr>
          <w:rFonts w:hAnsi="宋体"/>
          <w:sz w:val="24"/>
        </w:rPr>
      </w:pPr>
    </w:p>
    <w:p>
      <w:pPr>
        <w:spacing w:line="360" w:lineRule="auto"/>
        <w:jc w:val="left"/>
        <w:rPr>
          <w:rFonts w:hAnsi="宋体"/>
          <w:sz w:val="24"/>
        </w:rPr>
      </w:pPr>
    </w:p>
    <w:p>
      <w:pPr>
        <w:spacing w:line="360" w:lineRule="auto"/>
        <w:jc w:val="left"/>
        <w:rPr>
          <w:rFonts w:hAnsi="宋体"/>
          <w:sz w:val="24"/>
        </w:rPr>
      </w:pPr>
    </w:p>
    <w:p>
      <w:pPr>
        <w:pStyle w:val="15"/>
        <w:spacing w:line="480" w:lineRule="auto"/>
        <w:rPr>
          <w:rFonts w:hAnsi="宋体"/>
          <w:szCs w:val="21"/>
        </w:rPr>
      </w:pPr>
      <w:r>
        <w:rPr>
          <w:rFonts w:hint="eastAsia" w:hAnsi="宋体"/>
          <w:szCs w:val="21"/>
        </w:rPr>
        <w:t>供应商（加盖公章)：</w:t>
      </w:r>
    </w:p>
    <w:p>
      <w:pPr>
        <w:pStyle w:val="15"/>
        <w:spacing w:line="480" w:lineRule="auto"/>
        <w:rPr>
          <w:rFonts w:hAnsi="宋体"/>
          <w:szCs w:val="21"/>
        </w:rPr>
      </w:pPr>
      <w:r>
        <w:rPr>
          <w:rFonts w:hint="eastAsia" w:hAnsi="宋体"/>
          <w:szCs w:val="21"/>
        </w:rPr>
        <w:t>法定代表人或委托代理人（签字或盖章）：</w:t>
      </w:r>
    </w:p>
    <w:p>
      <w:pPr>
        <w:pStyle w:val="15"/>
        <w:spacing w:line="480" w:lineRule="auto"/>
        <w:rPr>
          <w:rFonts w:hAnsi="宋体"/>
          <w:szCs w:val="21"/>
        </w:rPr>
      </w:pPr>
      <w:r>
        <w:rPr>
          <w:rFonts w:hint="eastAsia" w:hAnsi="宋体"/>
          <w:szCs w:val="21"/>
        </w:rPr>
        <w:t>日期：</w:t>
      </w:r>
    </w:p>
    <w:p/>
    <w:p>
      <w:pPr>
        <w:spacing w:line="360" w:lineRule="auto"/>
        <w:jc w:val="left"/>
        <w:rPr>
          <w:rFonts w:hAnsi="宋体"/>
          <w:b/>
          <w:bCs/>
          <w:szCs w:val="21"/>
        </w:rPr>
      </w:pPr>
      <w:r>
        <w:rPr>
          <w:rFonts w:hint="eastAsia" w:hAnsi="宋体"/>
          <w:b/>
          <w:bCs/>
          <w:szCs w:val="21"/>
        </w:rPr>
        <w:t>注：</w:t>
      </w:r>
    </w:p>
    <w:p>
      <w:pPr>
        <w:spacing w:line="360" w:lineRule="auto"/>
        <w:ind w:firstLine="420" w:firstLineChars="200"/>
        <w:jc w:val="left"/>
        <w:rPr>
          <w:rFonts w:hAnsi="宋体"/>
          <w:szCs w:val="21"/>
        </w:rPr>
      </w:pPr>
      <w:r>
        <w:rPr>
          <w:rFonts w:hint="eastAsia" w:hAnsi="宋体"/>
          <w:szCs w:val="21"/>
        </w:rPr>
        <w:t>1、供应商应对是否满足“具有独立承担民事责任的能力；良好的商业信誉和健全的财务会计制度；具有履行合同所必需的设备和专业技术能力；有依法缴纳税收和社会保障资金的良好记录；参加政府采购活动前三年内，在经营活动中没有重大违法记录；法律、行政法规规定的其他条件”（《政府采购法》第二十二条规定）进行说明和承诺；</w:t>
      </w:r>
    </w:p>
    <w:p>
      <w:pPr>
        <w:pStyle w:val="15"/>
        <w:spacing w:line="360" w:lineRule="auto"/>
        <w:ind w:firstLine="420" w:firstLineChars="200"/>
        <w:rPr>
          <w:rFonts w:hAnsi="宋体"/>
          <w:szCs w:val="21"/>
        </w:rPr>
      </w:pPr>
      <w:r>
        <w:rPr>
          <w:rFonts w:hint="eastAsia" w:hAnsi="宋体"/>
          <w:szCs w:val="21"/>
        </w:rPr>
        <w:t>2、若磋商文件中明确要求提供证明资料的，以证明资料为准。</w:t>
      </w:r>
    </w:p>
    <w:p/>
    <w:p/>
    <w:p/>
    <w:p/>
    <w:p/>
    <w:p/>
    <w:p>
      <w:pPr>
        <w:spacing w:line="440" w:lineRule="exact"/>
        <w:rPr>
          <w:rFonts w:asciiTheme="minorEastAsia" w:hAnsiTheme="minorEastAsia" w:eastAsiaTheme="minorEastAsia"/>
          <w:b/>
          <w:snapToGrid/>
          <w:kern w:val="0"/>
          <w:sz w:val="28"/>
          <w:szCs w:val="28"/>
        </w:rPr>
      </w:pPr>
      <w:bookmarkStart w:id="286" w:name="_Toc491307325"/>
      <w:bookmarkStart w:id="287" w:name="_Toc491307387"/>
      <w:bookmarkStart w:id="288" w:name="_Toc491307507"/>
      <w:bookmarkStart w:id="289" w:name="_Toc494043361"/>
      <w:bookmarkStart w:id="290" w:name="_Toc6496676"/>
      <w:r>
        <w:rPr>
          <w:rFonts w:hint="eastAsia" w:asciiTheme="minorEastAsia" w:hAnsiTheme="minorEastAsia" w:eastAsiaTheme="minorEastAsia"/>
          <w:b/>
          <w:snapToGrid/>
          <w:kern w:val="0"/>
          <w:sz w:val="28"/>
          <w:szCs w:val="28"/>
        </w:rPr>
        <w:t>格式</w:t>
      </w:r>
      <w:bookmarkEnd w:id="286"/>
      <w:bookmarkEnd w:id="287"/>
      <w:bookmarkEnd w:id="288"/>
      <w:bookmarkEnd w:id="289"/>
      <w:r>
        <w:rPr>
          <w:rFonts w:asciiTheme="minorEastAsia" w:hAnsiTheme="minorEastAsia" w:eastAsiaTheme="minorEastAsia"/>
          <w:b/>
          <w:snapToGrid/>
          <w:kern w:val="0"/>
          <w:sz w:val="28"/>
          <w:szCs w:val="28"/>
        </w:rPr>
        <w:t>3</w:t>
      </w:r>
      <w:r>
        <w:rPr>
          <w:rFonts w:hint="eastAsia" w:asciiTheme="minorEastAsia" w:hAnsiTheme="minorEastAsia" w:eastAsiaTheme="minorEastAsia"/>
          <w:b/>
          <w:snapToGrid/>
          <w:kern w:val="0"/>
          <w:sz w:val="28"/>
          <w:szCs w:val="28"/>
        </w:rPr>
        <w:t>-</w:t>
      </w:r>
      <w:bookmarkEnd w:id="290"/>
      <w:r>
        <w:rPr>
          <w:rFonts w:hint="eastAsia" w:asciiTheme="minorEastAsia" w:hAnsiTheme="minorEastAsia" w:eastAsiaTheme="minorEastAsia"/>
          <w:b/>
          <w:snapToGrid/>
          <w:kern w:val="0"/>
          <w:sz w:val="28"/>
          <w:szCs w:val="28"/>
        </w:rPr>
        <w:t>1</w:t>
      </w:r>
      <w:r>
        <w:rPr>
          <w:rFonts w:asciiTheme="minorEastAsia" w:hAnsiTheme="minorEastAsia" w:eastAsiaTheme="minorEastAsia"/>
          <w:b/>
          <w:snapToGrid/>
          <w:kern w:val="0"/>
          <w:sz w:val="28"/>
          <w:szCs w:val="28"/>
        </w:rPr>
        <w:t>0</w:t>
      </w:r>
    </w:p>
    <w:p>
      <w:pPr>
        <w:pStyle w:val="6"/>
        <w:spacing w:before="240" w:after="240" w:line="360" w:lineRule="auto"/>
        <w:ind w:firstLine="0"/>
        <w:jc w:val="center"/>
        <w:rPr>
          <w:rFonts w:hint="default" w:hAnsi="黑体"/>
          <w:kern w:val="0"/>
          <w:szCs w:val="30"/>
          <w:lang w:val="en-US" w:eastAsia="zh-CN"/>
        </w:rPr>
      </w:pPr>
      <w:bookmarkStart w:id="291" w:name="_Toc46924583"/>
      <w:bookmarkStart w:id="292" w:name="_Toc72489573"/>
      <w:r>
        <w:rPr>
          <w:rFonts w:hAnsi="黑体"/>
          <w:kern w:val="0"/>
          <w:szCs w:val="30"/>
          <w:lang w:val="en-US" w:eastAsia="zh-CN"/>
        </w:rPr>
        <w:t>《中小企业声明函》</w:t>
      </w:r>
      <w:bookmarkEnd w:id="291"/>
      <w:bookmarkEnd w:id="292"/>
    </w:p>
    <w:p>
      <w:pPr>
        <w:spacing w:line="360" w:lineRule="auto"/>
        <w:ind w:right="-2"/>
        <w:jc w:val="center"/>
        <w:rPr>
          <w:rFonts w:hAnsi="宋体"/>
          <w:b/>
          <w:bCs/>
          <w:szCs w:val="21"/>
        </w:rPr>
      </w:pPr>
      <w:r>
        <w:rPr>
          <w:rFonts w:hAnsi="宋体"/>
          <w:b/>
          <w:bCs/>
          <w:szCs w:val="21"/>
        </w:rPr>
        <w:t>符</w:t>
      </w:r>
      <w:r>
        <w:rPr>
          <w:rFonts w:hint="eastAsia" w:hAnsi="宋体"/>
          <w:b/>
          <w:bCs/>
          <w:szCs w:val="21"/>
        </w:rPr>
        <w:t>合《政府采购促进中小企业发展管理办法》（财库〔2020〕46号）规定享受中小企业扶持政策的供应商提供</w:t>
      </w:r>
    </w:p>
    <w:p>
      <w:pPr>
        <w:spacing w:before="312" w:beforeLines="100" w:line="360" w:lineRule="auto"/>
        <w:jc w:val="center"/>
        <w:rPr>
          <w:rFonts w:ascii="黑体" w:hAnsi="黑体" w:eastAsia="黑体"/>
          <w:bCs/>
          <w:snapToGrid/>
          <w:kern w:val="0"/>
          <w:sz w:val="30"/>
          <w:szCs w:val="30"/>
        </w:rPr>
      </w:pPr>
      <w:bookmarkStart w:id="293" w:name="_Toc481694861"/>
      <w:bookmarkStart w:id="294" w:name="_Toc488633633"/>
      <w:bookmarkStart w:id="295" w:name="_Toc491307326"/>
      <w:bookmarkStart w:id="296" w:name="_Toc6496677"/>
      <w:bookmarkStart w:id="297" w:name="_Toc491307388"/>
      <w:bookmarkStart w:id="298" w:name="_Toc491307508"/>
      <w:bookmarkStart w:id="299" w:name="_Toc494043362"/>
      <w:bookmarkStart w:id="300" w:name="_Toc434236523"/>
      <w:r>
        <w:rPr>
          <w:rFonts w:hint="eastAsia" w:ascii="黑体" w:hAnsi="黑体" w:eastAsia="黑体"/>
          <w:bCs/>
          <w:snapToGrid/>
          <w:kern w:val="0"/>
          <w:sz w:val="30"/>
          <w:szCs w:val="30"/>
        </w:rPr>
        <w:t>中小企业声明函（服务）</w:t>
      </w:r>
      <w:bookmarkEnd w:id="293"/>
      <w:bookmarkEnd w:id="294"/>
      <w:bookmarkEnd w:id="295"/>
      <w:bookmarkEnd w:id="296"/>
      <w:bookmarkEnd w:id="297"/>
      <w:bookmarkEnd w:id="298"/>
      <w:bookmarkEnd w:id="299"/>
      <w:bookmarkEnd w:id="300"/>
    </w:p>
    <w:p>
      <w:pPr>
        <w:pStyle w:val="26"/>
        <w:spacing w:before="0" w:beforeAutospacing="0" w:after="0" w:afterAutospacing="0" w:line="360" w:lineRule="auto"/>
        <w:ind w:firstLine="420" w:firstLineChars="200"/>
        <w:contextualSpacing/>
        <w:rPr>
          <w:rFonts w:cs="宋体"/>
          <w:sz w:val="21"/>
          <w:szCs w:val="21"/>
        </w:rPr>
      </w:pPr>
      <w:r>
        <w:rPr>
          <w:rFonts w:hint="eastAsia"/>
          <w:sz w:val="21"/>
          <w:szCs w:val="21"/>
        </w:rPr>
        <w:t>本</w:t>
      </w:r>
      <w:r>
        <w:rPr>
          <w:rFonts w:hint="eastAsia" w:cs="宋体"/>
          <w:sz w:val="21"/>
          <w:szCs w:val="21"/>
        </w:rPr>
        <w:t>本公司（联合体）郑重声明，根据《政府采购促进中小企业发展管理办法》（财库﹝2020﹞46 号）的规定本公司（联合体）参加</w:t>
      </w:r>
      <w:r>
        <w:rPr>
          <w:rFonts w:hint="eastAsia" w:cs="宋体"/>
          <w:sz w:val="21"/>
          <w:szCs w:val="21"/>
          <w:u w:val="single"/>
        </w:rPr>
        <w:t>（单位名称）</w:t>
      </w:r>
      <w:r>
        <w:rPr>
          <w:rFonts w:hint="eastAsia" w:cs="宋体"/>
          <w:sz w:val="21"/>
          <w:szCs w:val="21"/>
        </w:rPr>
        <w:t>的</w:t>
      </w:r>
      <w:r>
        <w:rPr>
          <w:rFonts w:hint="eastAsia" w:cs="宋体"/>
          <w:sz w:val="21"/>
          <w:szCs w:val="21"/>
          <w:u w:val="single"/>
        </w:rPr>
        <w:t>（项目名称）</w:t>
      </w:r>
      <w:r>
        <w:rPr>
          <w:rFonts w:hint="eastAsia" w:cs="宋体"/>
          <w:sz w:val="21"/>
          <w:szCs w:val="21"/>
        </w:rPr>
        <w:t>采购活动，工程的施工单位全部为符合政策要求的中小企业（或者：服务全部由符合政策要求的中小企业承接）。相关企业（含联合体中的中小企业、签订分包意向协议的中小企业）的具体情况如下：</w:t>
      </w:r>
    </w:p>
    <w:p>
      <w:pPr>
        <w:pStyle w:val="26"/>
        <w:spacing w:before="0" w:beforeAutospacing="0" w:after="0" w:afterAutospacing="0" w:line="360" w:lineRule="auto"/>
        <w:ind w:firstLine="420" w:firstLineChars="200"/>
        <w:contextualSpacing/>
        <w:rPr>
          <w:rFonts w:cs="宋体"/>
          <w:sz w:val="21"/>
          <w:szCs w:val="21"/>
        </w:rPr>
      </w:pPr>
      <w:r>
        <w:rPr>
          <w:rFonts w:cs="宋体"/>
          <w:sz w:val="21"/>
          <w:szCs w:val="21"/>
        </w:rPr>
        <w:t>1.</w:t>
      </w:r>
      <w:r>
        <w:rPr>
          <w:rFonts w:hint="eastAsia" w:cs="宋体"/>
          <w:sz w:val="21"/>
          <w:szCs w:val="21"/>
          <w:u w:val="single"/>
        </w:rPr>
        <w:t>（标的名称）</w:t>
      </w:r>
      <w:r>
        <w:rPr>
          <w:rFonts w:hint="eastAsia" w:cs="宋体"/>
          <w:sz w:val="21"/>
          <w:szCs w:val="21"/>
        </w:rPr>
        <w:t xml:space="preserve"> ，属于</w:t>
      </w:r>
      <w:r>
        <w:rPr>
          <w:rFonts w:hint="eastAsia" w:cs="宋体"/>
          <w:sz w:val="21"/>
          <w:szCs w:val="21"/>
          <w:u w:val="single"/>
        </w:rPr>
        <w:t>（采购文件中明确的所属行业）</w:t>
      </w:r>
      <w:r>
        <w:rPr>
          <w:rFonts w:hint="eastAsia" w:cs="宋体"/>
          <w:sz w:val="21"/>
          <w:szCs w:val="21"/>
        </w:rPr>
        <w:t>；承建（承接）企业为</w:t>
      </w:r>
      <w:r>
        <w:rPr>
          <w:rFonts w:hint="eastAsia" w:cs="宋体"/>
          <w:sz w:val="21"/>
          <w:szCs w:val="21"/>
          <w:u w:val="single"/>
        </w:rPr>
        <w:t>（企业名称）</w:t>
      </w:r>
      <w:r>
        <w:rPr>
          <w:rFonts w:hint="eastAsia" w:cs="宋体"/>
          <w:sz w:val="21"/>
          <w:szCs w:val="21"/>
        </w:rPr>
        <w:t>，从业人员</w:t>
      </w:r>
      <w:r>
        <w:rPr>
          <w:rFonts w:hint="eastAsia" w:cs="宋体"/>
          <w:sz w:val="21"/>
          <w:szCs w:val="21"/>
          <w:u w:val="single"/>
        </w:rPr>
        <w:t xml:space="preserve"> </w:t>
      </w:r>
      <w:r>
        <w:rPr>
          <w:rFonts w:cs="宋体"/>
          <w:sz w:val="21"/>
          <w:szCs w:val="21"/>
          <w:u w:val="single"/>
        </w:rPr>
        <w:t xml:space="preserve">     </w:t>
      </w:r>
      <w:r>
        <w:rPr>
          <w:rFonts w:hint="eastAsia" w:cs="宋体"/>
          <w:sz w:val="21"/>
          <w:szCs w:val="21"/>
        </w:rPr>
        <w:t>人，营业收入为</w:t>
      </w:r>
      <w:r>
        <w:rPr>
          <w:rFonts w:hint="eastAsia" w:cs="宋体"/>
          <w:sz w:val="21"/>
          <w:szCs w:val="21"/>
          <w:u w:val="single"/>
        </w:rPr>
        <w:t xml:space="preserve"> </w:t>
      </w:r>
      <w:r>
        <w:rPr>
          <w:rFonts w:cs="宋体"/>
          <w:sz w:val="21"/>
          <w:szCs w:val="21"/>
          <w:u w:val="single"/>
        </w:rPr>
        <w:t xml:space="preserve">     </w:t>
      </w:r>
      <w:r>
        <w:rPr>
          <w:rFonts w:hint="eastAsia" w:cs="宋体"/>
          <w:sz w:val="21"/>
          <w:szCs w:val="21"/>
        </w:rPr>
        <w:t>万元，资产总额为</w:t>
      </w:r>
      <w:r>
        <w:rPr>
          <w:rFonts w:hint="eastAsia" w:cs="宋体"/>
          <w:sz w:val="21"/>
          <w:szCs w:val="21"/>
          <w:u w:val="single"/>
        </w:rPr>
        <w:t xml:space="preserve"> </w:t>
      </w:r>
      <w:r>
        <w:rPr>
          <w:rFonts w:cs="宋体"/>
          <w:sz w:val="21"/>
          <w:szCs w:val="21"/>
          <w:u w:val="single"/>
        </w:rPr>
        <w:t xml:space="preserve">    </w:t>
      </w:r>
      <w:r>
        <w:rPr>
          <w:rFonts w:hint="eastAsia" w:cs="宋体"/>
          <w:sz w:val="21"/>
          <w:szCs w:val="21"/>
        </w:rPr>
        <w:t>万元，属于</w:t>
      </w:r>
      <w:r>
        <w:rPr>
          <w:rFonts w:hint="eastAsia" w:cs="宋体"/>
          <w:sz w:val="21"/>
          <w:szCs w:val="21"/>
          <w:u w:val="single"/>
        </w:rPr>
        <w:t>（中型企业、小型企业、微型企业）</w:t>
      </w:r>
      <w:r>
        <w:rPr>
          <w:rFonts w:hint="eastAsia" w:cs="宋体"/>
          <w:sz w:val="21"/>
          <w:szCs w:val="21"/>
        </w:rPr>
        <w:t>；</w:t>
      </w:r>
    </w:p>
    <w:p>
      <w:pPr>
        <w:pStyle w:val="26"/>
        <w:spacing w:before="0" w:beforeAutospacing="0" w:after="0" w:afterAutospacing="0" w:line="360" w:lineRule="auto"/>
        <w:ind w:firstLine="420" w:firstLineChars="200"/>
        <w:contextualSpacing/>
        <w:rPr>
          <w:rFonts w:cs="宋体"/>
          <w:sz w:val="21"/>
          <w:szCs w:val="21"/>
        </w:rPr>
      </w:pPr>
      <w:r>
        <w:rPr>
          <w:rFonts w:hint="eastAsia" w:cs="宋体"/>
          <w:sz w:val="21"/>
          <w:szCs w:val="21"/>
        </w:rPr>
        <w:t>2</w:t>
      </w:r>
      <w:r>
        <w:rPr>
          <w:rFonts w:cs="宋体"/>
          <w:sz w:val="21"/>
          <w:szCs w:val="21"/>
        </w:rPr>
        <w:t>.</w:t>
      </w:r>
      <w:r>
        <w:rPr>
          <w:rFonts w:hint="eastAsia" w:cs="宋体"/>
          <w:sz w:val="21"/>
          <w:szCs w:val="21"/>
          <w:u w:val="single"/>
        </w:rPr>
        <w:t>（标的名称）</w:t>
      </w:r>
      <w:r>
        <w:rPr>
          <w:rFonts w:hint="eastAsia" w:cs="宋体"/>
          <w:sz w:val="21"/>
          <w:szCs w:val="21"/>
        </w:rPr>
        <w:t xml:space="preserve"> ，属于</w:t>
      </w:r>
      <w:r>
        <w:rPr>
          <w:rFonts w:hint="eastAsia" w:cs="宋体"/>
          <w:sz w:val="21"/>
          <w:szCs w:val="21"/>
          <w:u w:val="single"/>
        </w:rPr>
        <w:t>（采购文件中明确的所属行业）</w:t>
      </w:r>
      <w:r>
        <w:rPr>
          <w:rFonts w:hint="eastAsia" w:cs="宋体"/>
          <w:sz w:val="21"/>
          <w:szCs w:val="21"/>
        </w:rPr>
        <w:t>；承建（承接）企业为</w:t>
      </w:r>
      <w:r>
        <w:rPr>
          <w:rFonts w:hint="eastAsia" w:cs="宋体"/>
          <w:sz w:val="21"/>
          <w:szCs w:val="21"/>
          <w:u w:val="single"/>
        </w:rPr>
        <w:t>（企业名称）</w:t>
      </w:r>
      <w:r>
        <w:rPr>
          <w:rFonts w:hint="eastAsia" w:cs="宋体"/>
          <w:sz w:val="21"/>
          <w:szCs w:val="21"/>
        </w:rPr>
        <w:t>，从业人员</w:t>
      </w:r>
      <w:r>
        <w:rPr>
          <w:rFonts w:hint="eastAsia" w:cs="宋体"/>
          <w:sz w:val="21"/>
          <w:szCs w:val="21"/>
          <w:u w:val="single"/>
        </w:rPr>
        <w:t xml:space="preserve"> </w:t>
      </w:r>
      <w:r>
        <w:rPr>
          <w:rFonts w:cs="宋体"/>
          <w:sz w:val="21"/>
          <w:szCs w:val="21"/>
          <w:u w:val="single"/>
        </w:rPr>
        <w:t xml:space="preserve">     </w:t>
      </w:r>
      <w:r>
        <w:rPr>
          <w:rFonts w:hint="eastAsia" w:cs="宋体"/>
          <w:sz w:val="21"/>
          <w:szCs w:val="21"/>
        </w:rPr>
        <w:t>人，营业收入为</w:t>
      </w:r>
      <w:r>
        <w:rPr>
          <w:rFonts w:hint="eastAsia" w:cs="宋体"/>
          <w:sz w:val="21"/>
          <w:szCs w:val="21"/>
          <w:u w:val="single"/>
        </w:rPr>
        <w:t xml:space="preserve"> </w:t>
      </w:r>
      <w:r>
        <w:rPr>
          <w:rFonts w:cs="宋体"/>
          <w:sz w:val="21"/>
          <w:szCs w:val="21"/>
          <w:u w:val="single"/>
        </w:rPr>
        <w:t xml:space="preserve">     </w:t>
      </w:r>
      <w:r>
        <w:rPr>
          <w:rFonts w:hint="eastAsia" w:cs="宋体"/>
          <w:sz w:val="21"/>
          <w:szCs w:val="21"/>
        </w:rPr>
        <w:t>万元，资产总额为</w:t>
      </w:r>
      <w:r>
        <w:rPr>
          <w:rFonts w:hint="eastAsia" w:cs="宋体"/>
          <w:sz w:val="21"/>
          <w:szCs w:val="21"/>
          <w:u w:val="single"/>
        </w:rPr>
        <w:t xml:space="preserve"> </w:t>
      </w:r>
      <w:r>
        <w:rPr>
          <w:rFonts w:cs="宋体"/>
          <w:sz w:val="21"/>
          <w:szCs w:val="21"/>
          <w:u w:val="single"/>
        </w:rPr>
        <w:t xml:space="preserve">    </w:t>
      </w:r>
      <w:r>
        <w:rPr>
          <w:rFonts w:hint="eastAsia" w:cs="宋体"/>
          <w:sz w:val="21"/>
          <w:szCs w:val="21"/>
        </w:rPr>
        <w:t>万元，属于</w:t>
      </w:r>
      <w:r>
        <w:rPr>
          <w:rFonts w:hint="eastAsia" w:cs="宋体"/>
          <w:sz w:val="21"/>
          <w:szCs w:val="21"/>
          <w:u w:val="single"/>
        </w:rPr>
        <w:t>（中型企业、小型企业、微型企业）</w:t>
      </w:r>
      <w:r>
        <w:rPr>
          <w:rFonts w:hint="eastAsia" w:cs="宋体"/>
          <w:sz w:val="21"/>
          <w:szCs w:val="21"/>
        </w:rPr>
        <w:t>；</w:t>
      </w:r>
    </w:p>
    <w:p>
      <w:pPr>
        <w:pStyle w:val="26"/>
        <w:spacing w:before="0" w:beforeAutospacing="0" w:after="0" w:afterAutospacing="0" w:line="360" w:lineRule="auto"/>
        <w:ind w:firstLine="420" w:firstLineChars="200"/>
        <w:contextualSpacing/>
        <w:rPr>
          <w:rFonts w:cs="宋体"/>
          <w:sz w:val="21"/>
          <w:szCs w:val="21"/>
        </w:rPr>
      </w:pPr>
      <w:r>
        <w:rPr>
          <w:rFonts w:hint="eastAsia" w:cs="宋体"/>
          <w:sz w:val="21"/>
          <w:szCs w:val="21"/>
        </w:rPr>
        <w:t>以上企业，不属于大企业的分支机构，不存在控股股东为大企业的情形，也不存在与大企业的负责人为同一人的情形。</w:t>
      </w:r>
    </w:p>
    <w:p>
      <w:pPr>
        <w:pStyle w:val="26"/>
        <w:spacing w:before="0" w:beforeAutospacing="0" w:after="0" w:afterAutospacing="0" w:line="360" w:lineRule="auto"/>
        <w:ind w:firstLine="420" w:firstLineChars="200"/>
        <w:contextualSpacing/>
        <w:rPr>
          <w:rFonts w:cs="宋体"/>
          <w:sz w:val="21"/>
          <w:szCs w:val="21"/>
        </w:rPr>
      </w:pPr>
      <w:r>
        <w:rPr>
          <w:rFonts w:cs="宋体"/>
          <w:sz w:val="21"/>
          <w:szCs w:val="21"/>
        </w:rPr>
        <w:t>本企业对上述声明内容的真实性负责。如有虚假，将依法承担相应责任。</w:t>
      </w:r>
    </w:p>
    <w:p/>
    <w:p>
      <w:pPr>
        <w:pStyle w:val="26"/>
        <w:spacing w:before="0" w:beforeAutospacing="0" w:after="0" w:afterAutospacing="0" w:line="360" w:lineRule="auto"/>
        <w:ind w:firstLine="420" w:firstLineChars="200"/>
        <w:contextualSpacing/>
        <w:rPr>
          <w:rFonts w:cs="宋体"/>
          <w:sz w:val="21"/>
          <w:szCs w:val="21"/>
        </w:rPr>
      </w:pPr>
      <w:r>
        <w:rPr>
          <w:rFonts w:cs="宋体"/>
          <w:sz w:val="21"/>
          <w:szCs w:val="21"/>
        </w:rPr>
        <w:t>供应商名称（加盖单位公章）：</w:t>
      </w:r>
    </w:p>
    <w:p>
      <w:pPr>
        <w:pStyle w:val="26"/>
        <w:spacing w:before="0" w:beforeAutospacing="0" w:after="0" w:afterAutospacing="0" w:line="360" w:lineRule="auto"/>
        <w:ind w:firstLine="420" w:firstLineChars="200"/>
        <w:contextualSpacing/>
        <w:rPr>
          <w:rFonts w:cs="宋体"/>
          <w:sz w:val="21"/>
          <w:szCs w:val="21"/>
        </w:rPr>
      </w:pPr>
      <w:r>
        <w:rPr>
          <w:rFonts w:hint="eastAsia" w:cs="宋体"/>
          <w:sz w:val="21"/>
          <w:szCs w:val="21"/>
        </w:rPr>
        <w:t>日   期：　　</w:t>
      </w:r>
    </w:p>
    <w:p>
      <w:pPr>
        <w:pStyle w:val="26"/>
        <w:spacing w:before="0" w:beforeAutospacing="0" w:after="0" w:afterAutospacing="0" w:line="360" w:lineRule="auto"/>
        <w:ind w:firstLine="420" w:firstLineChars="200"/>
        <w:contextualSpacing/>
        <w:rPr>
          <w:rFonts w:cs="宋体"/>
          <w:sz w:val="21"/>
          <w:szCs w:val="21"/>
        </w:rPr>
      </w:pPr>
    </w:p>
    <w:p>
      <w:pPr>
        <w:pStyle w:val="26"/>
        <w:widowControl w:val="0"/>
        <w:spacing w:before="0" w:beforeAutospacing="0" w:after="0" w:afterAutospacing="0" w:line="336" w:lineRule="auto"/>
        <w:ind w:firstLine="422" w:firstLineChars="200"/>
        <w:contextualSpacing/>
        <w:rPr>
          <w:rFonts w:cs="宋体"/>
          <w:b/>
          <w:bCs/>
          <w:sz w:val="21"/>
          <w:szCs w:val="21"/>
        </w:rPr>
      </w:pPr>
      <w:r>
        <w:rPr>
          <w:rFonts w:hint="eastAsia" w:cs="宋体"/>
          <w:b/>
          <w:bCs/>
          <w:sz w:val="21"/>
          <w:szCs w:val="21"/>
        </w:rPr>
        <w:t>注：①本项目所采购标的所属行业为：</w:t>
      </w:r>
      <w:r>
        <w:rPr>
          <w:rFonts w:hint="eastAsia" w:cs="宋体"/>
          <w:b/>
          <w:bCs/>
          <w:sz w:val="21"/>
          <w:szCs w:val="21"/>
          <w:u w:val="single"/>
        </w:rPr>
        <w:t>软件和信息技术服务业</w:t>
      </w:r>
      <w:r>
        <w:rPr>
          <w:rFonts w:hint="eastAsia" w:cs="宋体"/>
          <w:b/>
          <w:bCs/>
          <w:sz w:val="21"/>
          <w:szCs w:val="21"/>
        </w:rPr>
        <w:t>。</w:t>
      </w:r>
    </w:p>
    <w:p>
      <w:pPr>
        <w:pStyle w:val="26"/>
        <w:widowControl w:val="0"/>
        <w:spacing w:before="0" w:beforeAutospacing="0" w:after="0" w:afterAutospacing="0" w:line="336" w:lineRule="auto"/>
        <w:ind w:right="-286" w:rightChars="-136" w:firstLine="422" w:firstLineChars="200"/>
        <w:contextualSpacing/>
        <w:rPr>
          <w:rFonts w:cs="宋体"/>
          <w:b/>
          <w:bCs/>
          <w:sz w:val="21"/>
          <w:szCs w:val="21"/>
        </w:rPr>
      </w:pPr>
      <w:r>
        <w:rPr>
          <w:rFonts w:hint="eastAsia" w:cs="宋体"/>
          <w:b/>
          <w:bCs/>
          <w:sz w:val="21"/>
          <w:szCs w:val="21"/>
        </w:rPr>
        <w:t>②从业人员、营业收入、资产总额填报上一年度数据，无上一年度数据的新成立企业可不填报。</w:t>
      </w:r>
    </w:p>
    <w:p>
      <w:pPr>
        <w:pStyle w:val="26"/>
        <w:widowControl w:val="0"/>
        <w:spacing w:before="0" w:beforeAutospacing="0" w:after="0" w:afterAutospacing="0" w:line="336" w:lineRule="auto"/>
        <w:ind w:firstLine="422" w:firstLineChars="200"/>
        <w:contextualSpacing/>
        <w:rPr>
          <w:rFonts w:cs="宋体"/>
          <w:b/>
          <w:bCs/>
          <w:sz w:val="21"/>
          <w:szCs w:val="21"/>
        </w:rPr>
      </w:pPr>
      <w:r>
        <w:rPr>
          <w:rFonts w:hint="eastAsia" w:cs="宋体"/>
          <w:b/>
          <w:bCs/>
          <w:sz w:val="21"/>
          <w:szCs w:val="21"/>
        </w:rPr>
        <w:t>③采购代理机构在随中标、成交结果同时公告其《中小企业声明函》，接受社会监督。供应商提供的《中小企业声明函》与事实不符的，按照《中华人民共和国政府采购法》等国家有规定追究相应责任。</w:t>
      </w:r>
    </w:p>
    <w:p>
      <w:pPr>
        <w:spacing w:line="440" w:lineRule="exact"/>
        <w:rPr>
          <w:rFonts w:asciiTheme="minorEastAsia" w:hAnsiTheme="minorEastAsia" w:eastAsiaTheme="minorEastAsia"/>
          <w:b/>
          <w:snapToGrid/>
          <w:kern w:val="0"/>
          <w:sz w:val="28"/>
          <w:szCs w:val="28"/>
        </w:rPr>
      </w:pPr>
      <w:bookmarkStart w:id="301" w:name="_Toc6496678"/>
      <w:r>
        <w:rPr>
          <w:rFonts w:hint="eastAsia" w:asciiTheme="minorEastAsia" w:hAnsiTheme="minorEastAsia" w:eastAsiaTheme="minorEastAsia"/>
          <w:b/>
          <w:snapToGrid/>
          <w:kern w:val="0"/>
          <w:sz w:val="28"/>
          <w:szCs w:val="28"/>
        </w:rPr>
        <w:t>格式</w:t>
      </w:r>
      <w:r>
        <w:rPr>
          <w:rFonts w:asciiTheme="minorEastAsia" w:hAnsiTheme="minorEastAsia" w:eastAsiaTheme="minorEastAsia"/>
          <w:b/>
          <w:snapToGrid/>
          <w:kern w:val="0"/>
          <w:sz w:val="28"/>
          <w:szCs w:val="28"/>
        </w:rPr>
        <w:t>3</w:t>
      </w:r>
      <w:r>
        <w:rPr>
          <w:rFonts w:hint="eastAsia" w:asciiTheme="minorEastAsia" w:hAnsiTheme="minorEastAsia" w:eastAsiaTheme="minorEastAsia"/>
          <w:b/>
          <w:snapToGrid/>
          <w:kern w:val="0"/>
          <w:sz w:val="28"/>
          <w:szCs w:val="28"/>
        </w:rPr>
        <w:t>-</w:t>
      </w:r>
      <w:bookmarkEnd w:id="301"/>
      <w:r>
        <w:rPr>
          <w:rFonts w:hint="eastAsia" w:asciiTheme="minorEastAsia" w:hAnsiTheme="minorEastAsia" w:eastAsiaTheme="minorEastAsia"/>
          <w:b/>
          <w:snapToGrid/>
          <w:kern w:val="0"/>
          <w:sz w:val="28"/>
          <w:szCs w:val="28"/>
        </w:rPr>
        <w:t>1</w:t>
      </w:r>
      <w:r>
        <w:rPr>
          <w:rFonts w:asciiTheme="minorEastAsia" w:hAnsiTheme="minorEastAsia" w:eastAsiaTheme="minorEastAsia"/>
          <w:b/>
          <w:snapToGrid/>
          <w:kern w:val="0"/>
          <w:sz w:val="28"/>
          <w:szCs w:val="28"/>
        </w:rPr>
        <w:t>1</w:t>
      </w:r>
    </w:p>
    <w:p>
      <w:pPr>
        <w:pStyle w:val="6"/>
        <w:spacing w:before="240" w:after="240" w:line="360" w:lineRule="auto"/>
        <w:ind w:firstLine="0"/>
        <w:jc w:val="center"/>
        <w:rPr>
          <w:rFonts w:hint="default" w:hAnsi="黑体"/>
          <w:kern w:val="0"/>
          <w:szCs w:val="30"/>
          <w:lang w:val="en-US" w:eastAsia="zh-CN"/>
        </w:rPr>
      </w:pPr>
      <w:bookmarkStart w:id="302" w:name="_Toc46924584"/>
      <w:bookmarkStart w:id="303" w:name="_Toc72489574"/>
      <w:r>
        <w:rPr>
          <w:rFonts w:hAnsi="黑体"/>
          <w:kern w:val="0"/>
          <w:szCs w:val="30"/>
          <w:lang w:val="en-US" w:eastAsia="zh-CN"/>
        </w:rPr>
        <w:t>《监狱企业证明文件》</w:t>
      </w:r>
      <w:bookmarkEnd w:id="302"/>
      <w:bookmarkEnd w:id="303"/>
    </w:p>
    <w:p>
      <w:pPr>
        <w:spacing w:line="360" w:lineRule="auto"/>
        <w:ind w:right="-2"/>
        <w:jc w:val="center"/>
        <w:rPr>
          <w:rFonts w:hAnsi="宋体"/>
          <w:b/>
          <w:bCs/>
          <w:szCs w:val="21"/>
        </w:rPr>
      </w:pPr>
      <w:r>
        <w:rPr>
          <w:rFonts w:hAnsi="宋体"/>
          <w:b/>
          <w:bCs/>
          <w:szCs w:val="21"/>
        </w:rPr>
        <w:t>符合《财政部 司法部关于政府采购支持监狱企业发展有关问题的通知》（财库[2014]68号）价格扣减条件的供应商</w:t>
      </w:r>
      <w:r>
        <w:rPr>
          <w:rFonts w:hint="eastAsia" w:hAnsi="宋体"/>
          <w:b/>
          <w:bCs/>
          <w:szCs w:val="21"/>
        </w:rPr>
        <w:t>提供</w:t>
      </w:r>
    </w:p>
    <w:p>
      <w:pPr>
        <w:spacing w:before="312" w:beforeLines="100" w:line="360" w:lineRule="auto"/>
        <w:jc w:val="center"/>
        <w:rPr>
          <w:rFonts w:ascii="黑体" w:hAnsi="黑体" w:eastAsia="黑体"/>
          <w:bCs/>
          <w:snapToGrid/>
          <w:kern w:val="0"/>
          <w:sz w:val="30"/>
          <w:szCs w:val="30"/>
        </w:rPr>
      </w:pPr>
      <w:bookmarkStart w:id="304" w:name="_Toc6496679"/>
      <w:r>
        <w:rPr>
          <w:rFonts w:ascii="黑体" w:hAnsi="黑体" w:eastAsia="黑体"/>
          <w:bCs/>
          <w:snapToGrid/>
          <w:kern w:val="0"/>
          <w:sz w:val="30"/>
          <w:szCs w:val="30"/>
        </w:rPr>
        <w:t>监狱企业证明文件</w:t>
      </w:r>
      <w:bookmarkEnd w:id="304"/>
    </w:p>
    <w:p>
      <w:pPr>
        <w:spacing w:line="360" w:lineRule="auto"/>
        <w:ind w:firstLine="420" w:firstLineChars="200"/>
        <w:jc w:val="left"/>
        <w:rPr>
          <w:rFonts w:hAnsi="宋体"/>
          <w:szCs w:val="21"/>
        </w:rPr>
      </w:pPr>
      <w:r>
        <w:rPr>
          <w:rFonts w:hint="eastAsia" w:hAnsi="宋体"/>
          <w:szCs w:val="21"/>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spacing w:line="360" w:lineRule="auto"/>
        <w:ind w:firstLine="420" w:firstLineChars="200"/>
        <w:jc w:val="left"/>
        <w:rPr>
          <w:rFonts w:hAnsi="宋体"/>
          <w:szCs w:val="21"/>
        </w:rPr>
      </w:pPr>
      <w:r>
        <w:rPr>
          <w:rFonts w:hint="eastAsia" w:hAnsi="宋体"/>
          <w:szCs w:val="21"/>
        </w:rPr>
        <w:t>监狱企业参加政府采购活动时，应当提供由省级以上监狱管理局、戒毒管理局（含新疆生产建设兵团）出具的属于监狱企业的证明文件。</w:t>
      </w:r>
    </w:p>
    <w:p>
      <w:pPr>
        <w:widowControl/>
        <w:spacing w:line="360" w:lineRule="auto"/>
        <w:ind w:firstLine="422" w:firstLineChars="200"/>
        <w:jc w:val="left"/>
        <w:rPr>
          <w:rFonts w:hAnsi="宋体"/>
          <w:b/>
          <w:szCs w:val="21"/>
        </w:rPr>
      </w:pPr>
    </w:p>
    <w:p>
      <w:pPr>
        <w:widowControl/>
        <w:spacing w:line="360" w:lineRule="auto"/>
        <w:ind w:firstLine="422" w:firstLineChars="200"/>
        <w:jc w:val="left"/>
        <w:rPr>
          <w:rFonts w:hAnsi="宋体"/>
          <w:b/>
          <w:szCs w:val="21"/>
        </w:rPr>
      </w:pPr>
      <w:r>
        <w:rPr>
          <w:rFonts w:hint="eastAsia" w:hAnsi="宋体"/>
          <w:b/>
          <w:szCs w:val="21"/>
        </w:rPr>
        <w:t>注：符合条件的监狱企业在参加政府采购活动时，应当按《财政部 司法部关于政府采购支持监狱企业发展有关问题的通知》（财库[2014]68号）提供规定的《监狱企业证明文件》，并对声明的真实性负责。</w:t>
      </w:r>
    </w:p>
    <w:p/>
    <w:p/>
    <w:p/>
    <w:p/>
    <w:p/>
    <w:p/>
    <w:p/>
    <w:p/>
    <w:p/>
    <w:p/>
    <w:p/>
    <w:p/>
    <w:p/>
    <w:p/>
    <w:p/>
    <w:p>
      <w:pPr>
        <w:spacing w:line="440" w:lineRule="exact"/>
        <w:rPr>
          <w:rFonts w:asciiTheme="minorEastAsia" w:hAnsiTheme="minorEastAsia" w:eastAsiaTheme="minorEastAsia"/>
          <w:b/>
          <w:snapToGrid/>
          <w:kern w:val="0"/>
          <w:sz w:val="28"/>
          <w:szCs w:val="28"/>
        </w:rPr>
      </w:pPr>
      <w:bookmarkStart w:id="305" w:name="_Toc6496680"/>
      <w:r>
        <w:rPr>
          <w:rFonts w:hint="eastAsia" w:asciiTheme="minorEastAsia" w:hAnsiTheme="minorEastAsia" w:eastAsiaTheme="minorEastAsia"/>
          <w:b/>
          <w:snapToGrid/>
          <w:kern w:val="0"/>
          <w:sz w:val="28"/>
          <w:szCs w:val="28"/>
        </w:rPr>
        <w:t>格式</w:t>
      </w:r>
      <w:r>
        <w:rPr>
          <w:rFonts w:asciiTheme="minorEastAsia" w:hAnsiTheme="minorEastAsia" w:eastAsiaTheme="minorEastAsia"/>
          <w:b/>
          <w:snapToGrid/>
          <w:kern w:val="0"/>
          <w:sz w:val="28"/>
          <w:szCs w:val="28"/>
        </w:rPr>
        <w:t>3</w:t>
      </w:r>
      <w:r>
        <w:rPr>
          <w:rFonts w:hint="eastAsia" w:asciiTheme="minorEastAsia" w:hAnsiTheme="minorEastAsia" w:eastAsiaTheme="minorEastAsia"/>
          <w:b/>
          <w:snapToGrid/>
          <w:kern w:val="0"/>
          <w:sz w:val="28"/>
          <w:szCs w:val="28"/>
        </w:rPr>
        <w:t>-</w:t>
      </w:r>
      <w:bookmarkEnd w:id="305"/>
      <w:r>
        <w:rPr>
          <w:rFonts w:hint="eastAsia" w:asciiTheme="minorEastAsia" w:hAnsiTheme="minorEastAsia" w:eastAsiaTheme="minorEastAsia"/>
          <w:b/>
          <w:snapToGrid/>
          <w:kern w:val="0"/>
          <w:sz w:val="28"/>
          <w:szCs w:val="28"/>
        </w:rPr>
        <w:t>1</w:t>
      </w:r>
      <w:r>
        <w:rPr>
          <w:rFonts w:asciiTheme="minorEastAsia" w:hAnsiTheme="minorEastAsia" w:eastAsiaTheme="minorEastAsia"/>
          <w:b/>
          <w:snapToGrid/>
          <w:kern w:val="0"/>
          <w:sz w:val="28"/>
          <w:szCs w:val="28"/>
        </w:rPr>
        <w:t>2</w:t>
      </w:r>
    </w:p>
    <w:p>
      <w:pPr>
        <w:pStyle w:val="6"/>
        <w:spacing w:before="240" w:after="240" w:line="360" w:lineRule="auto"/>
        <w:ind w:firstLine="0"/>
        <w:jc w:val="center"/>
        <w:rPr>
          <w:rFonts w:hint="default" w:hAnsi="黑体"/>
          <w:kern w:val="0"/>
          <w:szCs w:val="30"/>
          <w:lang w:val="en-US" w:eastAsia="zh-CN"/>
        </w:rPr>
      </w:pPr>
      <w:bookmarkStart w:id="306" w:name="_Toc46924585"/>
      <w:bookmarkStart w:id="307" w:name="_Toc72489575"/>
      <w:r>
        <w:rPr>
          <w:rFonts w:hAnsi="黑体"/>
          <w:kern w:val="0"/>
          <w:szCs w:val="30"/>
          <w:lang w:val="en-US" w:eastAsia="zh-CN"/>
        </w:rPr>
        <w:t>《残疾人福利性单位声明函》</w:t>
      </w:r>
      <w:bookmarkEnd w:id="306"/>
      <w:bookmarkEnd w:id="307"/>
    </w:p>
    <w:p>
      <w:pPr>
        <w:spacing w:line="360" w:lineRule="auto"/>
        <w:ind w:right="-2"/>
        <w:jc w:val="center"/>
        <w:rPr>
          <w:rFonts w:hAnsi="宋体"/>
          <w:b/>
          <w:bCs/>
          <w:szCs w:val="21"/>
        </w:rPr>
      </w:pPr>
      <w:r>
        <w:rPr>
          <w:rFonts w:hAnsi="宋体"/>
          <w:b/>
          <w:bCs/>
          <w:szCs w:val="21"/>
        </w:rPr>
        <w:t>符合《关于促进残疾人就业政府采购政策的通知》（财库〔2017〕141号）价格扣减条件的供应商提</w:t>
      </w:r>
      <w:r>
        <w:rPr>
          <w:rFonts w:hint="eastAsia" w:hAnsi="宋体"/>
          <w:b/>
          <w:bCs/>
          <w:szCs w:val="21"/>
        </w:rPr>
        <w:t>供</w:t>
      </w:r>
    </w:p>
    <w:p>
      <w:pPr>
        <w:spacing w:before="312" w:beforeLines="100" w:line="360" w:lineRule="auto"/>
        <w:jc w:val="center"/>
        <w:rPr>
          <w:rFonts w:ascii="黑体" w:hAnsi="黑体" w:eastAsia="黑体"/>
          <w:bCs/>
          <w:snapToGrid/>
          <w:kern w:val="0"/>
          <w:sz w:val="30"/>
          <w:szCs w:val="30"/>
        </w:rPr>
      </w:pPr>
      <w:bookmarkStart w:id="308" w:name="_Toc6496681"/>
      <w:bookmarkStart w:id="309" w:name="OLE_LINK13"/>
      <w:bookmarkStart w:id="310" w:name="OLE_LINK14"/>
      <w:r>
        <w:rPr>
          <w:rFonts w:hint="eastAsia" w:ascii="黑体" w:hAnsi="黑体" w:eastAsia="黑体"/>
          <w:bCs/>
          <w:snapToGrid/>
          <w:kern w:val="0"/>
          <w:sz w:val="30"/>
          <w:szCs w:val="30"/>
        </w:rPr>
        <w:t>残疾人福利性单位声明函</w:t>
      </w:r>
      <w:bookmarkEnd w:id="308"/>
    </w:p>
    <w:bookmarkEnd w:id="309"/>
    <w:bookmarkEnd w:id="310"/>
    <w:p>
      <w:pPr>
        <w:spacing w:line="360" w:lineRule="auto"/>
        <w:ind w:firstLine="444" w:firstLineChars="200"/>
        <w:rPr>
          <w:rFonts w:hAnsi="宋体"/>
          <w:spacing w:val="6"/>
          <w:szCs w:val="21"/>
        </w:rPr>
      </w:pPr>
      <w:r>
        <w:rPr>
          <w:rFonts w:hint="eastAsia" w:hAnsi="宋体"/>
          <w:spacing w:val="6"/>
          <w:szCs w:val="21"/>
        </w:rPr>
        <w:t>本单位郑重声明，根据《财政部 民政部 中国残疾人联合会关于促进残疾人就业政府采购政策的通知》（财库</w:t>
      </w:r>
      <w:r>
        <w:rPr>
          <w:rFonts w:hint="eastAsia" w:hAnsi="宋体"/>
          <w:szCs w:val="21"/>
        </w:rPr>
        <w:t>〔2017〕141</w:t>
      </w:r>
      <w:r>
        <w:rPr>
          <w:rFonts w:hint="eastAsia"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360" w:lineRule="auto"/>
        <w:ind w:firstLine="444" w:firstLineChars="200"/>
        <w:rPr>
          <w:rFonts w:hAnsi="宋体"/>
          <w:spacing w:val="6"/>
          <w:szCs w:val="21"/>
        </w:rPr>
      </w:pPr>
      <w:r>
        <w:rPr>
          <w:rFonts w:hint="eastAsia" w:hAnsi="宋体"/>
          <w:spacing w:val="6"/>
          <w:szCs w:val="21"/>
        </w:rPr>
        <w:t>本单位对上述声明的真实性负责。如有虚假，将依法承担相应责任。</w:t>
      </w:r>
    </w:p>
    <w:p>
      <w:pPr>
        <w:spacing w:line="360" w:lineRule="auto"/>
        <w:ind w:firstLine="444" w:firstLineChars="200"/>
        <w:rPr>
          <w:rFonts w:hAnsi="宋体"/>
          <w:spacing w:val="6"/>
          <w:szCs w:val="21"/>
        </w:rPr>
      </w:pPr>
    </w:p>
    <w:p>
      <w:pPr>
        <w:spacing w:line="360" w:lineRule="auto"/>
        <w:ind w:firstLine="444" w:firstLineChars="200"/>
        <w:rPr>
          <w:rFonts w:hAnsi="宋体"/>
          <w:spacing w:val="6"/>
          <w:szCs w:val="21"/>
        </w:rPr>
      </w:pPr>
    </w:p>
    <w:p>
      <w:pPr>
        <w:pStyle w:val="26"/>
        <w:spacing w:before="0" w:beforeAutospacing="0" w:after="0" w:afterAutospacing="0" w:line="480" w:lineRule="auto"/>
        <w:ind w:firstLine="420" w:firstLineChars="200"/>
        <w:rPr>
          <w:sz w:val="21"/>
          <w:szCs w:val="21"/>
        </w:rPr>
      </w:pPr>
      <w:r>
        <w:rPr>
          <w:rFonts w:hint="eastAsia"/>
          <w:sz w:val="21"/>
          <w:szCs w:val="21"/>
        </w:rPr>
        <w:t>供应商名称（加盖单位公章）：</w:t>
      </w:r>
    </w:p>
    <w:p>
      <w:pPr>
        <w:pStyle w:val="26"/>
        <w:spacing w:before="0" w:beforeAutospacing="0" w:after="0" w:afterAutospacing="0" w:line="480" w:lineRule="auto"/>
        <w:ind w:firstLine="420" w:firstLineChars="200"/>
        <w:rPr>
          <w:sz w:val="21"/>
          <w:szCs w:val="21"/>
        </w:rPr>
      </w:pPr>
      <w:r>
        <w:rPr>
          <w:rFonts w:hint="eastAsia"/>
          <w:sz w:val="21"/>
          <w:szCs w:val="21"/>
        </w:rPr>
        <w:t>日</w:t>
      </w:r>
      <w:r>
        <w:rPr>
          <w:sz w:val="21"/>
          <w:szCs w:val="21"/>
        </w:rPr>
        <w:t xml:space="preserve">     </w:t>
      </w:r>
      <w:r>
        <w:rPr>
          <w:rFonts w:hint="eastAsia"/>
          <w:sz w:val="21"/>
          <w:szCs w:val="21"/>
        </w:rPr>
        <w:t>期：</w:t>
      </w:r>
    </w:p>
    <w:p>
      <w:pPr>
        <w:spacing w:line="360" w:lineRule="auto"/>
        <w:ind w:firstLine="422" w:firstLineChars="200"/>
        <w:rPr>
          <w:rFonts w:hAnsi="宋体"/>
          <w:b/>
          <w:szCs w:val="21"/>
        </w:rPr>
      </w:pPr>
    </w:p>
    <w:p>
      <w:pPr>
        <w:spacing w:line="360" w:lineRule="auto"/>
        <w:ind w:firstLine="422" w:firstLineChars="200"/>
        <w:rPr>
          <w:rFonts w:hAnsi="宋体"/>
          <w:b/>
          <w:szCs w:val="21"/>
        </w:rPr>
      </w:pPr>
    </w:p>
    <w:p>
      <w:pPr>
        <w:spacing w:line="360" w:lineRule="auto"/>
        <w:ind w:firstLine="422" w:firstLineChars="200"/>
        <w:rPr>
          <w:rFonts w:hAnsi="宋体"/>
          <w:b/>
          <w:szCs w:val="21"/>
        </w:rPr>
      </w:pPr>
    </w:p>
    <w:p>
      <w:pPr>
        <w:spacing w:line="360" w:lineRule="auto"/>
        <w:ind w:firstLine="422" w:firstLineChars="200"/>
        <w:jc w:val="left"/>
        <w:rPr>
          <w:rFonts w:hAnsi="宋体"/>
          <w:b/>
          <w:bCs/>
          <w:kern w:val="0"/>
          <w:szCs w:val="21"/>
        </w:rPr>
      </w:pPr>
      <w:r>
        <w:rPr>
          <w:rFonts w:hint="eastAsia" w:hAnsi="宋体"/>
          <w:b/>
          <w:szCs w:val="21"/>
        </w:rPr>
        <w:t>注：符合条件的残疾人福利性单位在参加政府采购活动时，应当按《关于促进残疾人就业政府采购政策的通知》（财库〔2017〕141号）提供规定的《残疾人福利性单位声明函》，并对声明的真实性负责。</w:t>
      </w:r>
      <w:r>
        <w:rPr>
          <w:rFonts w:hAnsi="宋体"/>
          <w:b/>
          <w:bCs/>
          <w:kern w:val="0"/>
          <w:szCs w:val="21"/>
        </w:rPr>
        <w:br w:type="textWrapping"/>
      </w:r>
    </w:p>
    <w:p/>
    <w:p/>
    <w:p/>
    <w:p/>
    <w:p/>
    <w:p>
      <w:pPr>
        <w:spacing w:line="440" w:lineRule="exact"/>
        <w:rPr>
          <w:rFonts w:asciiTheme="minorEastAsia" w:hAnsiTheme="minorEastAsia" w:eastAsiaTheme="minorEastAsia"/>
          <w:b/>
          <w:snapToGrid/>
          <w:kern w:val="0"/>
          <w:sz w:val="28"/>
          <w:szCs w:val="28"/>
        </w:rPr>
      </w:pPr>
      <w:bookmarkStart w:id="311" w:name="_Toc491307509"/>
      <w:bookmarkStart w:id="312" w:name="_Toc491307327"/>
      <w:bookmarkStart w:id="313" w:name="_Toc494043363"/>
      <w:bookmarkStart w:id="314" w:name="_Toc491307389"/>
      <w:bookmarkStart w:id="315" w:name="_Toc6496682"/>
      <w:r>
        <w:rPr>
          <w:rFonts w:hint="eastAsia" w:asciiTheme="minorEastAsia" w:hAnsiTheme="minorEastAsia" w:eastAsiaTheme="minorEastAsia"/>
          <w:b/>
          <w:snapToGrid/>
          <w:kern w:val="0"/>
          <w:sz w:val="28"/>
          <w:szCs w:val="28"/>
        </w:rPr>
        <w:t>格式</w:t>
      </w:r>
      <w:bookmarkEnd w:id="311"/>
      <w:bookmarkEnd w:id="312"/>
      <w:bookmarkEnd w:id="313"/>
      <w:bookmarkEnd w:id="314"/>
      <w:bookmarkEnd w:id="315"/>
      <w:r>
        <w:rPr>
          <w:rFonts w:asciiTheme="minorEastAsia" w:hAnsiTheme="minorEastAsia" w:eastAsiaTheme="minorEastAsia"/>
          <w:b/>
          <w:snapToGrid/>
          <w:kern w:val="0"/>
          <w:sz w:val="28"/>
          <w:szCs w:val="28"/>
        </w:rPr>
        <w:t>4</w:t>
      </w:r>
    </w:p>
    <w:p>
      <w:pPr>
        <w:pStyle w:val="4"/>
        <w:keepLines w:val="0"/>
        <w:spacing w:before="240" w:after="240" w:line="360" w:lineRule="auto"/>
        <w:jc w:val="center"/>
        <w:rPr>
          <w:rFonts w:hint="default" w:hAnsi="黑体"/>
          <w:kern w:val="0"/>
          <w:sz w:val="30"/>
          <w:szCs w:val="30"/>
          <w:lang w:val="en-US" w:eastAsia="zh-CN"/>
        </w:rPr>
      </w:pPr>
      <w:bookmarkStart w:id="316" w:name="_Toc494043364"/>
      <w:bookmarkStart w:id="317" w:name="_Toc491307328"/>
      <w:bookmarkStart w:id="318" w:name="_Toc491307390"/>
      <w:bookmarkStart w:id="319" w:name="_Toc491307510"/>
      <w:bookmarkStart w:id="320" w:name="_Toc6496683"/>
      <w:bookmarkStart w:id="321" w:name="_Toc72489576"/>
      <w:r>
        <w:rPr>
          <w:rFonts w:hAnsi="黑体"/>
          <w:kern w:val="0"/>
          <w:sz w:val="30"/>
          <w:szCs w:val="30"/>
          <w:lang w:val="en-US" w:eastAsia="zh-CN"/>
        </w:rPr>
        <w:t>构成响应文件的其他资料</w:t>
      </w:r>
      <w:bookmarkEnd w:id="316"/>
      <w:bookmarkEnd w:id="317"/>
      <w:bookmarkEnd w:id="318"/>
      <w:bookmarkEnd w:id="319"/>
      <w:bookmarkEnd w:id="320"/>
      <w:bookmarkEnd w:id="321"/>
    </w:p>
    <w:p>
      <w:pPr>
        <w:autoSpaceDE w:val="0"/>
        <w:autoSpaceDN w:val="0"/>
        <w:snapToGrid w:val="0"/>
        <w:spacing w:line="360" w:lineRule="auto"/>
        <w:textAlignment w:val="bottom"/>
        <w:rPr>
          <w:rFonts w:hAnsi="宋体"/>
          <w:szCs w:val="21"/>
        </w:rPr>
      </w:pPr>
      <w:r>
        <w:rPr>
          <w:rFonts w:hAnsi="宋体"/>
          <w:szCs w:val="21"/>
        </w:rPr>
        <w:t>详见第二章《</w:t>
      </w:r>
      <w:r>
        <w:rPr>
          <w:rFonts w:hint="eastAsia" w:hAnsi="宋体"/>
          <w:szCs w:val="21"/>
        </w:rPr>
        <w:t>供应商</w:t>
      </w:r>
      <w:r>
        <w:rPr>
          <w:rFonts w:hAnsi="宋体"/>
          <w:szCs w:val="21"/>
        </w:rPr>
        <w:t>须知前附表》第</w:t>
      </w:r>
      <w:r>
        <w:rPr>
          <w:rFonts w:hint="eastAsia" w:hAnsi="宋体"/>
          <w:szCs w:val="21"/>
        </w:rPr>
        <w:t>15.1.5</w:t>
      </w:r>
      <w:r>
        <w:rPr>
          <w:rFonts w:hAnsi="宋体"/>
          <w:szCs w:val="21"/>
        </w:rPr>
        <w:t>条，请自拟格式。</w:t>
      </w:r>
    </w:p>
    <w:p>
      <w:pPr>
        <w:autoSpaceDE w:val="0"/>
        <w:autoSpaceDN w:val="0"/>
        <w:snapToGrid w:val="0"/>
        <w:spacing w:line="360" w:lineRule="auto"/>
        <w:ind w:firstLine="420" w:firstLineChars="200"/>
        <w:textAlignment w:val="bottom"/>
        <w:rPr>
          <w:rFonts w:hAnsi="宋体"/>
          <w:bCs/>
          <w:szCs w:val="21"/>
        </w:rPr>
      </w:pPr>
      <w:r>
        <w:rPr>
          <w:rFonts w:hint="eastAsia" w:hAnsi="宋体"/>
          <w:bCs/>
          <w:szCs w:val="21"/>
        </w:rPr>
        <w:t>1、磋商保证金缴纳证明（交纳凭证或收据或收取证明）；</w:t>
      </w:r>
    </w:p>
    <w:p>
      <w:pPr>
        <w:autoSpaceDE w:val="0"/>
        <w:autoSpaceDN w:val="0"/>
        <w:snapToGrid w:val="0"/>
        <w:spacing w:line="360" w:lineRule="auto"/>
        <w:ind w:firstLine="420" w:firstLineChars="200"/>
        <w:textAlignment w:val="bottom"/>
        <w:rPr>
          <w:rFonts w:hAnsi="宋体"/>
          <w:bCs/>
          <w:szCs w:val="21"/>
        </w:rPr>
      </w:pPr>
      <w:r>
        <w:rPr>
          <w:rFonts w:hint="eastAsia" w:hAnsi="宋体"/>
          <w:bCs/>
          <w:szCs w:val="21"/>
        </w:rPr>
        <w:t>2、第五章《采购需求》中要求提供的其他资料；</w:t>
      </w:r>
    </w:p>
    <w:p>
      <w:pPr>
        <w:autoSpaceDE w:val="0"/>
        <w:autoSpaceDN w:val="0"/>
        <w:snapToGrid w:val="0"/>
        <w:spacing w:line="360" w:lineRule="auto"/>
        <w:ind w:firstLine="420" w:firstLineChars="200"/>
        <w:textAlignment w:val="bottom"/>
        <w:rPr>
          <w:rFonts w:hAnsi="宋体"/>
          <w:bCs/>
          <w:szCs w:val="21"/>
        </w:rPr>
      </w:pPr>
      <w:r>
        <w:rPr>
          <w:rFonts w:hint="eastAsia" w:hAnsi="宋体"/>
          <w:bCs/>
          <w:szCs w:val="21"/>
        </w:rPr>
        <w:t>3、竞争性磋商文件中所涉及到的相关资料及证明文件或供应商认为必须提供的其他相关资料</w:t>
      </w:r>
      <w:r>
        <w:rPr>
          <w:rFonts w:hAnsi="宋体"/>
          <w:bCs/>
          <w:szCs w:val="21"/>
        </w:rPr>
        <w:t>。</w:t>
      </w:r>
    </w:p>
    <w:p>
      <w:pPr>
        <w:pStyle w:val="15"/>
        <w:jc w:val="left"/>
        <w:rPr>
          <w:b/>
          <w:sz w:val="28"/>
          <w:szCs w:val="28"/>
        </w:rPr>
      </w:pPr>
    </w:p>
    <w:p/>
    <w:p/>
    <w:p/>
    <w:p/>
    <w:p/>
    <w:p/>
    <w:p/>
    <w:p/>
    <w:p/>
    <w:p/>
    <w:p/>
    <w:p/>
    <w:p/>
    <w:p/>
    <w:p/>
    <w:p/>
    <w:p/>
    <w:p/>
    <w:p/>
    <w:p/>
    <w:p/>
    <w:p/>
    <w:p/>
    <w:p/>
    <w:p/>
    <w:p/>
    <w:p/>
    <w:p/>
    <w:p/>
    <w:p/>
    <w:p>
      <w:pPr>
        <w:spacing w:line="440" w:lineRule="exact"/>
        <w:rPr>
          <w:rFonts w:asciiTheme="minorEastAsia" w:hAnsiTheme="minorEastAsia" w:eastAsiaTheme="minorEastAsia"/>
          <w:b/>
          <w:snapToGrid/>
          <w:kern w:val="0"/>
          <w:sz w:val="28"/>
          <w:szCs w:val="28"/>
        </w:rPr>
      </w:pPr>
      <w:r>
        <w:rPr>
          <w:rFonts w:hint="eastAsia" w:asciiTheme="minorEastAsia" w:hAnsiTheme="minorEastAsia" w:eastAsiaTheme="minorEastAsia"/>
          <w:b/>
          <w:snapToGrid/>
          <w:kern w:val="0"/>
          <w:sz w:val="28"/>
          <w:szCs w:val="28"/>
        </w:rPr>
        <w:t>格式</w:t>
      </w:r>
      <w:r>
        <w:rPr>
          <w:rFonts w:asciiTheme="minorEastAsia" w:hAnsiTheme="minorEastAsia" w:eastAsiaTheme="minorEastAsia"/>
          <w:b/>
          <w:snapToGrid/>
          <w:kern w:val="0"/>
          <w:sz w:val="28"/>
          <w:szCs w:val="28"/>
        </w:rPr>
        <w:t>5</w:t>
      </w:r>
    </w:p>
    <w:p>
      <w:pPr>
        <w:pStyle w:val="4"/>
        <w:keepLines w:val="0"/>
        <w:spacing w:before="240" w:after="240" w:line="360" w:lineRule="auto"/>
        <w:jc w:val="center"/>
        <w:rPr>
          <w:rFonts w:hint="default" w:hAnsi="黑体"/>
          <w:kern w:val="0"/>
          <w:sz w:val="30"/>
          <w:szCs w:val="30"/>
          <w:lang w:val="en-US" w:eastAsia="zh-CN"/>
        </w:rPr>
      </w:pPr>
      <w:bookmarkStart w:id="322" w:name="_Toc6496687"/>
      <w:bookmarkStart w:id="323" w:name="_Toc72489577"/>
      <w:bookmarkStart w:id="324" w:name="_Toc213141100"/>
      <w:bookmarkStart w:id="325" w:name="_Toc489145757"/>
      <w:bookmarkStart w:id="326" w:name="_Toc489197861"/>
      <w:bookmarkStart w:id="327" w:name="_Toc488633622"/>
      <w:bookmarkStart w:id="328" w:name="_Toc481694851"/>
      <w:r>
        <w:rPr>
          <w:rFonts w:hAnsi="黑体"/>
          <w:kern w:val="0"/>
          <w:sz w:val="30"/>
          <w:szCs w:val="30"/>
          <w:lang w:val="en-US" w:eastAsia="zh-CN"/>
        </w:rPr>
        <w:t>商务条款偏离表</w:t>
      </w:r>
      <w:bookmarkEnd w:id="322"/>
      <w:bookmarkEnd w:id="323"/>
    </w:p>
    <w:p>
      <w:pPr>
        <w:pStyle w:val="15"/>
        <w:spacing w:line="360" w:lineRule="auto"/>
        <w:ind w:firstLine="420" w:firstLineChars="200"/>
        <w:rPr>
          <w:rFonts w:hAnsi="宋体"/>
          <w:szCs w:val="21"/>
        </w:rPr>
      </w:pPr>
      <w:r>
        <w:rPr>
          <w:rFonts w:hint="eastAsia" w:hAnsi="宋体"/>
          <w:szCs w:val="21"/>
        </w:rPr>
        <w:t>供应商须逐条对应竞争性磋商中要求的商务条款，认真填写该表。</w:t>
      </w:r>
    </w:p>
    <w:p>
      <w:pPr>
        <w:pStyle w:val="15"/>
        <w:spacing w:line="360" w:lineRule="auto"/>
        <w:ind w:firstLine="420" w:firstLineChars="200"/>
        <w:rPr>
          <w:rFonts w:hAnsi="宋体"/>
          <w:szCs w:val="21"/>
        </w:rPr>
      </w:pPr>
      <w:r>
        <w:rPr>
          <w:rFonts w:hint="eastAsia" w:hAnsi="宋体"/>
          <w:szCs w:val="21"/>
        </w:rPr>
        <w:t>商务条款是指：竞争性磋商第三章《合同条款前附表》中要求的有关内容。</w:t>
      </w:r>
    </w:p>
    <w:p>
      <w:pPr>
        <w:pStyle w:val="15"/>
        <w:spacing w:before="312" w:beforeLines="100" w:line="360" w:lineRule="auto"/>
        <w:ind w:firstLine="422" w:firstLineChars="201"/>
        <w:rPr>
          <w:rFonts w:hAnsi="宋体"/>
          <w:bCs/>
          <w:szCs w:val="21"/>
          <w:u w:val="single"/>
        </w:rPr>
      </w:pPr>
      <w:r>
        <w:rPr>
          <w:rFonts w:hint="eastAsia" w:hAnsi="宋体"/>
          <w:bCs/>
          <w:szCs w:val="21"/>
        </w:rPr>
        <w:t>项目名称：</w:t>
      </w:r>
    </w:p>
    <w:p>
      <w:pPr>
        <w:pStyle w:val="15"/>
        <w:spacing w:line="360" w:lineRule="auto"/>
        <w:ind w:firstLine="422" w:firstLineChars="201"/>
        <w:rPr>
          <w:rFonts w:hAnsi="宋体"/>
          <w:bCs/>
          <w:szCs w:val="21"/>
          <w:u w:val="single"/>
        </w:rPr>
      </w:pPr>
      <w:r>
        <w:rPr>
          <w:rFonts w:hint="eastAsia" w:hAnsi="宋体"/>
          <w:bCs/>
          <w:szCs w:val="21"/>
        </w:rPr>
        <w:t>项目编号：</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3193"/>
        <w:gridCol w:w="3015"/>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7" w:type="dxa"/>
            <w:vAlign w:val="center"/>
          </w:tcPr>
          <w:p>
            <w:pPr>
              <w:pStyle w:val="15"/>
              <w:spacing w:line="360" w:lineRule="auto"/>
              <w:jc w:val="center"/>
              <w:rPr>
                <w:rFonts w:hAnsi="宋体"/>
                <w:b/>
                <w:szCs w:val="21"/>
              </w:rPr>
            </w:pPr>
            <w:r>
              <w:rPr>
                <w:rFonts w:hint="eastAsia" w:hAnsi="宋体"/>
                <w:b/>
                <w:szCs w:val="21"/>
              </w:rPr>
              <w:t>序号</w:t>
            </w:r>
          </w:p>
        </w:tc>
        <w:tc>
          <w:tcPr>
            <w:tcW w:w="3193" w:type="dxa"/>
            <w:vAlign w:val="center"/>
          </w:tcPr>
          <w:p>
            <w:pPr>
              <w:pStyle w:val="15"/>
              <w:spacing w:line="360" w:lineRule="auto"/>
              <w:jc w:val="center"/>
              <w:rPr>
                <w:rFonts w:hAnsi="宋体"/>
                <w:b/>
                <w:szCs w:val="21"/>
              </w:rPr>
            </w:pPr>
            <w:r>
              <w:rPr>
                <w:rFonts w:hint="eastAsia" w:hAnsi="宋体"/>
                <w:b/>
                <w:szCs w:val="21"/>
              </w:rPr>
              <w:t>磋商文件的商务条款</w:t>
            </w:r>
          </w:p>
        </w:tc>
        <w:tc>
          <w:tcPr>
            <w:tcW w:w="3015" w:type="dxa"/>
            <w:vAlign w:val="center"/>
          </w:tcPr>
          <w:p>
            <w:pPr>
              <w:pStyle w:val="15"/>
              <w:spacing w:line="360" w:lineRule="auto"/>
              <w:jc w:val="center"/>
              <w:rPr>
                <w:rFonts w:hAnsi="宋体"/>
                <w:b/>
                <w:szCs w:val="21"/>
              </w:rPr>
            </w:pPr>
            <w:r>
              <w:rPr>
                <w:rFonts w:hint="eastAsia" w:hAnsi="宋体"/>
                <w:b/>
                <w:szCs w:val="21"/>
              </w:rPr>
              <w:t>响应文件响应情况</w:t>
            </w:r>
          </w:p>
        </w:tc>
        <w:tc>
          <w:tcPr>
            <w:tcW w:w="1407" w:type="dxa"/>
            <w:vAlign w:val="center"/>
          </w:tcPr>
          <w:p>
            <w:pPr>
              <w:pStyle w:val="15"/>
              <w:spacing w:line="360" w:lineRule="auto"/>
              <w:jc w:val="center"/>
              <w:rPr>
                <w:rFonts w:hAnsi="宋体"/>
                <w:b/>
                <w:szCs w:val="21"/>
              </w:rPr>
            </w:pPr>
            <w:r>
              <w:rPr>
                <w:rFonts w:hint="eastAsia" w:hAnsi="宋体"/>
                <w:b/>
                <w:szCs w:val="21"/>
              </w:rPr>
              <w:t>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7" w:type="dxa"/>
            <w:vAlign w:val="center"/>
          </w:tcPr>
          <w:p>
            <w:pPr>
              <w:pStyle w:val="15"/>
              <w:spacing w:line="360" w:lineRule="auto"/>
              <w:jc w:val="center"/>
              <w:rPr>
                <w:rFonts w:hAnsi="宋体"/>
                <w:szCs w:val="21"/>
              </w:rPr>
            </w:pPr>
            <w:r>
              <w:rPr>
                <w:rFonts w:hint="eastAsia" w:hAnsi="宋体"/>
                <w:szCs w:val="21"/>
              </w:rPr>
              <w:t>1</w:t>
            </w:r>
          </w:p>
        </w:tc>
        <w:tc>
          <w:tcPr>
            <w:tcW w:w="3193" w:type="dxa"/>
            <w:vAlign w:val="center"/>
          </w:tcPr>
          <w:p>
            <w:pPr>
              <w:pStyle w:val="15"/>
              <w:spacing w:line="360" w:lineRule="auto"/>
              <w:rPr>
                <w:rFonts w:hAnsi="宋体"/>
                <w:szCs w:val="21"/>
              </w:rPr>
            </w:pPr>
          </w:p>
        </w:tc>
        <w:tc>
          <w:tcPr>
            <w:tcW w:w="3015" w:type="dxa"/>
            <w:vAlign w:val="center"/>
          </w:tcPr>
          <w:p>
            <w:pPr>
              <w:pStyle w:val="15"/>
              <w:spacing w:line="360" w:lineRule="auto"/>
              <w:rPr>
                <w:rFonts w:hAnsi="宋体"/>
                <w:szCs w:val="21"/>
              </w:rPr>
            </w:pPr>
          </w:p>
        </w:tc>
        <w:tc>
          <w:tcPr>
            <w:tcW w:w="1407" w:type="dxa"/>
            <w:vAlign w:val="center"/>
          </w:tcPr>
          <w:p>
            <w:pPr>
              <w:pStyle w:val="15"/>
              <w:spacing w:line="360" w:lineRule="auto"/>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7" w:type="dxa"/>
            <w:vAlign w:val="center"/>
          </w:tcPr>
          <w:p>
            <w:pPr>
              <w:pStyle w:val="15"/>
              <w:spacing w:line="360" w:lineRule="auto"/>
              <w:jc w:val="center"/>
              <w:rPr>
                <w:rFonts w:hAnsi="宋体"/>
                <w:szCs w:val="21"/>
              </w:rPr>
            </w:pPr>
            <w:r>
              <w:rPr>
                <w:rFonts w:hint="eastAsia" w:hAnsi="宋体"/>
                <w:szCs w:val="21"/>
              </w:rPr>
              <w:t>2</w:t>
            </w:r>
          </w:p>
        </w:tc>
        <w:tc>
          <w:tcPr>
            <w:tcW w:w="3193" w:type="dxa"/>
            <w:vAlign w:val="center"/>
          </w:tcPr>
          <w:p>
            <w:pPr>
              <w:pStyle w:val="15"/>
              <w:spacing w:line="360" w:lineRule="auto"/>
              <w:rPr>
                <w:rFonts w:hAnsi="宋体"/>
                <w:szCs w:val="21"/>
              </w:rPr>
            </w:pPr>
          </w:p>
        </w:tc>
        <w:tc>
          <w:tcPr>
            <w:tcW w:w="3015" w:type="dxa"/>
            <w:vAlign w:val="center"/>
          </w:tcPr>
          <w:p>
            <w:pPr>
              <w:pStyle w:val="15"/>
              <w:spacing w:line="360" w:lineRule="auto"/>
              <w:rPr>
                <w:rFonts w:hAnsi="宋体"/>
                <w:szCs w:val="21"/>
              </w:rPr>
            </w:pPr>
          </w:p>
        </w:tc>
        <w:tc>
          <w:tcPr>
            <w:tcW w:w="1407" w:type="dxa"/>
            <w:vAlign w:val="center"/>
          </w:tcPr>
          <w:p>
            <w:pPr>
              <w:pStyle w:val="15"/>
              <w:spacing w:line="360" w:lineRule="auto"/>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7" w:type="dxa"/>
            <w:vAlign w:val="center"/>
          </w:tcPr>
          <w:p>
            <w:pPr>
              <w:pStyle w:val="15"/>
              <w:spacing w:line="360" w:lineRule="auto"/>
              <w:jc w:val="center"/>
              <w:rPr>
                <w:rFonts w:hAnsi="宋体"/>
                <w:szCs w:val="21"/>
              </w:rPr>
            </w:pPr>
            <w:r>
              <w:rPr>
                <w:rFonts w:hint="eastAsia" w:hAnsi="宋体"/>
                <w:szCs w:val="21"/>
              </w:rPr>
              <w:t>3</w:t>
            </w:r>
          </w:p>
        </w:tc>
        <w:tc>
          <w:tcPr>
            <w:tcW w:w="3193" w:type="dxa"/>
            <w:vAlign w:val="center"/>
          </w:tcPr>
          <w:p>
            <w:pPr>
              <w:pStyle w:val="15"/>
              <w:spacing w:line="360" w:lineRule="auto"/>
              <w:rPr>
                <w:rFonts w:hAnsi="宋体"/>
                <w:szCs w:val="21"/>
              </w:rPr>
            </w:pPr>
          </w:p>
        </w:tc>
        <w:tc>
          <w:tcPr>
            <w:tcW w:w="3015" w:type="dxa"/>
            <w:vAlign w:val="center"/>
          </w:tcPr>
          <w:p>
            <w:pPr>
              <w:pStyle w:val="15"/>
              <w:spacing w:line="360" w:lineRule="auto"/>
              <w:rPr>
                <w:rFonts w:hAnsi="宋体"/>
                <w:szCs w:val="21"/>
              </w:rPr>
            </w:pPr>
          </w:p>
        </w:tc>
        <w:tc>
          <w:tcPr>
            <w:tcW w:w="1407" w:type="dxa"/>
            <w:vAlign w:val="center"/>
          </w:tcPr>
          <w:p>
            <w:pPr>
              <w:pStyle w:val="15"/>
              <w:spacing w:line="360" w:lineRule="auto"/>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7" w:type="dxa"/>
            <w:vAlign w:val="center"/>
          </w:tcPr>
          <w:p>
            <w:pPr>
              <w:pStyle w:val="15"/>
              <w:spacing w:line="360" w:lineRule="auto"/>
              <w:jc w:val="center"/>
              <w:rPr>
                <w:rFonts w:hAnsi="宋体"/>
                <w:szCs w:val="21"/>
              </w:rPr>
            </w:pPr>
            <w:r>
              <w:rPr>
                <w:rFonts w:hAnsi="宋体"/>
                <w:szCs w:val="21"/>
              </w:rPr>
              <w:t>…</w:t>
            </w:r>
          </w:p>
        </w:tc>
        <w:tc>
          <w:tcPr>
            <w:tcW w:w="3193" w:type="dxa"/>
            <w:vAlign w:val="center"/>
          </w:tcPr>
          <w:p>
            <w:pPr>
              <w:pStyle w:val="15"/>
              <w:spacing w:line="360" w:lineRule="auto"/>
              <w:rPr>
                <w:rFonts w:hAnsi="宋体"/>
                <w:szCs w:val="21"/>
              </w:rPr>
            </w:pPr>
          </w:p>
        </w:tc>
        <w:tc>
          <w:tcPr>
            <w:tcW w:w="3015" w:type="dxa"/>
            <w:vAlign w:val="center"/>
          </w:tcPr>
          <w:p>
            <w:pPr>
              <w:pStyle w:val="15"/>
              <w:spacing w:line="360" w:lineRule="auto"/>
              <w:rPr>
                <w:rFonts w:hAnsi="宋体"/>
                <w:szCs w:val="21"/>
              </w:rPr>
            </w:pPr>
          </w:p>
        </w:tc>
        <w:tc>
          <w:tcPr>
            <w:tcW w:w="1407" w:type="dxa"/>
            <w:vAlign w:val="center"/>
          </w:tcPr>
          <w:p>
            <w:pPr>
              <w:pStyle w:val="15"/>
              <w:spacing w:line="360" w:lineRule="auto"/>
              <w:rPr>
                <w:rFonts w:hAnsi="宋体"/>
                <w:szCs w:val="21"/>
              </w:rPr>
            </w:pPr>
          </w:p>
        </w:tc>
      </w:tr>
    </w:tbl>
    <w:p>
      <w:pPr>
        <w:pStyle w:val="15"/>
        <w:spacing w:line="360" w:lineRule="auto"/>
        <w:ind w:firstLine="420" w:firstLineChars="200"/>
        <w:rPr>
          <w:rFonts w:hAnsi="宋体"/>
          <w:szCs w:val="21"/>
        </w:rPr>
      </w:pPr>
      <w:r>
        <w:rPr>
          <w:rFonts w:hint="eastAsia" w:hAnsi="宋体"/>
          <w:szCs w:val="21"/>
        </w:rPr>
        <w:t>注：</w:t>
      </w:r>
    </w:p>
    <w:p>
      <w:pPr>
        <w:pStyle w:val="15"/>
        <w:spacing w:line="360" w:lineRule="auto"/>
        <w:ind w:firstLine="420" w:firstLineChars="200"/>
        <w:rPr>
          <w:rFonts w:hAnsi="宋体"/>
          <w:szCs w:val="21"/>
        </w:rPr>
      </w:pPr>
      <w:r>
        <w:rPr>
          <w:rFonts w:hint="eastAsia" w:hAnsi="宋体"/>
          <w:szCs w:val="21"/>
        </w:rPr>
        <w:t>1、</w:t>
      </w:r>
      <w:r>
        <w:rPr>
          <w:rFonts w:hAnsi="宋体"/>
          <w:szCs w:val="21"/>
        </w:rPr>
        <w:t>表格中“偏离”</w:t>
      </w:r>
      <w:r>
        <w:rPr>
          <w:rFonts w:hint="eastAsia" w:hAnsi="宋体"/>
          <w:szCs w:val="21"/>
        </w:rPr>
        <w:t>一列，供应商</w:t>
      </w:r>
      <w:r>
        <w:rPr>
          <w:rFonts w:hAnsi="宋体"/>
          <w:szCs w:val="21"/>
        </w:rPr>
        <w:t>只能如实填写“</w:t>
      </w:r>
      <w:r>
        <w:rPr>
          <w:rFonts w:hint="eastAsia" w:hAnsi="宋体"/>
          <w:szCs w:val="21"/>
        </w:rPr>
        <w:t>正偏离</w:t>
      </w:r>
      <w:r>
        <w:rPr>
          <w:rFonts w:hAnsi="宋体"/>
          <w:szCs w:val="21"/>
        </w:rPr>
        <w:t>”</w:t>
      </w:r>
      <w:r>
        <w:rPr>
          <w:rFonts w:hint="eastAsia" w:hAnsi="宋体"/>
          <w:szCs w:val="21"/>
        </w:rPr>
        <w:t>、“负</w:t>
      </w:r>
      <w:r>
        <w:rPr>
          <w:rFonts w:hAnsi="宋体"/>
          <w:szCs w:val="21"/>
        </w:rPr>
        <w:t>偏离”或“无偏离”。凡</w:t>
      </w:r>
      <w:r>
        <w:rPr>
          <w:rFonts w:hint="eastAsia" w:hAnsi="宋体"/>
          <w:szCs w:val="21"/>
        </w:rPr>
        <w:t>响应</w:t>
      </w:r>
      <w:r>
        <w:rPr>
          <w:rFonts w:hAnsi="宋体"/>
          <w:szCs w:val="21"/>
        </w:rPr>
        <w:t>内容</w:t>
      </w:r>
      <w:r>
        <w:rPr>
          <w:rFonts w:hint="eastAsia" w:hAnsi="宋体"/>
          <w:szCs w:val="21"/>
        </w:rPr>
        <w:t>高于磋商</w:t>
      </w:r>
      <w:r>
        <w:rPr>
          <w:rFonts w:hAnsi="宋体"/>
          <w:szCs w:val="21"/>
        </w:rPr>
        <w:t>文件要求</w:t>
      </w:r>
      <w:r>
        <w:rPr>
          <w:rFonts w:hint="eastAsia" w:hAnsi="宋体"/>
          <w:szCs w:val="21"/>
        </w:rPr>
        <w:t>的，按</w:t>
      </w:r>
      <w:r>
        <w:rPr>
          <w:rFonts w:hAnsi="宋体"/>
          <w:szCs w:val="21"/>
        </w:rPr>
        <w:t>“</w:t>
      </w:r>
      <w:r>
        <w:rPr>
          <w:rFonts w:hint="eastAsia" w:hAnsi="宋体"/>
          <w:szCs w:val="21"/>
        </w:rPr>
        <w:t>正</w:t>
      </w:r>
      <w:r>
        <w:rPr>
          <w:rFonts w:hAnsi="宋体"/>
          <w:szCs w:val="21"/>
        </w:rPr>
        <w:t>偏离”填写</w:t>
      </w:r>
      <w:r>
        <w:rPr>
          <w:rFonts w:hint="eastAsia" w:hAnsi="宋体"/>
          <w:szCs w:val="21"/>
        </w:rPr>
        <w:t>；低于磋商文件要求的，按</w:t>
      </w:r>
      <w:r>
        <w:rPr>
          <w:rFonts w:hAnsi="宋体"/>
          <w:szCs w:val="21"/>
        </w:rPr>
        <w:t>“</w:t>
      </w:r>
      <w:r>
        <w:rPr>
          <w:rFonts w:hint="eastAsia" w:hAnsi="宋体"/>
          <w:szCs w:val="21"/>
        </w:rPr>
        <w:t>负</w:t>
      </w:r>
      <w:r>
        <w:rPr>
          <w:rFonts w:hAnsi="宋体"/>
          <w:szCs w:val="21"/>
        </w:rPr>
        <w:t>偏离”填写</w:t>
      </w:r>
      <w:r>
        <w:rPr>
          <w:rFonts w:hint="eastAsia" w:hAnsi="宋体"/>
          <w:szCs w:val="21"/>
        </w:rPr>
        <w:t>；满足磋商文件要求的，按“无偏离”填写。</w:t>
      </w:r>
    </w:p>
    <w:p>
      <w:pPr>
        <w:pStyle w:val="15"/>
        <w:spacing w:line="360" w:lineRule="auto"/>
        <w:ind w:firstLine="420" w:firstLineChars="200"/>
        <w:rPr>
          <w:rFonts w:hAnsi="宋体"/>
          <w:szCs w:val="21"/>
        </w:rPr>
      </w:pPr>
      <w:r>
        <w:rPr>
          <w:rFonts w:hint="eastAsia" w:hAnsi="宋体"/>
          <w:szCs w:val="21"/>
        </w:rPr>
        <w:t>2、序号应对应该商务条款在</w:t>
      </w:r>
      <w:r>
        <w:rPr>
          <w:rFonts w:hint="eastAsia" w:hAnsi="宋体"/>
          <w:bCs/>
          <w:szCs w:val="21"/>
        </w:rPr>
        <w:t>第三章《</w:t>
      </w:r>
      <w:r>
        <w:rPr>
          <w:rFonts w:hint="eastAsia" w:hAnsi="宋体"/>
          <w:szCs w:val="21"/>
        </w:rPr>
        <w:t>合同条款前附表</w:t>
      </w:r>
      <w:r>
        <w:rPr>
          <w:rFonts w:hint="eastAsia" w:hAnsi="宋体"/>
          <w:bCs/>
          <w:szCs w:val="21"/>
        </w:rPr>
        <w:t>》中的序号。</w:t>
      </w:r>
    </w:p>
    <w:p>
      <w:pPr>
        <w:pStyle w:val="15"/>
        <w:spacing w:line="360" w:lineRule="auto"/>
        <w:ind w:firstLine="420" w:firstLineChars="200"/>
        <w:rPr>
          <w:rFonts w:hAnsi="宋体"/>
          <w:szCs w:val="21"/>
        </w:rPr>
      </w:pPr>
      <w:r>
        <w:rPr>
          <w:rFonts w:hint="eastAsia" w:hAnsi="宋体"/>
          <w:szCs w:val="21"/>
        </w:rPr>
        <w:t>3、各供应商必须对磋商文件</w:t>
      </w:r>
      <w:r>
        <w:rPr>
          <w:rFonts w:hint="eastAsia" w:hAnsi="宋体"/>
          <w:bCs/>
          <w:szCs w:val="21"/>
        </w:rPr>
        <w:t>第三章《</w:t>
      </w:r>
      <w:r>
        <w:rPr>
          <w:rFonts w:hint="eastAsia" w:hAnsi="宋体"/>
          <w:szCs w:val="21"/>
        </w:rPr>
        <w:t>合同条款前附表</w:t>
      </w:r>
      <w:r>
        <w:rPr>
          <w:rFonts w:hint="eastAsia" w:hAnsi="宋体"/>
          <w:bCs/>
          <w:szCs w:val="21"/>
        </w:rPr>
        <w:t>》</w:t>
      </w:r>
      <w:r>
        <w:rPr>
          <w:rFonts w:hint="eastAsia" w:hAnsi="宋体"/>
          <w:szCs w:val="21"/>
        </w:rPr>
        <w:t>中的商务条款作出全面、真实的反映，若响应文件中响应情况与磋商文件商务条款不符或无有效证明，而供应商又未在磋商文件中作出说明和解释的，磋商小组在评审时可以视为不响应该条商务条款的规定。</w:t>
      </w:r>
    </w:p>
    <w:p>
      <w:pPr>
        <w:pStyle w:val="15"/>
        <w:spacing w:line="360" w:lineRule="auto"/>
        <w:ind w:firstLine="420" w:firstLineChars="200"/>
        <w:rPr>
          <w:b/>
          <w:sz w:val="28"/>
          <w:szCs w:val="28"/>
        </w:rPr>
      </w:pPr>
      <w:r>
        <w:rPr>
          <w:rFonts w:hint="eastAsia" w:hAnsi="宋体"/>
          <w:szCs w:val="21"/>
        </w:rPr>
        <w:t>4、供应商可根据磋商文件商务条款拓展本表，但不得改变格式。</w:t>
      </w:r>
    </w:p>
    <w:p/>
    <w:p>
      <w:pPr>
        <w:pStyle w:val="15"/>
        <w:spacing w:line="480" w:lineRule="auto"/>
        <w:rPr>
          <w:rFonts w:hAnsi="宋体"/>
          <w:szCs w:val="21"/>
        </w:rPr>
      </w:pPr>
      <w:r>
        <w:rPr>
          <w:rFonts w:hint="eastAsia" w:hAnsi="宋体"/>
          <w:szCs w:val="21"/>
        </w:rPr>
        <w:t>供应商（加盖公章)：</w:t>
      </w:r>
    </w:p>
    <w:p>
      <w:pPr>
        <w:pStyle w:val="15"/>
        <w:spacing w:line="480" w:lineRule="auto"/>
        <w:rPr>
          <w:rFonts w:hAnsi="宋体"/>
          <w:szCs w:val="21"/>
        </w:rPr>
      </w:pPr>
      <w:r>
        <w:rPr>
          <w:rFonts w:hint="eastAsia" w:hAnsi="宋体"/>
          <w:szCs w:val="21"/>
        </w:rPr>
        <w:t>法定代表人或委托代理人（签字或盖章）：</w:t>
      </w:r>
    </w:p>
    <w:p>
      <w:pPr>
        <w:pStyle w:val="15"/>
        <w:spacing w:line="480" w:lineRule="auto"/>
        <w:rPr>
          <w:rFonts w:hAnsi="宋体"/>
          <w:szCs w:val="21"/>
        </w:rPr>
      </w:pPr>
      <w:r>
        <w:rPr>
          <w:rFonts w:hint="eastAsia" w:hAnsi="宋体"/>
          <w:szCs w:val="21"/>
        </w:rPr>
        <w:t>日期：</w:t>
      </w:r>
    </w:p>
    <w:p/>
    <w:p>
      <w:pPr>
        <w:spacing w:line="440" w:lineRule="exact"/>
        <w:rPr>
          <w:rFonts w:asciiTheme="minorEastAsia" w:hAnsiTheme="minorEastAsia" w:eastAsiaTheme="minorEastAsia"/>
          <w:b/>
          <w:snapToGrid/>
          <w:kern w:val="0"/>
          <w:sz w:val="28"/>
          <w:szCs w:val="28"/>
        </w:rPr>
      </w:pPr>
      <w:r>
        <w:rPr>
          <w:rFonts w:hint="eastAsia" w:asciiTheme="minorEastAsia" w:hAnsiTheme="minorEastAsia" w:eastAsiaTheme="minorEastAsia"/>
          <w:b/>
          <w:snapToGrid/>
          <w:kern w:val="0"/>
          <w:sz w:val="28"/>
          <w:szCs w:val="28"/>
        </w:rPr>
        <w:t>格式</w:t>
      </w:r>
      <w:r>
        <w:rPr>
          <w:rFonts w:asciiTheme="minorEastAsia" w:hAnsiTheme="minorEastAsia" w:eastAsiaTheme="minorEastAsia"/>
          <w:b/>
          <w:snapToGrid/>
          <w:kern w:val="0"/>
          <w:sz w:val="28"/>
          <w:szCs w:val="28"/>
        </w:rPr>
        <w:t>6</w:t>
      </w:r>
    </w:p>
    <w:p>
      <w:pPr>
        <w:pStyle w:val="4"/>
        <w:keepLines w:val="0"/>
        <w:spacing w:before="240" w:after="240" w:line="360" w:lineRule="auto"/>
        <w:jc w:val="center"/>
        <w:rPr>
          <w:rFonts w:hint="default" w:hAnsi="黑体"/>
          <w:kern w:val="0"/>
          <w:sz w:val="30"/>
          <w:szCs w:val="30"/>
          <w:lang w:val="en-US" w:eastAsia="zh-CN"/>
        </w:rPr>
      </w:pPr>
      <w:bookmarkStart w:id="329" w:name="_Toc6496688"/>
      <w:bookmarkStart w:id="330" w:name="_Toc72489578"/>
      <w:r>
        <w:rPr>
          <w:rFonts w:hAnsi="黑体"/>
          <w:kern w:val="0"/>
          <w:sz w:val="30"/>
          <w:szCs w:val="30"/>
          <w:lang w:val="en-US" w:eastAsia="zh-CN"/>
        </w:rPr>
        <w:t>数据中心建设方案</w:t>
      </w:r>
      <w:bookmarkEnd w:id="329"/>
      <w:bookmarkEnd w:id="330"/>
    </w:p>
    <w:p>
      <w:pPr>
        <w:pStyle w:val="15"/>
        <w:spacing w:line="360" w:lineRule="auto"/>
        <w:ind w:left="-141" w:leftChars="-67" w:right="-143" w:rightChars="-68"/>
        <w:jc w:val="center"/>
        <w:rPr>
          <w:rFonts w:hAnsi="宋体"/>
          <w:szCs w:val="21"/>
        </w:rPr>
      </w:pPr>
      <w:r>
        <w:rPr>
          <w:rFonts w:hint="eastAsia" w:hAnsi="宋体"/>
          <w:szCs w:val="21"/>
        </w:rPr>
        <w:t>（供应商按照竞争性磋商文件要求、评审办法的评审内容及采购需求由供应商自行编写，格式自拟）</w:t>
      </w:r>
    </w:p>
    <w:p/>
    <w:p/>
    <w:p>
      <w:pPr>
        <w:spacing w:line="440" w:lineRule="exact"/>
        <w:rPr>
          <w:rFonts w:asciiTheme="minorEastAsia" w:hAnsiTheme="minorEastAsia" w:eastAsiaTheme="minorEastAsia"/>
          <w:b/>
          <w:snapToGrid/>
          <w:kern w:val="0"/>
          <w:sz w:val="28"/>
          <w:szCs w:val="28"/>
        </w:rPr>
      </w:pPr>
      <w:r>
        <w:rPr>
          <w:rFonts w:hint="eastAsia" w:asciiTheme="minorEastAsia" w:hAnsiTheme="minorEastAsia" w:eastAsiaTheme="minorEastAsia"/>
          <w:b/>
          <w:snapToGrid/>
          <w:kern w:val="0"/>
          <w:sz w:val="28"/>
          <w:szCs w:val="28"/>
        </w:rPr>
        <w:t>格式</w:t>
      </w:r>
      <w:r>
        <w:rPr>
          <w:rFonts w:asciiTheme="minorEastAsia" w:hAnsiTheme="minorEastAsia" w:eastAsiaTheme="minorEastAsia"/>
          <w:b/>
          <w:snapToGrid/>
          <w:kern w:val="0"/>
          <w:sz w:val="28"/>
          <w:szCs w:val="28"/>
        </w:rPr>
        <w:t>7</w:t>
      </w:r>
    </w:p>
    <w:p>
      <w:pPr>
        <w:pStyle w:val="4"/>
        <w:keepLines w:val="0"/>
        <w:spacing w:before="240" w:after="240" w:line="360" w:lineRule="auto"/>
        <w:jc w:val="center"/>
        <w:rPr>
          <w:rFonts w:hint="default" w:hAnsi="黑体"/>
          <w:kern w:val="0"/>
          <w:sz w:val="30"/>
          <w:szCs w:val="30"/>
          <w:lang w:val="en-US" w:eastAsia="zh-CN"/>
        </w:rPr>
      </w:pPr>
      <w:bookmarkStart w:id="331" w:name="_Toc72489579"/>
      <w:r>
        <w:rPr>
          <w:rFonts w:hAnsi="黑体"/>
          <w:kern w:val="0"/>
          <w:sz w:val="30"/>
          <w:szCs w:val="30"/>
          <w:lang w:val="en-US" w:eastAsia="zh-CN"/>
        </w:rPr>
        <w:t>系统功能方案</w:t>
      </w:r>
      <w:bookmarkEnd w:id="331"/>
    </w:p>
    <w:p>
      <w:pPr>
        <w:pStyle w:val="15"/>
        <w:spacing w:line="360" w:lineRule="auto"/>
        <w:ind w:left="-141" w:leftChars="-67" w:right="-143" w:rightChars="-68"/>
        <w:jc w:val="center"/>
        <w:rPr>
          <w:rFonts w:hAnsi="宋体"/>
          <w:szCs w:val="21"/>
        </w:rPr>
      </w:pPr>
      <w:r>
        <w:rPr>
          <w:rFonts w:hint="eastAsia" w:hAnsi="宋体"/>
          <w:szCs w:val="21"/>
        </w:rPr>
        <w:t>（供应商按照竞争性磋商文件要求、评审办法的评审内容及采购需求由供应商自行编写，格式自拟）</w:t>
      </w:r>
    </w:p>
    <w:p>
      <w:pPr>
        <w:pStyle w:val="15"/>
        <w:rPr>
          <w:rFonts w:hAnsi="宋体"/>
          <w:szCs w:val="21"/>
        </w:rPr>
      </w:pPr>
    </w:p>
    <w:p/>
    <w:p>
      <w:pPr>
        <w:spacing w:line="440" w:lineRule="exact"/>
        <w:rPr>
          <w:rFonts w:asciiTheme="minorEastAsia" w:hAnsiTheme="minorEastAsia" w:eastAsiaTheme="minorEastAsia"/>
          <w:b/>
          <w:snapToGrid/>
          <w:kern w:val="0"/>
          <w:sz w:val="28"/>
          <w:szCs w:val="28"/>
        </w:rPr>
      </w:pPr>
      <w:r>
        <w:rPr>
          <w:rFonts w:hint="eastAsia" w:asciiTheme="minorEastAsia" w:hAnsiTheme="minorEastAsia" w:eastAsiaTheme="minorEastAsia"/>
          <w:b/>
          <w:snapToGrid/>
          <w:kern w:val="0"/>
          <w:sz w:val="28"/>
          <w:szCs w:val="28"/>
        </w:rPr>
        <w:t>格式</w:t>
      </w:r>
      <w:r>
        <w:rPr>
          <w:rFonts w:asciiTheme="minorEastAsia" w:hAnsiTheme="minorEastAsia" w:eastAsiaTheme="minorEastAsia"/>
          <w:b/>
          <w:snapToGrid/>
          <w:kern w:val="0"/>
          <w:sz w:val="28"/>
          <w:szCs w:val="28"/>
        </w:rPr>
        <w:t>8</w:t>
      </w:r>
    </w:p>
    <w:p>
      <w:pPr>
        <w:pStyle w:val="4"/>
        <w:keepLines w:val="0"/>
        <w:spacing w:before="240" w:after="240" w:line="360" w:lineRule="auto"/>
        <w:jc w:val="center"/>
        <w:rPr>
          <w:rFonts w:hint="default" w:hAnsi="黑体"/>
          <w:kern w:val="0"/>
          <w:sz w:val="30"/>
          <w:szCs w:val="30"/>
          <w:lang w:val="en-US" w:eastAsia="zh-CN"/>
        </w:rPr>
      </w:pPr>
      <w:bookmarkStart w:id="332" w:name="_Toc72489580"/>
      <w:r>
        <w:rPr>
          <w:rFonts w:hAnsi="黑体"/>
          <w:kern w:val="0"/>
          <w:sz w:val="30"/>
          <w:szCs w:val="30"/>
          <w:lang w:val="en-US" w:eastAsia="zh-CN"/>
        </w:rPr>
        <w:t>数据中心平台信息安全、保密措施</w:t>
      </w:r>
      <w:bookmarkEnd w:id="332"/>
    </w:p>
    <w:p>
      <w:pPr>
        <w:pStyle w:val="15"/>
        <w:spacing w:line="360" w:lineRule="auto"/>
        <w:ind w:left="-141" w:leftChars="-67" w:right="-143" w:rightChars="-68"/>
        <w:jc w:val="center"/>
        <w:rPr>
          <w:rFonts w:hAnsi="宋体"/>
          <w:szCs w:val="21"/>
        </w:rPr>
      </w:pPr>
      <w:r>
        <w:rPr>
          <w:rFonts w:hint="eastAsia" w:hAnsi="宋体"/>
          <w:szCs w:val="21"/>
        </w:rPr>
        <w:t>（供应商按照竞争性磋商文件要求、评审办法的评审内容及采购需求由供应商自行编写，格式自拟）</w:t>
      </w:r>
    </w:p>
    <w:p>
      <w:pPr>
        <w:pStyle w:val="15"/>
        <w:rPr>
          <w:rFonts w:hAnsi="宋体"/>
          <w:szCs w:val="21"/>
        </w:rPr>
      </w:pPr>
    </w:p>
    <w:p>
      <w:pPr>
        <w:spacing w:line="440" w:lineRule="exact"/>
        <w:rPr>
          <w:rFonts w:asciiTheme="minorEastAsia" w:hAnsiTheme="minorEastAsia" w:eastAsiaTheme="minorEastAsia"/>
          <w:b/>
          <w:snapToGrid/>
          <w:kern w:val="0"/>
          <w:sz w:val="28"/>
          <w:szCs w:val="28"/>
        </w:rPr>
      </w:pPr>
      <w:r>
        <w:rPr>
          <w:rFonts w:hint="eastAsia" w:asciiTheme="minorEastAsia" w:hAnsiTheme="minorEastAsia" w:eastAsiaTheme="minorEastAsia"/>
          <w:b/>
          <w:snapToGrid/>
          <w:kern w:val="0"/>
          <w:sz w:val="28"/>
          <w:szCs w:val="28"/>
        </w:rPr>
        <w:t>格式</w:t>
      </w:r>
      <w:r>
        <w:rPr>
          <w:rFonts w:asciiTheme="minorEastAsia" w:hAnsiTheme="minorEastAsia" w:eastAsiaTheme="minorEastAsia"/>
          <w:b/>
          <w:snapToGrid/>
          <w:kern w:val="0"/>
          <w:sz w:val="28"/>
          <w:szCs w:val="28"/>
        </w:rPr>
        <w:t>9</w:t>
      </w:r>
    </w:p>
    <w:p>
      <w:pPr>
        <w:pStyle w:val="4"/>
        <w:keepLines w:val="0"/>
        <w:spacing w:before="240" w:after="240" w:line="360" w:lineRule="auto"/>
        <w:jc w:val="center"/>
        <w:rPr>
          <w:rFonts w:hint="default" w:hAnsi="黑体"/>
          <w:kern w:val="0"/>
          <w:sz w:val="30"/>
          <w:szCs w:val="30"/>
          <w:lang w:val="en-US" w:eastAsia="zh-CN"/>
        </w:rPr>
      </w:pPr>
      <w:bookmarkStart w:id="333" w:name="_Toc72489581"/>
      <w:r>
        <w:rPr>
          <w:rFonts w:hAnsi="黑体"/>
          <w:kern w:val="0"/>
          <w:sz w:val="30"/>
          <w:szCs w:val="30"/>
          <w:lang w:val="en-US" w:eastAsia="zh-CN"/>
        </w:rPr>
        <w:t>时间进度计划安排</w:t>
      </w:r>
      <w:bookmarkEnd w:id="333"/>
    </w:p>
    <w:p>
      <w:pPr>
        <w:pStyle w:val="15"/>
        <w:spacing w:line="360" w:lineRule="auto"/>
        <w:ind w:left="-141" w:leftChars="-67" w:right="-143" w:rightChars="-68"/>
        <w:jc w:val="center"/>
        <w:rPr>
          <w:rFonts w:hAnsi="宋体"/>
          <w:szCs w:val="21"/>
        </w:rPr>
      </w:pPr>
      <w:r>
        <w:rPr>
          <w:rFonts w:hint="eastAsia" w:hAnsi="宋体"/>
          <w:szCs w:val="21"/>
        </w:rPr>
        <w:t>（供应商按照竞争性磋商文件要求、评审办法的评审内容及采购需求由供应商自行编写，格式自拟）</w:t>
      </w:r>
    </w:p>
    <w:p/>
    <w:p/>
    <w:p>
      <w:pPr>
        <w:spacing w:line="440" w:lineRule="exact"/>
        <w:rPr>
          <w:rFonts w:asciiTheme="minorEastAsia" w:hAnsiTheme="minorEastAsia" w:eastAsiaTheme="minorEastAsia"/>
          <w:b/>
          <w:snapToGrid/>
          <w:kern w:val="0"/>
          <w:sz w:val="28"/>
          <w:szCs w:val="28"/>
        </w:rPr>
      </w:pPr>
      <w:r>
        <w:rPr>
          <w:rFonts w:hint="eastAsia" w:asciiTheme="minorEastAsia" w:hAnsiTheme="minorEastAsia" w:eastAsiaTheme="minorEastAsia"/>
          <w:b/>
          <w:snapToGrid/>
          <w:kern w:val="0"/>
          <w:sz w:val="28"/>
          <w:szCs w:val="28"/>
        </w:rPr>
        <w:t>格式</w:t>
      </w:r>
      <w:r>
        <w:rPr>
          <w:rFonts w:asciiTheme="minorEastAsia" w:hAnsiTheme="minorEastAsia" w:eastAsiaTheme="minorEastAsia"/>
          <w:b/>
          <w:snapToGrid/>
          <w:kern w:val="0"/>
          <w:sz w:val="28"/>
          <w:szCs w:val="28"/>
        </w:rPr>
        <w:t>10</w:t>
      </w:r>
    </w:p>
    <w:p>
      <w:pPr>
        <w:pStyle w:val="4"/>
        <w:keepLines w:val="0"/>
        <w:spacing w:before="240" w:after="240" w:line="360" w:lineRule="auto"/>
        <w:jc w:val="center"/>
        <w:rPr>
          <w:rFonts w:hint="default" w:hAnsi="黑体"/>
          <w:kern w:val="0"/>
          <w:sz w:val="30"/>
          <w:szCs w:val="30"/>
          <w:lang w:val="en-US" w:eastAsia="zh-CN"/>
        </w:rPr>
      </w:pPr>
      <w:bookmarkStart w:id="334" w:name="_Toc72489582"/>
      <w:r>
        <w:rPr>
          <w:rFonts w:hAnsi="黑体"/>
          <w:kern w:val="0"/>
          <w:sz w:val="30"/>
          <w:szCs w:val="30"/>
          <w:lang w:val="en-US" w:eastAsia="zh-CN"/>
        </w:rPr>
        <w:t>供应商综合能力</w:t>
      </w:r>
      <w:bookmarkEnd w:id="334"/>
    </w:p>
    <w:p>
      <w:pPr>
        <w:pStyle w:val="15"/>
        <w:spacing w:line="360" w:lineRule="auto"/>
        <w:ind w:left="-141" w:leftChars="-67" w:right="-143" w:rightChars="-68"/>
        <w:jc w:val="center"/>
        <w:rPr>
          <w:rFonts w:hAnsi="宋体"/>
          <w:szCs w:val="21"/>
        </w:rPr>
      </w:pPr>
      <w:r>
        <w:rPr>
          <w:rFonts w:hint="eastAsia" w:hAnsi="宋体"/>
          <w:szCs w:val="21"/>
        </w:rPr>
        <w:t>（供应商提供企业荣获的相关奖项、证书等证明材料，格式自拟）</w:t>
      </w:r>
    </w:p>
    <w:p/>
    <w:p/>
    <w:p/>
    <w:p>
      <w:pPr>
        <w:spacing w:line="440" w:lineRule="exact"/>
        <w:rPr>
          <w:rFonts w:asciiTheme="minorEastAsia" w:hAnsiTheme="minorEastAsia" w:eastAsiaTheme="minorEastAsia"/>
          <w:b/>
          <w:snapToGrid/>
          <w:kern w:val="0"/>
          <w:sz w:val="28"/>
          <w:szCs w:val="28"/>
        </w:rPr>
      </w:pPr>
      <w:r>
        <w:rPr>
          <w:rFonts w:hint="eastAsia" w:asciiTheme="minorEastAsia" w:hAnsiTheme="minorEastAsia" w:eastAsiaTheme="minorEastAsia"/>
          <w:b/>
          <w:snapToGrid/>
          <w:kern w:val="0"/>
          <w:sz w:val="28"/>
          <w:szCs w:val="28"/>
        </w:rPr>
        <w:t>格式</w:t>
      </w:r>
      <w:r>
        <w:rPr>
          <w:rFonts w:asciiTheme="minorEastAsia" w:hAnsiTheme="minorEastAsia" w:eastAsiaTheme="minorEastAsia"/>
          <w:b/>
          <w:snapToGrid/>
          <w:kern w:val="0"/>
          <w:sz w:val="28"/>
          <w:szCs w:val="28"/>
        </w:rPr>
        <w:t>11</w:t>
      </w:r>
    </w:p>
    <w:p>
      <w:pPr>
        <w:pStyle w:val="4"/>
        <w:keepLines w:val="0"/>
        <w:spacing w:before="240" w:after="240" w:line="360" w:lineRule="auto"/>
        <w:jc w:val="center"/>
        <w:rPr>
          <w:rFonts w:hint="default" w:hAnsi="黑体"/>
          <w:kern w:val="0"/>
          <w:sz w:val="30"/>
          <w:szCs w:val="30"/>
          <w:lang w:val="en-US" w:eastAsia="zh-CN"/>
        </w:rPr>
      </w:pPr>
      <w:bookmarkStart w:id="335" w:name="_Toc72489583"/>
      <w:r>
        <w:rPr>
          <w:rFonts w:hAnsi="黑体"/>
          <w:kern w:val="0"/>
          <w:sz w:val="30"/>
          <w:szCs w:val="30"/>
          <w:lang w:val="en-US" w:eastAsia="zh-CN"/>
        </w:rPr>
        <w:t>拟派往本项目的项目成员</w:t>
      </w:r>
      <w:bookmarkEnd w:id="335"/>
    </w:p>
    <w:p>
      <w:pPr>
        <w:pStyle w:val="15"/>
        <w:spacing w:line="360" w:lineRule="auto"/>
        <w:ind w:left="-141" w:leftChars="-67" w:right="-143" w:rightChars="-68"/>
        <w:jc w:val="center"/>
        <w:rPr>
          <w:rFonts w:hAnsi="宋体"/>
          <w:szCs w:val="21"/>
        </w:rPr>
      </w:pPr>
      <w:r>
        <w:rPr>
          <w:rFonts w:hint="eastAsia" w:hAnsi="宋体"/>
          <w:szCs w:val="21"/>
        </w:rPr>
        <w:t>（供应商自拟人员配备表及职务，并附人员的相关证件、证明材料，格式自拟）</w:t>
      </w:r>
    </w:p>
    <w:p/>
    <w:p/>
    <w:p>
      <w:pPr>
        <w:spacing w:line="440" w:lineRule="exact"/>
        <w:rPr>
          <w:rFonts w:asciiTheme="minorEastAsia" w:hAnsiTheme="minorEastAsia" w:eastAsiaTheme="minorEastAsia"/>
          <w:b/>
          <w:snapToGrid/>
          <w:kern w:val="0"/>
          <w:sz w:val="28"/>
          <w:szCs w:val="28"/>
        </w:rPr>
      </w:pPr>
      <w:r>
        <w:rPr>
          <w:rFonts w:hint="eastAsia" w:asciiTheme="minorEastAsia" w:hAnsiTheme="minorEastAsia" w:eastAsiaTheme="minorEastAsia"/>
          <w:b/>
          <w:snapToGrid/>
          <w:kern w:val="0"/>
          <w:sz w:val="28"/>
          <w:szCs w:val="28"/>
        </w:rPr>
        <w:t>格式1</w:t>
      </w:r>
      <w:r>
        <w:rPr>
          <w:rFonts w:asciiTheme="minorEastAsia" w:hAnsiTheme="minorEastAsia" w:eastAsiaTheme="minorEastAsia"/>
          <w:b/>
          <w:snapToGrid/>
          <w:kern w:val="0"/>
          <w:sz w:val="28"/>
          <w:szCs w:val="28"/>
        </w:rPr>
        <w:t>2</w:t>
      </w:r>
    </w:p>
    <w:p>
      <w:pPr>
        <w:pStyle w:val="4"/>
        <w:keepLines w:val="0"/>
        <w:spacing w:before="240" w:after="240" w:line="360" w:lineRule="auto"/>
        <w:jc w:val="center"/>
        <w:rPr>
          <w:rFonts w:hint="default" w:hAnsi="黑体"/>
          <w:kern w:val="0"/>
          <w:sz w:val="30"/>
          <w:szCs w:val="30"/>
          <w:lang w:val="en-US" w:eastAsia="zh-CN"/>
        </w:rPr>
      </w:pPr>
      <w:bookmarkStart w:id="336" w:name="_Toc6496690"/>
      <w:bookmarkStart w:id="337" w:name="_Toc72489584"/>
      <w:r>
        <w:rPr>
          <w:rFonts w:hAnsi="黑体"/>
          <w:kern w:val="0"/>
          <w:sz w:val="30"/>
          <w:szCs w:val="30"/>
          <w:lang w:val="en-US" w:eastAsia="zh-CN"/>
        </w:rPr>
        <w:t>服务</w:t>
      </w:r>
      <w:bookmarkEnd w:id="336"/>
      <w:r>
        <w:rPr>
          <w:rFonts w:hAnsi="黑体"/>
          <w:kern w:val="0"/>
          <w:sz w:val="30"/>
          <w:szCs w:val="30"/>
          <w:lang w:val="en-US" w:eastAsia="zh-CN"/>
        </w:rPr>
        <w:t>承诺</w:t>
      </w:r>
      <w:bookmarkEnd w:id="337"/>
    </w:p>
    <w:bookmarkEnd w:id="324"/>
    <w:bookmarkEnd w:id="325"/>
    <w:bookmarkEnd w:id="326"/>
    <w:bookmarkEnd w:id="327"/>
    <w:bookmarkEnd w:id="328"/>
    <w:p>
      <w:pPr>
        <w:pStyle w:val="15"/>
        <w:spacing w:line="360" w:lineRule="auto"/>
        <w:ind w:left="-141" w:leftChars="-67" w:right="-143" w:rightChars="-68"/>
        <w:jc w:val="center"/>
        <w:rPr>
          <w:rFonts w:hAnsi="宋体"/>
          <w:szCs w:val="21"/>
        </w:rPr>
      </w:pPr>
      <w:bookmarkStart w:id="338" w:name="_Toc6496691"/>
      <w:r>
        <w:rPr>
          <w:rFonts w:hint="eastAsia" w:hAnsi="宋体"/>
          <w:szCs w:val="21"/>
        </w:rPr>
        <w:t>（供应商按照竞争性磋商文件要求、评审办法的评审内容及采购需求由供应商自行编写，格式自拟）</w:t>
      </w:r>
    </w:p>
    <w:p/>
    <w:p/>
    <w:p>
      <w:pPr>
        <w:spacing w:line="440" w:lineRule="exact"/>
        <w:rPr>
          <w:rFonts w:asciiTheme="minorEastAsia" w:hAnsiTheme="minorEastAsia" w:eastAsiaTheme="minorEastAsia"/>
          <w:b/>
          <w:snapToGrid/>
          <w:kern w:val="0"/>
          <w:sz w:val="28"/>
          <w:szCs w:val="28"/>
        </w:rPr>
      </w:pPr>
      <w:r>
        <w:rPr>
          <w:rFonts w:hint="eastAsia" w:asciiTheme="minorEastAsia" w:hAnsiTheme="minorEastAsia" w:eastAsiaTheme="minorEastAsia"/>
          <w:b/>
          <w:snapToGrid/>
          <w:kern w:val="0"/>
          <w:sz w:val="28"/>
          <w:szCs w:val="28"/>
        </w:rPr>
        <w:t>格式1</w:t>
      </w:r>
      <w:r>
        <w:rPr>
          <w:rFonts w:asciiTheme="minorEastAsia" w:hAnsiTheme="minorEastAsia" w:eastAsiaTheme="minorEastAsia"/>
          <w:b/>
          <w:snapToGrid/>
          <w:kern w:val="0"/>
          <w:sz w:val="28"/>
          <w:szCs w:val="28"/>
        </w:rPr>
        <w:t>3</w:t>
      </w:r>
    </w:p>
    <w:p>
      <w:pPr>
        <w:pStyle w:val="4"/>
        <w:keepLines w:val="0"/>
        <w:spacing w:before="240" w:after="240" w:line="360" w:lineRule="auto"/>
        <w:jc w:val="center"/>
        <w:rPr>
          <w:rFonts w:hint="default" w:hAnsi="黑体"/>
          <w:kern w:val="0"/>
          <w:sz w:val="30"/>
          <w:szCs w:val="30"/>
          <w:lang w:val="en-US" w:eastAsia="zh-CN"/>
        </w:rPr>
      </w:pPr>
      <w:bookmarkStart w:id="339" w:name="_Toc72489585"/>
      <w:r>
        <w:rPr>
          <w:rFonts w:hAnsi="黑体"/>
          <w:kern w:val="0"/>
          <w:sz w:val="30"/>
          <w:szCs w:val="30"/>
          <w:lang w:val="en-US" w:eastAsia="zh-CN"/>
        </w:rPr>
        <w:t>类似项目业绩列表</w:t>
      </w:r>
      <w:bookmarkEnd w:id="338"/>
      <w:bookmarkEnd w:id="339"/>
    </w:p>
    <w:p>
      <w:pPr>
        <w:rPr>
          <w:rFonts w:hAnsi="宋体"/>
        </w:rPr>
      </w:pPr>
    </w:p>
    <w:tbl>
      <w:tblPr>
        <w:tblStyle w:val="28"/>
        <w:tblW w:w="9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589"/>
        <w:gridCol w:w="1705"/>
        <w:gridCol w:w="2659"/>
        <w:gridCol w:w="1903"/>
        <w:gridCol w:w="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28" w:type="dxa"/>
            <w:vAlign w:val="center"/>
          </w:tcPr>
          <w:p>
            <w:pPr>
              <w:spacing w:line="360" w:lineRule="auto"/>
              <w:jc w:val="center"/>
              <w:rPr>
                <w:rFonts w:hAnsi="宋体"/>
                <w:szCs w:val="21"/>
              </w:rPr>
            </w:pPr>
            <w:r>
              <w:rPr>
                <w:rFonts w:hAnsi="宋体"/>
                <w:szCs w:val="21"/>
              </w:rPr>
              <w:t>序号</w:t>
            </w:r>
          </w:p>
        </w:tc>
        <w:tc>
          <w:tcPr>
            <w:tcW w:w="1589" w:type="dxa"/>
            <w:vAlign w:val="center"/>
          </w:tcPr>
          <w:p>
            <w:pPr>
              <w:spacing w:line="360" w:lineRule="auto"/>
              <w:jc w:val="center"/>
              <w:rPr>
                <w:rFonts w:hAnsi="宋体"/>
                <w:szCs w:val="21"/>
              </w:rPr>
            </w:pPr>
            <w:r>
              <w:rPr>
                <w:rFonts w:hint="eastAsia" w:hAnsi="宋体"/>
                <w:szCs w:val="21"/>
              </w:rPr>
              <w:t>项目名称</w:t>
            </w:r>
          </w:p>
        </w:tc>
        <w:tc>
          <w:tcPr>
            <w:tcW w:w="1705" w:type="dxa"/>
            <w:vAlign w:val="center"/>
          </w:tcPr>
          <w:p>
            <w:pPr>
              <w:spacing w:line="360" w:lineRule="auto"/>
              <w:jc w:val="center"/>
              <w:rPr>
                <w:rFonts w:hAnsi="宋体"/>
                <w:szCs w:val="21"/>
              </w:rPr>
            </w:pPr>
            <w:r>
              <w:rPr>
                <w:rFonts w:hint="eastAsia" w:hAnsi="宋体"/>
                <w:szCs w:val="21"/>
              </w:rPr>
              <w:t>采购人</w:t>
            </w:r>
          </w:p>
        </w:tc>
        <w:tc>
          <w:tcPr>
            <w:tcW w:w="2659" w:type="dxa"/>
            <w:vAlign w:val="center"/>
          </w:tcPr>
          <w:p>
            <w:pPr>
              <w:spacing w:line="360" w:lineRule="auto"/>
              <w:jc w:val="center"/>
              <w:rPr>
                <w:rFonts w:hAnsi="宋体"/>
                <w:szCs w:val="21"/>
              </w:rPr>
            </w:pPr>
            <w:r>
              <w:rPr>
                <w:rFonts w:hint="eastAsia" w:hAnsi="宋体"/>
                <w:szCs w:val="21"/>
              </w:rPr>
              <w:t>服务内容</w:t>
            </w:r>
          </w:p>
        </w:tc>
        <w:tc>
          <w:tcPr>
            <w:tcW w:w="1903" w:type="dxa"/>
            <w:vAlign w:val="center"/>
          </w:tcPr>
          <w:p>
            <w:pPr>
              <w:spacing w:line="360" w:lineRule="auto"/>
              <w:jc w:val="center"/>
              <w:rPr>
                <w:rFonts w:hAnsi="宋体"/>
                <w:szCs w:val="21"/>
              </w:rPr>
            </w:pPr>
            <w:r>
              <w:rPr>
                <w:rFonts w:hint="eastAsia" w:hAnsi="宋体"/>
                <w:szCs w:val="32"/>
              </w:rPr>
              <w:t>合同金额（万元）</w:t>
            </w:r>
          </w:p>
        </w:tc>
        <w:tc>
          <w:tcPr>
            <w:tcW w:w="802" w:type="dxa"/>
            <w:vAlign w:val="center"/>
          </w:tcPr>
          <w:p>
            <w:pPr>
              <w:spacing w:line="360" w:lineRule="auto"/>
              <w:jc w:val="center"/>
              <w:rPr>
                <w:rFonts w:hAnsi="宋体"/>
                <w:szCs w:val="21"/>
              </w:rPr>
            </w:pPr>
            <w:r>
              <w:rPr>
                <w:rFonts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 w:type="dxa"/>
            <w:vAlign w:val="center"/>
          </w:tcPr>
          <w:p>
            <w:pPr>
              <w:spacing w:line="360" w:lineRule="auto"/>
              <w:jc w:val="center"/>
              <w:rPr>
                <w:rFonts w:hAnsi="宋体"/>
                <w:szCs w:val="21"/>
              </w:rPr>
            </w:pPr>
            <w:r>
              <w:rPr>
                <w:rFonts w:hint="eastAsia" w:hAnsi="宋体"/>
                <w:szCs w:val="21"/>
              </w:rPr>
              <w:t>1</w:t>
            </w:r>
          </w:p>
        </w:tc>
        <w:tc>
          <w:tcPr>
            <w:tcW w:w="1589" w:type="dxa"/>
            <w:vAlign w:val="center"/>
          </w:tcPr>
          <w:p>
            <w:pPr>
              <w:spacing w:line="360" w:lineRule="auto"/>
              <w:jc w:val="center"/>
              <w:rPr>
                <w:rFonts w:hAnsi="宋体"/>
                <w:szCs w:val="21"/>
              </w:rPr>
            </w:pPr>
          </w:p>
        </w:tc>
        <w:tc>
          <w:tcPr>
            <w:tcW w:w="1705" w:type="dxa"/>
            <w:vAlign w:val="center"/>
          </w:tcPr>
          <w:p>
            <w:pPr>
              <w:spacing w:line="360" w:lineRule="auto"/>
              <w:jc w:val="center"/>
              <w:rPr>
                <w:rFonts w:hAnsi="宋体"/>
                <w:szCs w:val="21"/>
              </w:rPr>
            </w:pPr>
          </w:p>
        </w:tc>
        <w:tc>
          <w:tcPr>
            <w:tcW w:w="2659" w:type="dxa"/>
            <w:vAlign w:val="center"/>
          </w:tcPr>
          <w:p>
            <w:pPr>
              <w:spacing w:line="360" w:lineRule="auto"/>
              <w:jc w:val="center"/>
              <w:rPr>
                <w:rFonts w:hAnsi="宋体"/>
                <w:szCs w:val="21"/>
              </w:rPr>
            </w:pPr>
          </w:p>
        </w:tc>
        <w:tc>
          <w:tcPr>
            <w:tcW w:w="1903" w:type="dxa"/>
            <w:vAlign w:val="center"/>
          </w:tcPr>
          <w:p>
            <w:pPr>
              <w:spacing w:line="360" w:lineRule="auto"/>
              <w:jc w:val="center"/>
              <w:rPr>
                <w:rFonts w:hAnsi="宋体"/>
                <w:szCs w:val="21"/>
              </w:rPr>
            </w:pPr>
          </w:p>
        </w:tc>
        <w:tc>
          <w:tcPr>
            <w:tcW w:w="802" w:type="dxa"/>
            <w:vAlign w:val="center"/>
          </w:tcPr>
          <w:p>
            <w:pPr>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 w:type="dxa"/>
            <w:vAlign w:val="center"/>
          </w:tcPr>
          <w:p>
            <w:pPr>
              <w:spacing w:line="360" w:lineRule="auto"/>
              <w:jc w:val="center"/>
              <w:rPr>
                <w:rFonts w:hAnsi="宋体"/>
                <w:szCs w:val="21"/>
              </w:rPr>
            </w:pPr>
            <w:r>
              <w:rPr>
                <w:rFonts w:hint="eastAsia" w:hAnsi="宋体"/>
                <w:szCs w:val="21"/>
              </w:rPr>
              <w:t>2</w:t>
            </w:r>
          </w:p>
        </w:tc>
        <w:tc>
          <w:tcPr>
            <w:tcW w:w="1589" w:type="dxa"/>
            <w:vAlign w:val="center"/>
          </w:tcPr>
          <w:p>
            <w:pPr>
              <w:spacing w:line="360" w:lineRule="auto"/>
              <w:jc w:val="center"/>
              <w:rPr>
                <w:rFonts w:hAnsi="宋体"/>
                <w:szCs w:val="21"/>
              </w:rPr>
            </w:pPr>
          </w:p>
        </w:tc>
        <w:tc>
          <w:tcPr>
            <w:tcW w:w="1705" w:type="dxa"/>
            <w:vAlign w:val="center"/>
          </w:tcPr>
          <w:p>
            <w:pPr>
              <w:spacing w:line="360" w:lineRule="auto"/>
              <w:jc w:val="center"/>
              <w:rPr>
                <w:rFonts w:hAnsi="宋体"/>
                <w:szCs w:val="21"/>
              </w:rPr>
            </w:pPr>
          </w:p>
        </w:tc>
        <w:tc>
          <w:tcPr>
            <w:tcW w:w="2659" w:type="dxa"/>
            <w:vAlign w:val="center"/>
          </w:tcPr>
          <w:p>
            <w:pPr>
              <w:spacing w:line="360" w:lineRule="auto"/>
              <w:jc w:val="center"/>
              <w:rPr>
                <w:rFonts w:hAnsi="宋体"/>
                <w:szCs w:val="21"/>
              </w:rPr>
            </w:pPr>
          </w:p>
        </w:tc>
        <w:tc>
          <w:tcPr>
            <w:tcW w:w="1903" w:type="dxa"/>
            <w:vAlign w:val="center"/>
          </w:tcPr>
          <w:p>
            <w:pPr>
              <w:spacing w:line="360" w:lineRule="auto"/>
              <w:jc w:val="center"/>
              <w:rPr>
                <w:rFonts w:hAnsi="宋体"/>
                <w:szCs w:val="21"/>
              </w:rPr>
            </w:pPr>
          </w:p>
        </w:tc>
        <w:tc>
          <w:tcPr>
            <w:tcW w:w="802" w:type="dxa"/>
            <w:vAlign w:val="center"/>
          </w:tcPr>
          <w:p>
            <w:pPr>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 w:type="dxa"/>
            <w:vAlign w:val="center"/>
          </w:tcPr>
          <w:p>
            <w:pPr>
              <w:spacing w:line="360" w:lineRule="auto"/>
              <w:jc w:val="center"/>
              <w:rPr>
                <w:rFonts w:hAnsi="宋体"/>
                <w:szCs w:val="21"/>
              </w:rPr>
            </w:pPr>
            <w:r>
              <w:rPr>
                <w:rFonts w:hAnsi="宋体"/>
                <w:szCs w:val="21"/>
              </w:rPr>
              <w:t>…</w:t>
            </w:r>
          </w:p>
        </w:tc>
        <w:tc>
          <w:tcPr>
            <w:tcW w:w="1589" w:type="dxa"/>
            <w:vAlign w:val="center"/>
          </w:tcPr>
          <w:p>
            <w:pPr>
              <w:spacing w:line="360" w:lineRule="auto"/>
              <w:jc w:val="center"/>
              <w:rPr>
                <w:rFonts w:hAnsi="宋体"/>
                <w:szCs w:val="21"/>
              </w:rPr>
            </w:pPr>
          </w:p>
        </w:tc>
        <w:tc>
          <w:tcPr>
            <w:tcW w:w="1705" w:type="dxa"/>
            <w:vAlign w:val="center"/>
          </w:tcPr>
          <w:p>
            <w:pPr>
              <w:spacing w:line="360" w:lineRule="auto"/>
              <w:jc w:val="center"/>
              <w:rPr>
                <w:rFonts w:hAnsi="宋体"/>
                <w:szCs w:val="21"/>
              </w:rPr>
            </w:pPr>
          </w:p>
        </w:tc>
        <w:tc>
          <w:tcPr>
            <w:tcW w:w="2659" w:type="dxa"/>
            <w:vAlign w:val="center"/>
          </w:tcPr>
          <w:p>
            <w:pPr>
              <w:spacing w:line="360" w:lineRule="auto"/>
              <w:jc w:val="center"/>
              <w:rPr>
                <w:rFonts w:hAnsi="宋体"/>
                <w:szCs w:val="21"/>
              </w:rPr>
            </w:pPr>
          </w:p>
        </w:tc>
        <w:tc>
          <w:tcPr>
            <w:tcW w:w="1903" w:type="dxa"/>
            <w:vAlign w:val="center"/>
          </w:tcPr>
          <w:p>
            <w:pPr>
              <w:spacing w:line="360" w:lineRule="auto"/>
              <w:jc w:val="center"/>
              <w:rPr>
                <w:rFonts w:hAnsi="宋体"/>
                <w:szCs w:val="21"/>
              </w:rPr>
            </w:pPr>
          </w:p>
        </w:tc>
        <w:tc>
          <w:tcPr>
            <w:tcW w:w="802" w:type="dxa"/>
            <w:vAlign w:val="center"/>
          </w:tcPr>
          <w:p>
            <w:pPr>
              <w:spacing w:line="360" w:lineRule="auto"/>
              <w:jc w:val="center"/>
              <w:rPr>
                <w:rFonts w:hAnsi="宋体"/>
                <w:szCs w:val="21"/>
              </w:rPr>
            </w:pPr>
          </w:p>
        </w:tc>
      </w:tr>
    </w:tbl>
    <w:p>
      <w:pPr>
        <w:pStyle w:val="15"/>
        <w:rPr>
          <w:rFonts w:hAnsi="宋体"/>
          <w:szCs w:val="21"/>
        </w:rPr>
      </w:pPr>
    </w:p>
    <w:p>
      <w:pPr>
        <w:spacing w:line="360" w:lineRule="auto"/>
        <w:rPr>
          <w:rFonts w:hAnsi="宋体"/>
          <w:szCs w:val="21"/>
        </w:rPr>
      </w:pPr>
      <w:r>
        <w:rPr>
          <w:rFonts w:hAnsi="宋体"/>
          <w:szCs w:val="21"/>
        </w:rPr>
        <w:t>注：</w:t>
      </w:r>
    </w:p>
    <w:p>
      <w:pPr>
        <w:spacing w:line="360" w:lineRule="auto"/>
        <w:ind w:firstLine="420" w:firstLineChars="200"/>
        <w:rPr>
          <w:rFonts w:hAnsi="宋体"/>
          <w:bCs/>
          <w:szCs w:val="21"/>
        </w:rPr>
      </w:pPr>
      <w:r>
        <w:rPr>
          <w:rFonts w:hAnsi="宋体"/>
          <w:szCs w:val="21"/>
        </w:rPr>
        <w:t>1、</w:t>
      </w:r>
      <w:r>
        <w:rPr>
          <w:rFonts w:hint="eastAsia" w:hAnsi="宋体"/>
          <w:szCs w:val="21"/>
        </w:rPr>
        <w:t>本表后须提供类似项目业绩列表及相对应的业绩证明材料，业绩证明材料为中标/成交通知书或合同或业主证明（提供合同的，须至少提供合同的首页、标的及金额所在页及合同签字盖章页），无证明材料或未按要求提供证明材料或证明材料无法体现内容的，不予认可。</w:t>
      </w:r>
    </w:p>
    <w:p>
      <w:pPr>
        <w:spacing w:line="360" w:lineRule="auto"/>
        <w:ind w:firstLine="420" w:firstLineChars="200"/>
        <w:rPr>
          <w:rFonts w:hAnsi="宋体"/>
          <w:bCs/>
          <w:szCs w:val="21"/>
        </w:rPr>
      </w:pPr>
      <w:r>
        <w:rPr>
          <w:rFonts w:hint="eastAsia" w:hAnsi="宋体"/>
          <w:bCs/>
          <w:szCs w:val="21"/>
        </w:rPr>
        <w:t>2、供应商可根据实际情况拓展本表。</w:t>
      </w:r>
    </w:p>
    <w:p/>
    <w:p/>
    <w:p/>
    <w:p/>
    <w:bookmarkEnd w:id="212"/>
    <w:bookmarkEnd w:id="213"/>
    <w:bookmarkEnd w:id="214"/>
    <w:bookmarkEnd w:id="215"/>
    <w:bookmarkEnd w:id="216"/>
    <w:bookmarkEnd w:id="217"/>
    <w:bookmarkEnd w:id="218"/>
    <w:p>
      <w:pPr>
        <w:pStyle w:val="3"/>
        <w:widowControl/>
        <w:spacing w:before="240" w:after="240"/>
        <w:rPr>
          <w:rFonts w:ascii="Times New Roman" w:hAnsi="Times New Roman" w:eastAsia="黑体"/>
          <w:sz w:val="36"/>
          <w:szCs w:val="36"/>
          <w:lang w:val="zh-CN" w:eastAsia="zh-CN"/>
        </w:rPr>
      </w:pPr>
      <w:bookmarkStart w:id="340" w:name="_Toc72489586"/>
      <w:bookmarkStart w:id="341" w:name="_Toc491307331"/>
      <w:r>
        <w:rPr>
          <w:rFonts w:hint="eastAsia" w:ascii="Times New Roman" w:hAnsi="Times New Roman" w:eastAsia="黑体"/>
          <w:sz w:val="36"/>
          <w:szCs w:val="36"/>
          <w:lang w:val="zh-CN" w:eastAsia="zh-CN"/>
        </w:rPr>
        <w:t>第五章  采购需求</w:t>
      </w:r>
      <w:bookmarkEnd w:id="340"/>
      <w:bookmarkEnd w:id="341"/>
    </w:p>
    <w:p>
      <w:pPr>
        <w:spacing w:before="60" w:after="60" w:line="360" w:lineRule="auto"/>
        <w:jc w:val="left"/>
        <w:rPr>
          <w:b/>
          <w:bCs/>
          <w:szCs w:val="21"/>
        </w:rPr>
      </w:pPr>
      <w:bookmarkStart w:id="342" w:name="_Toc421622894"/>
      <w:bookmarkStart w:id="343" w:name="_Toc421799430"/>
      <w:r>
        <w:rPr>
          <w:rFonts w:hint="eastAsia"/>
          <w:b/>
          <w:bCs/>
          <w:szCs w:val="21"/>
        </w:rPr>
        <w:t>说明：</w:t>
      </w:r>
    </w:p>
    <w:p>
      <w:pPr>
        <w:spacing w:line="360" w:lineRule="auto"/>
        <w:ind w:firstLine="420" w:firstLineChars="200"/>
        <w:jc w:val="left"/>
        <w:rPr>
          <w:rFonts w:hAnsi="宋体" w:cs="宋体"/>
          <w:szCs w:val="21"/>
        </w:rPr>
      </w:pPr>
      <w:r>
        <w:rPr>
          <w:rFonts w:hint="eastAsia" w:hAnsi="宋体" w:cs="宋体"/>
          <w:szCs w:val="21"/>
        </w:rPr>
        <w:t>1、</w:t>
      </w:r>
      <w:r>
        <w:rPr>
          <w:rFonts w:hAnsi="宋体" w:cs="宋体"/>
          <w:szCs w:val="21"/>
        </w:rPr>
        <w:t>本章各项规格</w:t>
      </w:r>
      <w:r>
        <w:rPr>
          <w:rFonts w:hint="eastAsia" w:hAnsi="宋体" w:cs="宋体"/>
          <w:szCs w:val="21"/>
        </w:rPr>
        <w:t>、</w:t>
      </w:r>
      <w:r>
        <w:rPr>
          <w:rFonts w:hAnsi="宋体" w:cs="宋体"/>
          <w:szCs w:val="21"/>
        </w:rPr>
        <w:t>技术参数和</w:t>
      </w:r>
      <w:r>
        <w:rPr>
          <w:rFonts w:hint="eastAsia" w:hAnsi="宋体" w:cs="宋体"/>
          <w:szCs w:val="21"/>
        </w:rPr>
        <w:t>性能</w:t>
      </w:r>
      <w:r>
        <w:rPr>
          <w:rFonts w:hAnsi="宋体" w:cs="宋体"/>
          <w:szCs w:val="21"/>
        </w:rPr>
        <w:t>要求如出现引用某一特定的专利技术、商标、名称、设计、原产地或供应者等情况，则仅起参考作用。供应商可选用实质上“相当于”或“优于”该参考技术规格要求的产品</w:t>
      </w:r>
      <w:r>
        <w:rPr>
          <w:rFonts w:hint="eastAsia" w:hAnsi="宋体" w:cs="宋体"/>
          <w:szCs w:val="21"/>
        </w:rPr>
        <w:t>投报</w:t>
      </w:r>
      <w:r>
        <w:rPr>
          <w:rFonts w:hAnsi="宋体" w:cs="宋体"/>
          <w:szCs w:val="21"/>
        </w:rPr>
        <w:t>，同时填写技术规格偏离表。关键技术</w:t>
      </w:r>
      <w:r>
        <w:rPr>
          <w:rFonts w:hint="eastAsia" w:hAnsi="宋体" w:cs="宋体"/>
          <w:szCs w:val="21"/>
        </w:rPr>
        <w:t>响应</w:t>
      </w:r>
      <w:r>
        <w:rPr>
          <w:rFonts w:hAnsi="宋体" w:cs="宋体"/>
          <w:szCs w:val="21"/>
        </w:rPr>
        <w:t>应与竞争性磋商文件采购需求一致（或高于竞争性磋商文件所列采购需求）。</w:t>
      </w:r>
    </w:p>
    <w:p>
      <w:pPr>
        <w:spacing w:line="360" w:lineRule="auto"/>
        <w:ind w:firstLine="420" w:firstLineChars="200"/>
        <w:jc w:val="left"/>
        <w:rPr>
          <w:rFonts w:hAnsi="宋体" w:cs="宋体"/>
          <w:szCs w:val="21"/>
        </w:rPr>
      </w:pPr>
      <w:r>
        <w:rPr>
          <w:rFonts w:hint="eastAsia" w:hAnsi="宋体" w:cs="宋体"/>
          <w:szCs w:val="21"/>
        </w:rPr>
        <w:t>2、</w:t>
      </w:r>
      <w:r>
        <w:rPr>
          <w:rFonts w:hAnsi="宋体" w:cs="宋体"/>
          <w:szCs w:val="21"/>
        </w:rPr>
        <w:t>凡在“规格、技术参数、性能要求”中表述为“标配”或“标准配置”的设备，供应商应其标配参数详细列明。</w:t>
      </w:r>
    </w:p>
    <w:p>
      <w:pPr>
        <w:spacing w:line="360" w:lineRule="auto"/>
        <w:ind w:firstLine="420" w:firstLineChars="200"/>
        <w:jc w:val="left"/>
        <w:rPr>
          <w:rFonts w:hAnsi="宋体" w:cs="宋体"/>
          <w:szCs w:val="21"/>
        </w:rPr>
      </w:pPr>
      <w:r>
        <w:rPr>
          <w:rFonts w:hint="eastAsia" w:hAnsi="宋体" w:cs="宋体"/>
          <w:szCs w:val="21"/>
        </w:rPr>
        <w:t>3</w:t>
      </w:r>
      <w:r>
        <w:rPr>
          <w:rFonts w:hAnsi="宋体" w:cs="宋体"/>
          <w:szCs w:val="21"/>
        </w:rPr>
        <w:t>、</w:t>
      </w:r>
      <w:r>
        <w:rPr>
          <w:rFonts w:hint="eastAsia" w:hAnsi="宋体" w:cs="宋体"/>
          <w:szCs w:val="21"/>
        </w:rPr>
        <w:t>供应商应保证其提供的货物、工程或者服务在采购人使用期间不受第三方可能提出的侵犯其所有权、用益物权、担保物权、占有等一切涉及物权及知识产权、商标权、专利权、著作权等相关权利的起诉</w:t>
      </w:r>
      <w:r>
        <w:rPr>
          <w:rFonts w:hAnsi="宋体" w:cs="宋体"/>
          <w:szCs w:val="21"/>
        </w:rPr>
        <w:t>。</w:t>
      </w:r>
      <w:bookmarkStart w:id="344" w:name="_Toc491307394"/>
      <w:bookmarkStart w:id="345" w:name="_Toc491307332"/>
    </w:p>
    <w:p>
      <w:pPr>
        <w:spacing w:line="360" w:lineRule="auto"/>
        <w:ind w:firstLine="420" w:firstLineChars="200"/>
        <w:jc w:val="left"/>
        <w:rPr>
          <w:rFonts w:hAnsi="宋体" w:cs="宋体"/>
          <w:szCs w:val="21"/>
        </w:rPr>
      </w:pPr>
      <w:r>
        <w:rPr>
          <w:rFonts w:hint="eastAsia" w:hAnsi="宋体" w:cs="宋体"/>
          <w:szCs w:val="21"/>
        </w:rPr>
        <w:t>4、供应商</w:t>
      </w:r>
      <w:r>
        <w:rPr>
          <w:rFonts w:hAnsi="宋体" w:cs="宋体"/>
          <w:szCs w:val="21"/>
        </w:rPr>
        <w:t>应对在项目</w:t>
      </w:r>
      <w:r>
        <w:rPr>
          <w:rFonts w:hint="eastAsia" w:hAnsi="宋体" w:cs="宋体"/>
          <w:szCs w:val="21"/>
        </w:rPr>
        <w:t>服务</w:t>
      </w:r>
      <w:r>
        <w:rPr>
          <w:rFonts w:hAnsi="宋体" w:cs="宋体"/>
          <w:szCs w:val="21"/>
        </w:rPr>
        <w:t>的过程中，涉及到</w:t>
      </w:r>
      <w:r>
        <w:rPr>
          <w:rFonts w:hint="eastAsia" w:hAnsi="宋体" w:cs="宋体"/>
          <w:szCs w:val="21"/>
        </w:rPr>
        <w:t>采购人工作</w:t>
      </w:r>
      <w:r>
        <w:rPr>
          <w:rFonts w:hAnsi="宋体" w:cs="宋体"/>
          <w:szCs w:val="21"/>
        </w:rPr>
        <w:t>信息等秘密</w:t>
      </w:r>
      <w:r>
        <w:rPr>
          <w:rFonts w:hint="eastAsia" w:hAnsi="宋体" w:cs="宋体"/>
          <w:szCs w:val="21"/>
        </w:rPr>
        <w:t>内容须</w:t>
      </w:r>
      <w:r>
        <w:rPr>
          <w:rFonts w:hAnsi="宋体" w:cs="宋体"/>
          <w:szCs w:val="21"/>
        </w:rPr>
        <w:t>进行保密。双方应共同对系统中涉及的技术情报和资料进行保密</w:t>
      </w:r>
      <w:r>
        <w:rPr>
          <w:rFonts w:hint="eastAsia" w:hAnsi="宋体" w:cs="宋体"/>
          <w:szCs w:val="21"/>
        </w:rPr>
        <w:t>。</w:t>
      </w:r>
      <w:bookmarkEnd w:id="344"/>
      <w:bookmarkEnd w:id="345"/>
    </w:p>
    <w:p>
      <w:pPr>
        <w:spacing w:line="360" w:lineRule="auto"/>
        <w:ind w:firstLine="420" w:firstLineChars="200"/>
        <w:jc w:val="left"/>
        <w:rPr>
          <w:rFonts w:hAnsi="宋体" w:cs="宋体"/>
          <w:szCs w:val="21"/>
        </w:rPr>
      </w:pPr>
      <w:r>
        <w:rPr>
          <w:rFonts w:hint="eastAsia" w:hAnsi="宋体" w:cs="宋体"/>
          <w:szCs w:val="21"/>
        </w:rPr>
        <w:t>5、本文件解释权归采购人、采购代理机构。</w:t>
      </w:r>
    </w:p>
    <w:p/>
    <w:p/>
    <w:p/>
    <w:p/>
    <w:p/>
    <w:p/>
    <w:p/>
    <w:p/>
    <w:p/>
    <w:p/>
    <w:p/>
    <w:p/>
    <w:p/>
    <w:p/>
    <w:p/>
    <w:p/>
    <w:p/>
    <w:p/>
    <w:p/>
    <w:p/>
    <w:p>
      <w:pPr>
        <w:pStyle w:val="110"/>
        <w:keepLines w:val="0"/>
        <w:widowControl/>
        <w:spacing w:line="360" w:lineRule="auto"/>
        <w:rPr>
          <w:rFonts w:ascii="黑体" w:hAnsi="黑体"/>
          <w:b/>
          <w:bCs/>
        </w:rPr>
      </w:pPr>
      <w:bookmarkStart w:id="346" w:name="_Toc72489587"/>
      <w:r>
        <w:rPr>
          <w:rFonts w:ascii="黑体" w:hAnsi="黑体"/>
          <w:b/>
          <w:bCs/>
        </w:rPr>
        <w:t>一、</w:t>
      </w:r>
      <w:r>
        <w:rPr>
          <w:rFonts w:hint="eastAsia" w:ascii="黑体" w:hAnsi="黑体"/>
          <w:b/>
          <w:bCs/>
        </w:rPr>
        <w:t>采购标的需实现的功能或者目标，以及为落实政府采购政策需满足的要求</w:t>
      </w:r>
      <w:bookmarkEnd w:id="346"/>
    </w:p>
    <w:p>
      <w:pPr>
        <w:spacing w:line="360" w:lineRule="auto"/>
        <w:ind w:firstLine="420" w:firstLineChars="200"/>
        <w:jc w:val="left"/>
        <w:rPr>
          <w:rFonts w:hAnsi="宋体" w:cs="宋体"/>
          <w:szCs w:val="21"/>
        </w:rPr>
      </w:pPr>
      <w:r>
        <w:rPr>
          <w:rFonts w:hint="eastAsia" w:hAnsi="宋体" w:cs="宋体"/>
          <w:szCs w:val="21"/>
        </w:rPr>
        <w:t>详见技术附件</w:t>
      </w:r>
    </w:p>
    <w:p>
      <w:pPr>
        <w:pStyle w:val="110"/>
        <w:keepLines w:val="0"/>
        <w:widowControl/>
        <w:spacing w:line="360" w:lineRule="auto"/>
        <w:rPr>
          <w:rFonts w:ascii="黑体" w:hAnsi="黑体"/>
          <w:b/>
          <w:bCs/>
        </w:rPr>
      </w:pPr>
      <w:bookmarkStart w:id="347" w:name="_Toc72489588"/>
      <w:r>
        <w:rPr>
          <w:rFonts w:hint="eastAsia" w:ascii="黑体" w:hAnsi="黑体"/>
          <w:b/>
          <w:bCs/>
          <w:lang w:eastAsia="zh-CN"/>
        </w:rPr>
        <w:t>二</w:t>
      </w:r>
      <w:r>
        <w:rPr>
          <w:rFonts w:ascii="黑体" w:hAnsi="黑体"/>
          <w:b/>
          <w:bCs/>
        </w:rPr>
        <w:t>、</w:t>
      </w:r>
      <w:r>
        <w:rPr>
          <w:rFonts w:hint="eastAsia" w:ascii="黑体" w:hAnsi="黑体"/>
          <w:b/>
          <w:bCs/>
        </w:rPr>
        <w:t>采购标的需执行的国家相关标准、行业标准、地方标准或者其他标准、规范</w:t>
      </w:r>
      <w:bookmarkEnd w:id="347"/>
    </w:p>
    <w:p>
      <w:pPr>
        <w:spacing w:line="360" w:lineRule="auto"/>
        <w:ind w:firstLine="420" w:firstLineChars="200"/>
        <w:jc w:val="left"/>
        <w:rPr>
          <w:rFonts w:hAnsi="宋体" w:cs="宋体"/>
          <w:szCs w:val="21"/>
        </w:rPr>
      </w:pPr>
      <w:r>
        <w:rPr>
          <w:rFonts w:hint="eastAsia" w:hAnsi="宋体" w:cs="宋体"/>
          <w:szCs w:val="21"/>
        </w:rPr>
        <w:t>详见技术附件</w:t>
      </w:r>
    </w:p>
    <w:p>
      <w:pPr>
        <w:pStyle w:val="110"/>
        <w:keepLines w:val="0"/>
        <w:widowControl/>
        <w:spacing w:line="360" w:lineRule="auto"/>
        <w:rPr>
          <w:rFonts w:ascii="黑体" w:hAnsi="黑体"/>
          <w:b/>
          <w:bCs/>
        </w:rPr>
      </w:pPr>
      <w:bookmarkStart w:id="348" w:name="_Toc72489589"/>
      <w:r>
        <w:rPr>
          <w:rFonts w:hint="eastAsia" w:ascii="黑体" w:hAnsi="黑体"/>
          <w:b/>
          <w:bCs/>
          <w:lang w:eastAsia="zh-CN"/>
        </w:rPr>
        <w:t>三</w:t>
      </w:r>
      <w:r>
        <w:rPr>
          <w:rFonts w:ascii="黑体" w:hAnsi="黑体"/>
          <w:b/>
          <w:bCs/>
        </w:rPr>
        <w:t>、</w:t>
      </w:r>
      <w:r>
        <w:rPr>
          <w:rFonts w:hint="eastAsia" w:ascii="黑体" w:hAnsi="黑体"/>
          <w:b/>
          <w:bCs/>
        </w:rPr>
        <w:t>采购标的需满足的质量、安全、技术规格、物理特性等要求</w:t>
      </w:r>
      <w:bookmarkEnd w:id="348"/>
    </w:p>
    <w:p>
      <w:pPr>
        <w:spacing w:line="360" w:lineRule="auto"/>
        <w:ind w:firstLine="420" w:firstLineChars="200"/>
        <w:jc w:val="left"/>
        <w:rPr>
          <w:rFonts w:hAnsi="宋体" w:cs="宋体"/>
          <w:szCs w:val="21"/>
        </w:rPr>
      </w:pPr>
      <w:r>
        <w:rPr>
          <w:rFonts w:hint="eastAsia" w:hAnsi="宋体" w:cs="宋体"/>
          <w:szCs w:val="21"/>
        </w:rPr>
        <w:t>详见技术附件</w:t>
      </w:r>
    </w:p>
    <w:p>
      <w:pPr>
        <w:pStyle w:val="110"/>
        <w:keepLines w:val="0"/>
        <w:widowControl/>
        <w:spacing w:line="360" w:lineRule="auto"/>
        <w:rPr>
          <w:rFonts w:ascii="黑体" w:hAnsi="黑体"/>
          <w:b/>
          <w:bCs/>
        </w:rPr>
      </w:pPr>
      <w:bookmarkStart w:id="349" w:name="_Toc72489590"/>
      <w:r>
        <w:rPr>
          <w:rFonts w:hint="eastAsia" w:ascii="黑体" w:hAnsi="黑体"/>
          <w:b/>
          <w:bCs/>
          <w:lang w:eastAsia="zh-CN"/>
        </w:rPr>
        <w:t>四</w:t>
      </w:r>
      <w:r>
        <w:rPr>
          <w:rFonts w:ascii="黑体" w:hAnsi="黑体"/>
          <w:b/>
          <w:bCs/>
        </w:rPr>
        <w:t>、</w:t>
      </w:r>
      <w:r>
        <w:rPr>
          <w:rFonts w:hint="eastAsia" w:ascii="黑体" w:hAnsi="黑体"/>
          <w:b/>
          <w:bCs/>
        </w:rPr>
        <w:t>采购标的的数量、采购项目交付或者实施的时间和地点</w:t>
      </w:r>
      <w:bookmarkEnd w:id="349"/>
    </w:p>
    <w:p>
      <w:pPr>
        <w:spacing w:line="360" w:lineRule="auto"/>
        <w:ind w:firstLine="420" w:firstLineChars="200"/>
        <w:jc w:val="left"/>
        <w:rPr>
          <w:rFonts w:hAnsi="宋体" w:cs="宋体"/>
          <w:szCs w:val="21"/>
        </w:rPr>
      </w:pPr>
      <w:r>
        <w:rPr>
          <w:rFonts w:hint="eastAsia" w:hAnsi="宋体" w:cs="宋体"/>
          <w:szCs w:val="21"/>
        </w:rPr>
        <w:t>数量：1套</w:t>
      </w:r>
    </w:p>
    <w:p>
      <w:pPr>
        <w:spacing w:line="360" w:lineRule="auto"/>
        <w:ind w:firstLine="420" w:firstLineChars="200"/>
        <w:jc w:val="left"/>
        <w:rPr>
          <w:rFonts w:hAnsi="宋体" w:cs="宋体"/>
          <w:szCs w:val="21"/>
        </w:rPr>
      </w:pPr>
      <w:r>
        <w:rPr>
          <w:rFonts w:hint="eastAsia" w:hAnsi="宋体" w:cs="宋体"/>
          <w:szCs w:val="21"/>
        </w:rPr>
        <w:t>合同履行期限：建设周期为60日历天，运维服务期为自验收合格之日起壹年。</w:t>
      </w:r>
    </w:p>
    <w:p>
      <w:pPr>
        <w:spacing w:line="360" w:lineRule="auto"/>
        <w:ind w:firstLine="420" w:firstLineChars="200"/>
        <w:jc w:val="left"/>
        <w:rPr>
          <w:rFonts w:hAnsi="宋体" w:cs="宋体"/>
          <w:szCs w:val="21"/>
        </w:rPr>
      </w:pPr>
      <w:r>
        <w:rPr>
          <w:rFonts w:hint="eastAsia" w:hAnsi="宋体" w:cs="宋体"/>
          <w:szCs w:val="21"/>
        </w:rPr>
        <w:t>实施地点：昆明市西山区政务服务管理局（昆明市西山区春雨路 188号西）</w:t>
      </w:r>
    </w:p>
    <w:p>
      <w:pPr>
        <w:pStyle w:val="110"/>
        <w:keepLines w:val="0"/>
        <w:widowControl/>
        <w:spacing w:line="360" w:lineRule="auto"/>
        <w:rPr>
          <w:rFonts w:ascii="黑体" w:hAnsi="黑体"/>
          <w:b/>
          <w:bCs/>
        </w:rPr>
      </w:pPr>
      <w:bookmarkStart w:id="350" w:name="_Toc72489591"/>
      <w:r>
        <w:rPr>
          <w:rFonts w:hint="eastAsia" w:ascii="黑体" w:hAnsi="黑体"/>
          <w:b/>
          <w:bCs/>
          <w:lang w:eastAsia="zh-CN"/>
        </w:rPr>
        <w:t>五</w:t>
      </w:r>
      <w:r>
        <w:rPr>
          <w:rFonts w:ascii="黑体" w:hAnsi="黑体"/>
          <w:b/>
          <w:bCs/>
        </w:rPr>
        <w:t>、</w:t>
      </w:r>
      <w:r>
        <w:rPr>
          <w:rFonts w:hint="eastAsia" w:ascii="黑体" w:hAnsi="黑体"/>
          <w:b/>
          <w:bCs/>
        </w:rPr>
        <w:t>采购标的需满足的服务标准、期限、效率等要求</w:t>
      </w:r>
      <w:bookmarkEnd w:id="350"/>
    </w:p>
    <w:p>
      <w:pPr>
        <w:spacing w:line="360" w:lineRule="auto"/>
        <w:ind w:firstLine="420" w:firstLineChars="200"/>
        <w:jc w:val="left"/>
        <w:rPr>
          <w:rFonts w:hAnsi="宋体" w:cs="宋体"/>
          <w:szCs w:val="21"/>
        </w:rPr>
      </w:pPr>
      <w:r>
        <w:rPr>
          <w:rFonts w:hint="eastAsia" w:hAnsi="宋体" w:cs="宋体"/>
          <w:szCs w:val="21"/>
        </w:rPr>
        <w:t>详见技术附件</w:t>
      </w:r>
    </w:p>
    <w:p>
      <w:pPr>
        <w:pStyle w:val="110"/>
        <w:keepLines w:val="0"/>
        <w:widowControl/>
        <w:spacing w:line="360" w:lineRule="auto"/>
        <w:rPr>
          <w:rFonts w:ascii="黑体" w:hAnsi="黑体"/>
          <w:b/>
          <w:bCs/>
        </w:rPr>
      </w:pPr>
      <w:bookmarkStart w:id="351" w:name="_Toc72489592"/>
      <w:r>
        <w:rPr>
          <w:rFonts w:hint="eastAsia" w:ascii="黑体" w:hAnsi="黑体"/>
          <w:b/>
          <w:bCs/>
          <w:lang w:eastAsia="zh-CN"/>
        </w:rPr>
        <w:t>六</w:t>
      </w:r>
      <w:r>
        <w:rPr>
          <w:rFonts w:ascii="黑体" w:hAnsi="黑体"/>
          <w:b/>
          <w:bCs/>
        </w:rPr>
        <w:t>、</w:t>
      </w:r>
      <w:r>
        <w:rPr>
          <w:rFonts w:hint="eastAsia" w:ascii="黑体" w:hAnsi="黑体"/>
          <w:b/>
          <w:bCs/>
        </w:rPr>
        <w:t>采购标的的验收标准</w:t>
      </w:r>
      <w:bookmarkEnd w:id="351"/>
    </w:p>
    <w:p>
      <w:pPr>
        <w:spacing w:line="360" w:lineRule="auto"/>
        <w:ind w:firstLine="420" w:firstLineChars="200"/>
        <w:jc w:val="left"/>
        <w:rPr>
          <w:rFonts w:hAnsi="宋体" w:cs="宋体"/>
          <w:szCs w:val="21"/>
        </w:rPr>
      </w:pPr>
      <w:r>
        <w:rPr>
          <w:rFonts w:hint="eastAsia" w:hAnsi="宋体" w:cs="宋体"/>
          <w:szCs w:val="21"/>
        </w:rPr>
        <w:t>详见技术附件</w:t>
      </w:r>
    </w:p>
    <w:p>
      <w:pPr>
        <w:pStyle w:val="110"/>
        <w:keepLines w:val="0"/>
        <w:widowControl/>
        <w:spacing w:line="360" w:lineRule="auto"/>
        <w:rPr>
          <w:rFonts w:ascii="黑体" w:hAnsi="黑体"/>
          <w:b/>
          <w:bCs/>
        </w:rPr>
      </w:pPr>
      <w:bookmarkStart w:id="352" w:name="_Toc72489593"/>
      <w:r>
        <w:rPr>
          <w:rFonts w:hint="eastAsia" w:ascii="黑体" w:hAnsi="黑体"/>
          <w:b/>
          <w:bCs/>
          <w:lang w:eastAsia="zh-CN"/>
        </w:rPr>
        <w:t>七</w:t>
      </w:r>
      <w:r>
        <w:rPr>
          <w:rFonts w:ascii="黑体" w:hAnsi="黑体"/>
          <w:b/>
          <w:bCs/>
        </w:rPr>
        <w:t>、</w:t>
      </w:r>
      <w:r>
        <w:rPr>
          <w:rFonts w:hint="eastAsia" w:ascii="黑体" w:hAnsi="黑体"/>
          <w:b/>
          <w:bCs/>
        </w:rPr>
        <w:t>技术附件</w:t>
      </w:r>
      <w:bookmarkEnd w:id="352"/>
    </w:p>
    <w:p>
      <w:pPr>
        <w:spacing w:line="360" w:lineRule="auto"/>
        <w:ind w:firstLine="422" w:firstLineChars="200"/>
        <w:jc w:val="left"/>
        <w:rPr>
          <w:rFonts w:hAnsi="宋体" w:cs="宋体"/>
          <w:szCs w:val="21"/>
        </w:rPr>
      </w:pPr>
      <w:r>
        <w:rPr>
          <w:rFonts w:hint="eastAsia" w:hAnsi="宋体" w:cs="宋体"/>
          <w:b/>
          <w:bCs/>
          <w:szCs w:val="21"/>
        </w:rPr>
        <w:t>本项目所属行业：</w:t>
      </w:r>
      <w:r>
        <w:rPr>
          <w:rFonts w:hint="eastAsia" w:hAnsi="宋体" w:cs="宋体"/>
          <w:szCs w:val="21"/>
        </w:rPr>
        <w:t>软件和信息技术服务业</w:t>
      </w:r>
    </w:p>
    <w:p>
      <w:pPr>
        <w:spacing w:line="360" w:lineRule="auto"/>
        <w:ind w:firstLine="422" w:firstLineChars="200"/>
        <w:jc w:val="left"/>
        <w:rPr>
          <w:rFonts w:hAnsi="宋体" w:cs="宋体"/>
          <w:b/>
          <w:bCs/>
          <w:szCs w:val="21"/>
        </w:rPr>
      </w:pPr>
      <w:r>
        <w:rPr>
          <w:rFonts w:hint="eastAsia" w:hAnsi="宋体" w:cs="宋体"/>
          <w:b/>
          <w:bCs/>
          <w:szCs w:val="21"/>
        </w:rPr>
        <w:t>（一）采购目标：</w:t>
      </w:r>
    </w:p>
    <w:p>
      <w:pPr>
        <w:spacing w:line="360" w:lineRule="auto"/>
        <w:ind w:firstLine="420" w:firstLineChars="200"/>
        <w:jc w:val="left"/>
        <w:rPr>
          <w:rFonts w:hAnsi="宋体" w:cs="宋体"/>
          <w:szCs w:val="21"/>
        </w:rPr>
      </w:pPr>
      <w:r>
        <w:rPr>
          <w:rFonts w:hint="eastAsia" w:hAnsi="宋体" w:cs="宋体"/>
          <w:szCs w:val="21"/>
        </w:rPr>
        <w:t>随着数字化的高速发展，为了向数字型政府转变，提高政务服务中心服务企业的能力和水平，提升西山区营商环境的数字化能力，昆明市西山区政务服务管理局将开展政务服务中心数据平台建设，建设主要内容包括但不限于：西山区政务服务大数据中心、政务中心综合管理应用、企业服务应用、政务大数据展示中心、营商环境数字地图及云服务器私有存储等，并通过该平台服务好辖区企业，以提升西山区营商环境为目标，打造西山区政务服务的特色与亮点。</w:t>
      </w:r>
    </w:p>
    <w:p/>
    <w:p/>
    <w:p/>
    <w:p/>
    <w:p/>
    <w:p/>
    <w:p/>
    <w:p/>
    <w:p/>
    <w:p/>
    <w:p>
      <w:pPr>
        <w:spacing w:line="360" w:lineRule="auto"/>
        <w:ind w:firstLine="422" w:firstLineChars="200"/>
        <w:jc w:val="left"/>
        <w:rPr>
          <w:rFonts w:hAnsi="宋体" w:cs="宋体"/>
          <w:b/>
          <w:bCs/>
          <w:szCs w:val="21"/>
        </w:rPr>
      </w:pPr>
      <w:r>
        <w:rPr>
          <w:rFonts w:hint="eastAsia" w:hAnsi="宋体" w:cs="宋体"/>
          <w:b/>
          <w:bCs/>
          <w:szCs w:val="21"/>
        </w:rPr>
        <w:t>（二）技术参数：</w:t>
      </w:r>
    </w:p>
    <w:tbl>
      <w:tblPr>
        <w:tblStyle w:val="29"/>
        <w:tblW w:w="8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532"/>
        <w:gridCol w:w="6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68" w:type="dxa"/>
            <w:vAlign w:val="center"/>
          </w:tcPr>
          <w:p>
            <w:pPr>
              <w:spacing w:line="360" w:lineRule="auto"/>
              <w:jc w:val="center"/>
              <w:rPr>
                <w:rFonts w:hAnsi="宋体" w:cstheme="minorEastAsia"/>
                <w:szCs w:val="21"/>
              </w:rPr>
            </w:pPr>
            <w:r>
              <w:rPr>
                <w:rFonts w:hAnsi="宋体"/>
                <w:szCs w:val="21"/>
              </w:rPr>
              <w:t>序号</w:t>
            </w:r>
          </w:p>
        </w:tc>
        <w:tc>
          <w:tcPr>
            <w:tcW w:w="1532" w:type="dxa"/>
            <w:vAlign w:val="center"/>
          </w:tcPr>
          <w:p>
            <w:pPr>
              <w:spacing w:line="360" w:lineRule="auto"/>
              <w:jc w:val="center"/>
              <w:rPr>
                <w:rFonts w:hAnsi="宋体" w:cstheme="minorEastAsia"/>
                <w:szCs w:val="21"/>
              </w:rPr>
            </w:pPr>
            <w:r>
              <w:rPr>
                <w:rFonts w:hAnsi="宋体"/>
                <w:szCs w:val="21"/>
              </w:rPr>
              <w:t>项目名称</w:t>
            </w:r>
          </w:p>
        </w:tc>
        <w:tc>
          <w:tcPr>
            <w:tcW w:w="6354" w:type="dxa"/>
            <w:vAlign w:val="center"/>
          </w:tcPr>
          <w:p>
            <w:pPr>
              <w:pStyle w:val="26"/>
              <w:spacing w:before="0" w:beforeAutospacing="0" w:after="0" w:afterAutospacing="0" w:line="360" w:lineRule="auto"/>
              <w:jc w:val="center"/>
              <w:rPr>
                <w:rFonts w:cstheme="minorEastAsia"/>
                <w:sz w:val="21"/>
                <w:szCs w:val="21"/>
              </w:rPr>
            </w:pPr>
            <w:r>
              <w:rPr>
                <w:rFonts w:hint="eastAsia" w:cstheme="minorEastAsia"/>
                <w:sz w:val="21"/>
                <w:szCs w:val="21"/>
              </w:rPr>
              <w:t>内容要求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68" w:type="dxa"/>
            <w:vAlign w:val="center"/>
          </w:tcPr>
          <w:p>
            <w:pPr>
              <w:spacing w:line="360" w:lineRule="auto"/>
              <w:jc w:val="center"/>
              <w:rPr>
                <w:rFonts w:hAnsi="宋体" w:cstheme="minorEastAsia"/>
                <w:szCs w:val="21"/>
              </w:rPr>
            </w:pPr>
            <w:r>
              <w:rPr>
                <w:rFonts w:hint="eastAsia" w:hAnsi="宋体" w:cstheme="minorEastAsia"/>
                <w:szCs w:val="21"/>
              </w:rPr>
              <w:t>1</w:t>
            </w:r>
          </w:p>
        </w:tc>
        <w:tc>
          <w:tcPr>
            <w:tcW w:w="1532" w:type="dxa"/>
            <w:vAlign w:val="center"/>
          </w:tcPr>
          <w:p>
            <w:pPr>
              <w:spacing w:line="360" w:lineRule="auto"/>
              <w:rPr>
                <w:rFonts w:hAnsi="宋体" w:cstheme="minorEastAsia"/>
                <w:szCs w:val="21"/>
              </w:rPr>
            </w:pPr>
            <w:r>
              <w:rPr>
                <w:rFonts w:hint="eastAsia" w:hAnsi="宋体" w:cstheme="minorEastAsia"/>
                <w:szCs w:val="21"/>
              </w:rPr>
              <w:t>西山区政务服务大数据中心</w:t>
            </w:r>
          </w:p>
        </w:tc>
        <w:tc>
          <w:tcPr>
            <w:tcW w:w="6354" w:type="dxa"/>
            <w:vAlign w:val="center"/>
          </w:tcPr>
          <w:p>
            <w:pPr>
              <w:pStyle w:val="26"/>
              <w:widowControl w:val="0"/>
              <w:spacing w:before="0" w:beforeAutospacing="0" w:after="0" w:afterAutospacing="0" w:line="360" w:lineRule="auto"/>
              <w:contextualSpacing/>
              <w:rPr>
                <w:rFonts w:cstheme="minorEastAsia"/>
                <w:snapToGrid w:val="0"/>
                <w:kern w:val="21"/>
                <w:sz w:val="21"/>
                <w:szCs w:val="21"/>
              </w:rPr>
            </w:pPr>
            <w:r>
              <w:rPr>
                <w:rFonts w:cstheme="minorEastAsia"/>
                <w:snapToGrid w:val="0"/>
                <w:kern w:val="21"/>
                <w:sz w:val="21"/>
                <w:szCs w:val="21"/>
              </w:rPr>
              <w:t>一、</w:t>
            </w:r>
            <w:r>
              <w:rPr>
                <w:rFonts w:hint="eastAsia" w:cstheme="minorEastAsia"/>
                <w:snapToGrid w:val="0"/>
                <w:kern w:val="21"/>
                <w:sz w:val="21"/>
                <w:szCs w:val="21"/>
              </w:rPr>
              <w:t>须为西山区政务服务中心建立</w:t>
            </w:r>
            <w:r>
              <w:rPr>
                <w:rFonts w:cstheme="minorEastAsia"/>
                <w:snapToGrid w:val="0"/>
                <w:kern w:val="21"/>
                <w:sz w:val="21"/>
                <w:szCs w:val="21"/>
              </w:rPr>
              <w:t>政务</w:t>
            </w:r>
            <w:r>
              <w:rPr>
                <w:rFonts w:hint="eastAsia" w:cstheme="minorEastAsia"/>
                <w:snapToGrid w:val="0"/>
                <w:kern w:val="21"/>
                <w:sz w:val="21"/>
                <w:szCs w:val="21"/>
              </w:rPr>
              <w:t>大数据中心</w:t>
            </w:r>
          </w:p>
          <w:p>
            <w:pPr>
              <w:pStyle w:val="26"/>
              <w:widowControl w:val="0"/>
              <w:spacing w:before="0" w:beforeAutospacing="0" w:after="0" w:afterAutospacing="0" w:line="360" w:lineRule="auto"/>
              <w:contextualSpacing/>
              <w:rPr>
                <w:rFonts w:cstheme="minorEastAsia"/>
                <w:snapToGrid w:val="0"/>
                <w:kern w:val="21"/>
                <w:sz w:val="21"/>
                <w:szCs w:val="21"/>
              </w:rPr>
            </w:pPr>
            <w:r>
              <w:rPr>
                <w:rFonts w:cstheme="minorEastAsia"/>
                <w:snapToGrid w:val="0"/>
                <w:kern w:val="21"/>
                <w:sz w:val="21"/>
                <w:szCs w:val="21"/>
              </w:rPr>
              <w:t>二、数据中心</w:t>
            </w:r>
            <w:r>
              <w:rPr>
                <w:rFonts w:hint="eastAsia" w:cstheme="minorEastAsia"/>
                <w:snapToGrid w:val="0"/>
                <w:kern w:val="21"/>
                <w:sz w:val="21"/>
                <w:szCs w:val="21"/>
              </w:rPr>
              <w:t>基本</w:t>
            </w:r>
            <w:r>
              <w:rPr>
                <w:rFonts w:cstheme="minorEastAsia"/>
                <w:snapToGrid w:val="0"/>
                <w:kern w:val="21"/>
                <w:sz w:val="21"/>
                <w:szCs w:val="21"/>
              </w:rPr>
              <w:t>技术</w:t>
            </w:r>
            <w:r>
              <w:rPr>
                <w:rFonts w:hint="eastAsia" w:cstheme="minorEastAsia"/>
                <w:snapToGrid w:val="0"/>
                <w:kern w:val="21"/>
                <w:sz w:val="21"/>
                <w:szCs w:val="21"/>
              </w:rPr>
              <w:t>参数</w:t>
            </w:r>
            <w:r>
              <w:rPr>
                <w:rFonts w:cstheme="minorEastAsia"/>
                <w:snapToGrid w:val="0"/>
                <w:kern w:val="21"/>
                <w:sz w:val="21"/>
                <w:szCs w:val="21"/>
              </w:rPr>
              <w:t>要求：</w:t>
            </w:r>
          </w:p>
          <w:p>
            <w:pPr>
              <w:pStyle w:val="116"/>
              <w:numPr>
                <w:ilvl w:val="0"/>
                <w:numId w:val="5"/>
              </w:numPr>
              <w:spacing w:beforeLines="0" w:afterLines="0" w:line="360" w:lineRule="auto"/>
              <w:contextualSpacing/>
              <w:jc w:val="both"/>
              <w:rPr>
                <w:rFonts w:ascii="宋体" w:hAnsi="宋体" w:eastAsia="宋体" w:cstheme="minorEastAsia"/>
                <w:snapToGrid w:val="0"/>
                <w:kern w:val="21"/>
                <w:sz w:val="21"/>
                <w:szCs w:val="21"/>
              </w:rPr>
            </w:pPr>
            <w:r>
              <w:rPr>
                <w:rFonts w:hint="eastAsia" w:ascii="宋体" w:hAnsi="宋体" w:eastAsia="宋体" w:cstheme="minorEastAsia"/>
                <w:snapToGrid w:val="0"/>
                <w:kern w:val="21"/>
                <w:sz w:val="21"/>
                <w:szCs w:val="21"/>
              </w:rPr>
              <w:t>平台须采用</w:t>
            </w:r>
            <w:r>
              <w:rPr>
                <w:rFonts w:ascii="宋体" w:hAnsi="宋体" w:eastAsia="宋体" w:cstheme="minorEastAsia"/>
                <w:snapToGrid w:val="0"/>
                <w:kern w:val="21"/>
                <w:sz w:val="21"/>
                <w:szCs w:val="21"/>
              </w:rPr>
              <w:t>的基础架构</w:t>
            </w:r>
            <w:r>
              <w:rPr>
                <w:rFonts w:hint="eastAsia" w:ascii="宋体" w:hAnsi="宋体" w:eastAsia="宋体" w:cstheme="minorEastAsia"/>
                <w:snapToGrid w:val="0"/>
                <w:kern w:val="21"/>
                <w:sz w:val="21"/>
                <w:szCs w:val="21"/>
              </w:rPr>
              <w:t>、数据库、数据流、网络数据多层加密手段，保证数据安全性；</w:t>
            </w:r>
          </w:p>
          <w:p>
            <w:pPr>
              <w:pStyle w:val="116"/>
              <w:numPr>
                <w:ilvl w:val="0"/>
                <w:numId w:val="5"/>
              </w:numPr>
              <w:spacing w:beforeLines="0" w:afterLines="0" w:line="360" w:lineRule="auto"/>
              <w:contextualSpacing/>
              <w:jc w:val="both"/>
              <w:rPr>
                <w:rFonts w:ascii="宋体" w:hAnsi="宋体" w:eastAsia="宋体" w:cstheme="minorEastAsia"/>
                <w:snapToGrid w:val="0"/>
                <w:kern w:val="21"/>
                <w:sz w:val="21"/>
                <w:szCs w:val="21"/>
              </w:rPr>
            </w:pPr>
            <w:r>
              <w:rPr>
                <w:rFonts w:hint="eastAsia" w:ascii="宋体" w:hAnsi="宋体" w:eastAsia="宋体" w:cstheme="minorEastAsia"/>
                <w:snapToGrid w:val="0"/>
                <w:kern w:val="21"/>
                <w:sz w:val="21"/>
                <w:szCs w:val="21"/>
              </w:rPr>
              <w:t>平台采用B</w:t>
            </w:r>
            <w:r>
              <w:rPr>
                <w:rFonts w:ascii="宋体" w:hAnsi="宋体" w:eastAsia="宋体" w:cstheme="minorEastAsia"/>
                <w:snapToGrid w:val="0"/>
                <w:kern w:val="21"/>
                <w:sz w:val="21"/>
                <w:szCs w:val="21"/>
              </w:rPr>
              <w:t>/</w:t>
            </w:r>
            <w:r>
              <w:rPr>
                <w:rFonts w:hint="eastAsia" w:ascii="宋体" w:hAnsi="宋体" w:eastAsia="宋体" w:cstheme="minorEastAsia"/>
                <w:snapToGrid w:val="0"/>
                <w:kern w:val="21"/>
                <w:sz w:val="21"/>
                <w:szCs w:val="21"/>
              </w:rPr>
              <w:t>S架构，支持互联网跨网段连接、断点保护、登录安全；</w:t>
            </w:r>
          </w:p>
          <w:p>
            <w:pPr>
              <w:pStyle w:val="116"/>
              <w:numPr>
                <w:ilvl w:val="0"/>
                <w:numId w:val="5"/>
              </w:numPr>
              <w:spacing w:beforeLines="0" w:afterLines="0" w:line="360" w:lineRule="auto"/>
              <w:contextualSpacing/>
              <w:jc w:val="both"/>
              <w:rPr>
                <w:rFonts w:ascii="宋体" w:hAnsi="宋体" w:eastAsia="宋体" w:cstheme="minorEastAsia"/>
                <w:snapToGrid w:val="0"/>
                <w:kern w:val="21"/>
                <w:sz w:val="21"/>
                <w:szCs w:val="21"/>
              </w:rPr>
            </w:pPr>
            <w:r>
              <w:rPr>
                <w:rFonts w:hint="eastAsia" w:ascii="宋体" w:hAnsi="宋体" w:eastAsia="宋体" w:cstheme="minorEastAsia"/>
                <w:snapToGrid w:val="0"/>
                <w:kern w:val="21"/>
                <w:sz w:val="21"/>
                <w:szCs w:val="21"/>
              </w:rPr>
              <w:t>全面支持现有基础软件硬件，基于政务云</w:t>
            </w:r>
            <w:r>
              <w:rPr>
                <w:rFonts w:hint="eastAsia" w:ascii="宋体" w:hAnsi="宋体" w:eastAsia="宋体" w:cstheme="minorEastAsia"/>
                <w:snapToGrid w:val="0"/>
                <w:kern w:val="21"/>
                <w:sz w:val="21"/>
                <w:szCs w:val="21"/>
                <w:lang w:eastAsia="zh-Hans"/>
              </w:rPr>
              <w:t>服务器</w:t>
            </w:r>
            <w:r>
              <w:rPr>
                <w:rFonts w:hint="eastAsia" w:ascii="宋体" w:hAnsi="宋体" w:eastAsia="宋体" w:cstheme="minorEastAsia"/>
                <w:snapToGrid w:val="0"/>
                <w:kern w:val="21"/>
                <w:sz w:val="21"/>
                <w:szCs w:val="21"/>
              </w:rPr>
              <w:t>进行平台的部署、运维，支持主流浏览器进行平台访问；</w:t>
            </w:r>
          </w:p>
          <w:p>
            <w:pPr>
              <w:pStyle w:val="116"/>
              <w:numPr>
                <w:ilvl w:val="0"/>
                <w:numId w:val="5"/>
              </w:numPr>
              <w:spacing w:beforeLines="0" w:afterLines="0" w:line="360" w:lineRule="auto"/>
              <w:contextualSpacing/>
              <w:jc w:val="both"/>
              <w:rPr>
                <w:rFonts w:ascii="宋体" w:hAnsi="宋体" w:eastAsia="宋体" w:cstheme="minorEastAsia"/>
                <w:snapToGrid w:val="0"/>
                <w:kern w:val="21"/>
                <w:sz w:val="21"/>
                <w:szCs w:val="21"/>
              </w:rPr>
            </w:pPr>
            <w:r>
              <w:rPr>
                <w:rFonts w:hint="eastAsia" w:ascii="宋体" w:hAnsi="宋体" w:eastAsia="宋体" w:cstheme="minorEastAsia"/>
                <w:snapToGrid w:val="0"/>
                <w:kern w:val="21"/>
                <w:sz w:val="21"/>
                <w:szCs w:val="21"/>
              </w:rPr>
              <w:t>实现数据平台、政务服务中心业务系统（取号</w:t>
            </w:r>
            <w:r>
              <w:rPr>
                <w:rFonts w:ascii="宋体" w:hAnsi="宋体" w:eastAsia="宋体" w:cstheme="minorEastAsia"/>
                <w:snapToGrid w:val="0"/>
                <w:kern w:val="21"/>
                <w:sz w:val="21"/>
                <w:szCs w:val="21"/>
              </w:rPr>
              <w:t>、预约</w:t>
            </w:r>
            <w:r>
              <w:rPr>
                <w:rFonts w:hint="eastAsia" w:ascii="宋体" w:hAnsi="宋体" w:eastAsia="宋体" w:cstheme="minorEastAsia"/>
                <w:snapToGrid w:val="0"/>
                <w:kern w:val="21"/>
                <w:sz w:val="21"/>
                <w:szCs w:val="21"/>
              </w:rPr>
              <w:t>平台）以及第三方业务平台的数据联通</w:t>
            </w:r>
            <w:r>
              <w:rPr>
                <w:rFonts w:ascii="宋体" w:hAnsi="宋体" w:eastAsia="宋体" w:cstheme="minorEastAsia"/>
                <w:snapToGrid w:val="0"/>
                <w:kern w:val="21"/>
                <w:sz w:val="21"/>
                <w:szCs w:val="21"/>
              </w:rPr>
              <w:t>与对接</w:t>
            </w:r>
            <w:r>
              <w:rPr>
                <w:rFonts w:hint="eastAsia" w:ascii="宋体" w:hAnsi="宋体" w:eastAsia="宋体" w:cstheme="minorEastAsia"/>
                <w:snapToGrid w:val="0"/>
                <w:kern w:val="21"/>
                <w:sz w:val="21"/>
                <w:szCs w:val="21"/>
              </w:rPr>
              <w:t>；</w:t>
            </w:r>
          </w:p>
          <w:p>
            <w:pPr>
              <w:pStyle w:val="116"/>
              <w:numPr>
                <w:ilvl w:val="0"/>
                <w:numId w:val="5"/>
              </w:numPr>
              <w:spacing w:beforeLines="0" w:afterLines="0" w:line="360" w:lineRule="auto"/>
              <w:contextualSpacing/>
              <w:jc w:val="both"/>
              <w:rPr>
                <w:rFonts w:ascii="宋体" w:hAnsi="宋体" w:eastAsia="宋体" w:cstheme="minorEastAsia"/>
                <w:snapToGrid w:val="0"/>
                <w:kern w:val="21"/>
                <w:sz w:val="21"/>
                <w:szCs w:val="21"/>
              </w:rPr>
            </w:pPr>
            <w:r>
              <w:rPr>
                <w:rFonts w:hint="eastAsia" w:ascii="宋体" w:hAnsi="宋体" w:eastAsia="宋体" w:cstheme="minorEastAsia"/>
                <w:snapToGrid w:val="0"/>
                <w:kern w:val="21"/>
                <w:sz w:val="21"/>
                <w:szCs w:val="21"/>
              </w:rPr>
              <w:t>在坚持可持续性、实用性、开放性原则的前提下，构建具有高扩展性、高可靠性、高可用性和高性能的核心业务系统。系统总体技术架构可自上而下分为数据资源层、系统支持层、应用层。</w:t>
            </w:r>
          </w:p>
          <w:p>
            <w:pPr>
              <w:pStyle w:val="116"/>
              <w:numPr>
                <w:ilvl w:val="0"/>
                <w:numId w:val="5"/>
              </w:numPr>
              <w:spacing w:beforeLines="0" w:afterLines="0" w:line="360" w:lineRule="auto"/>
              <w:contextualSpacing/>
              <w:jc w:val="both"/>
              <w:rPr>
                <w:rFonts w:ascii="宋体" w:hAnsi="宋体" w:eastAsia="宋体" w:cstheme="minorEastAsia"/>
                <w:snapToGrid w:val="0"/>
                <w:kern w:val="21"/>
                <w:sz w:val="21"/>
                <w:szCs w:val="21"/>
              </w:rPr>
            </w:pPr>
            <w:r>
              <w:rPr>
                <w:rFonts w:hint="eastAsia" w:ascii="宋体" w:hAnsi="宋体" w:eastAsia="宋体" w:cstheme="minorEastAsia"/>
                <w:snapToGrid w:val="0"/>
                <w:kern w:val="21"/>
                <w:sz w:val="21"/>
                <w:szCs w:val="21"/>
              </w:rPr>
              <w:t>数据应用平台中，</w:t>
            </w:r>
            <w:r>
              <w:rPr>
                <w:rFonts w:ascii="宋体" w:hAnsi="宋体" w:eastAsia="宋体" w:cstheme="minorEastAsia"/>
                <w:snapToGrid w:val="0"/>
                <w:kern w:val="21"/>
                <w:sz w:val="21"/>
                <w:szCs w:val="21"/>
              </w:rPr>
              <w:t>单</w:t>
            </w:r>
            <w:r>
              <w:rPr>
                <w:rFonts w:hint="eastAsia" w:ascii="宋体" w:hAnsi="宋体" w:eastAsia="宋体" w:cstheme="minorEastAsia"/>
                <w:snapToGrid w:val="0"/>
                <w:kern w:val="21"/>
                <w:sz w:val="21"/>
                <w:szCs w:val="21"/>
              </w:rPr>
              <w:t>个接口响应速度不得超过5</w:t>
            </w:r>
            <w:r>
              <w:rPr>
                <w:rFonts w:ascii="宋体" w:hAnsi="宋体" w:eastAsia="宋体" w:cstheme="minorEastAsia"/>
                <w:snapToGrid w:val="0"/>
                <w:kern w:val="21"/>
                <w:sz w:val="21"/>
                <w:szCs w:val="21"/>
              </w:rPr>
              <w:t>00</w:t>
            </w:r>
            <w:r>
              <w:rPr>
                <w:rFonts w:hint="eastAsia" w:ascii="宋体" w:hAnsi="宋体" w:eastAsia="宋体" w:cstheme="minorEastAsia"/>
                <w:snapToGrid w:val="0"/>
                <w:kern w:val="21"/>
                <w:sz w:val="21"/>
                <w:szCs w:val="21"/>
              </w:rPr>
              <w:t>毫秒。</w:t>
            </w:r>
          </w:p>
          <w:p>
            <w:pPr>
              <w:pStyle w:val="116"/>
              <w:spacing w:beforeLines="0" w:afterLines="0" w:line="360" w:lineRule="auto"/>
              <w:contextualSpacing/>
              <w:jc w:val="both"/>
              <w:rPr>
                <w:rFonts w:ascii="宋体" w:hAnsi="宋体" w:eastAsia="宋体" w:cstheme="minorEastAsia"/>
                <w:snapToGrid w:val="0"/>
                <w:kern w:val="21"/>
                <w:sz w:val="21"/>
                <w:szCs w:val="21"/>
              </w:rPr>
            </w:pPr>
            <w:r>
              <w:rPr>
                <w:rFonts w:ascii="宋体" w:hAnsi="宋体" w:eastAsia="宋体" w:cstheme="minorEastAsia"/>
                <w:snapToGrid w:val="0"/>
                <w:kern w:val="21"/>
                <w:sz w:val="21"/>
                <w:szCs w:val="21"/>
              </w:rPr>
              <w:t>三、</w:t>
            </w:r>
            <w:r>
              <w:rPr>
                <w:rFonts w:hint="eastAsia" w:ascii="宋体" w:hAnsi="宋体" w:eastAsia="宋体" w:cstheme="minorEastAsia"/>
                <w:snapToGrid w:val="0"/>
                <w:kern w:val="21"/>
                <w:sz w:val="21"/>
                <w:szCs w:val="21"/>
              </w:rPr>
              <w:t>数据仓库</w:t>
            </w:r>
          </w:p>
          <w:p>
            <w:pPr>
              <w:pStyle w:val="116"/>
              <w:numPr>
                <w:ilvl w:val="0"/>
                <w:numId w:val="5"/>
              </w:numPr>
              <w:spacing w:beforeLines="0" w:afterLines="0" w:line="360" w:lineRule="auto"/>
              <w:contextualSpacing/>
              <w:jc w:val="both"/>
              <w:rPr>
                <w:rFonts w:ascii="宋体" w:hAnsi="宋体" w:eastAsia="宋体" w:cstheme="minorEastAsia"/>
                <w:snapToGrid w:val="0"/>
                <w:kern w:val="21"/>
                <w:sz w:val="21"/>
                <w:szCs w:val="21"/>
              </w:rPr>
            </w:pPr>
            <w:r>
              <w:rPr>
                <w:rFonts w:hint="eastAsia" w:ascii="宋体" w:hAnsi="宋体" w:eastAsia="宋体" w:cstheme="minorEastAsia"/>
                <w:snapToGrid w:val="0"/>
                <w:kern w:val="21"/>
                <w:sz w:val="21"/>
                <w:szCs w:val="21"/>
              </w:rPr>
              <w:t>建立西山区政务服务中心大数据基本仓库；</w:t>
            </w:r>
          </w:p>
          <w:p>
            <w:pPr>
              <w:pStyle w:val="116"/>
              <w:numPr>
                <w:ilvl w:val="0"/>
                <w:numId w:val="5"/>
              </w:numPr>
              <w:spacing w:beforeLines="0" w:afterLines="0" w:line="360" w:lineRule="auto"/>
              <w:contextualSpacing/>
              <w:jc w:val="both"/>
              <w:rPr>
                <w:rFonts w:ascii="宋体" w:hAnsi="宋体" w:eastAsia="宋体" w:cstheme="minorEastAsia"/>
                <w:snapToGrid w:val="0"/>
                <w:kern w:val="21"/>
                <w:sz w:val="21"/>
                <w:szCs w:val="21"/>
              </w:rPr>
            </w:pPr>
            <w:r>
              <w:rPr>
                <w:rFonts w:hint="eastAsia" w:ascii="宋体" w:hAnsi="宋体" w:eastAsia="宋体" w:cstheme="minorEastAsia"/>
                <w:snapToGrid w:val="0"/>
                <w:kern w:val="21"/>
                <w:sz w:val="21"/>
                <w:szCs w:val="21"/>
              </w:rPr>
              <w:t>在基本仓库的基础上，建立企业信息专题库、营商环境专题库；</w:t>
            </w:r>
          </w:p>
          <w:p>
            <w:pPr>
              <w:pStyle w:val="116"/>
              <w:numPr>
                <w:ilvl w:val="0"/>
                <w:numId w:val="5"/>
              </w:numPr>
              <w:spacing w:beforeLines="0" w:afterLines="0" w:line="360" w:lineRule="auto"/>
              <w:contextualSpacing/>
              <w:jc w:val="both"/>
              <w:rPr>
                <w:rFonts w:ascii="宋体" w:hAnsi="宋体" w:eastAsia="宋体" w:cstheme="minorEastAsia"/>
                <w:snapToGrid w:val="0"/>
                <w:kern w:val="21"/>
                <w:sz w:val="21"/>
                <w:szCs w:val="21"/>
              </w:rPr>
            </w:pPr>
            <w:r>
              <w:rPr>
                <w:rFonts w:hint="eastAsia" w:ascii="宋体" w:hAnsi="宋体" w:eastAsia="宋体" w:cstheme="minorEastAsia"/>
                <w:snapToGrid w:val="0"/>
                <w:kern w:val="21"/>
                <w:sz w:val="21"/>
                <w:szCs w:val="21"/>
              </w:rPr>
              <w:t xml:space="preserve">为保证数据分析价值得到应用，根据数据分析需要建设数据应用数据库； </w:t>
            </w:r>
          </w:p>
          <w:p>
            <w:pPr>
              <w:pStyle w:val="116"/>
              <w:spacing w:beforeLines="0" w:afterLines="0" w:line="360" w:lineRule="auto"/>
              <w:contextualSpacing/>
              <w:jc w:val="both"/>
              <w:rPr>
                <w:rFonts w:ascii="宋体" w:hAnsi="宋体" w:eastAsia="宋体" w:cstheme="minorEastAsia"/>
                <w:snapToGrid w:val="0"/>
                <w:kern w:val="21"/>
                <w:sz w:val="21"/>
                <w:szCs w:val="21"/>
              </w:rPr>
            </w:pPr>
            <w:r>
              <w:rPr>
                <w:rFonts w:ascii="宋体" w:hAnsi="宋体" w:eastAsia="宋体" w:cstheme="minorEastAsia"/>
                <w:snapToGrid w:val="0"/>
                <w:kern w:val="21"/>
                <w:sz w:val="21"/>
                <w:szCs w:val="21"/>
              </w:rPr>
              <w:t>四、</w:t>
            </w:r>
            <w:r>
              <w:rPr>
                <w:rFonts w:hint="eastAsia" w:ascii="宋体" w:hAnsi="宋体" w:eastAsia="宋体" w:cstheme="minorEastAsia"/>
                <w:snapToGrid w:val="0"/>
                <w:kern w:val="21"/>
                <w:sz w:val="21"/>
                <w:szCs w:val="21"/>
              </w:rPr>
              <w:t>数据治理</w:t>
            </w:r>
          </w:p>
          <w:p>
            <w:pPr>
              <w:pStyle w:val="116"/>
              <w:numPr>
                <w:ilvl w:val="0"/>
                <w:numId w:val="5"/>
              </w:numPr>
              <w:spacing w:beforeLines="0" w:afterLines="0" w:line="360" w:lineRule="auto"/>
              <w:contextualSpacing/>
              <w:jc w:val="both"/>
              <w:rPr>
                <w:rFonts w:ascii="宋体" w:hAnsi="宋体" w:eastAsia="宋体" w:cstheme="minorEastAsia"/>
                <w:snapToGrid w:val="0"/>
                <w:kern w:val="21"/>
                <w:sz w:val="21"/>
                <w:szCs w:val="21"/>
              </w:rPr>
            </w:pPr>
            <w:r>
              <w:rPr>
                <w:rFonts w:hint="eastAsia" w:ascii="宋体" w:hAnsi="宋体" w:eastAsia="宋体" w:cstheme="minorEastAsia"/>
                <w:snapToGrid w:val="0"/>
                <w:kern w:val="21"/>
                <w:sz w:val="21"/>
                <w:szCs w:val="21"/>
              </w:rPr>
              <w:t>数据</w:t>
            </w:r>
            <w:r>
              <w:rPr>
                <w:rFonts w:ascii="宋体" w:hAnsi="宋体" w:eastAsia="宋体" w:cstheme="minorEastAsia"/>
                <w:snapToGrid w:val="0"/>
                <w:kern w:val="21"/>
                <w:sz w:val="21"/>
                <w:szCs w:val="21"/>
              </w:rPr>
              <w:t>中心</w:t>
            </w:r>
            <w:r>
              <w:rPr>
                <w:rFonts w:hint="eastAsia" w:ascii="宋体" w:hAnsi="宋体" w:eastAsia="宋体" w:cstheme="minorEastAsia"/>
                <w:snapToGrid w:val="0"/>
                <w:kern w:val="21"/>
                <w:sz w:val="21"/>
                <w:szCs w:val="21"/>
              </w:rPr>
              <w:t>建成后，需要为基本仓库和两个专题仓库建立数据标准，支持数据导入、API接口接入；</w:t>
            </w:r>
          </w:p>
          <w:p>
            <w:pPr>
              <w:pStyle w:val="116"/>
              <w:numPr>
                <w:ilvl w:val="0"/>
                <w:numId w:val="5"/>
              </w:numPr>
              <w:spacing w:beforeLines="0" w:afterLines="0" w:line="360" w:lineRule="auto"/>
              <w:contextualSpacing/>
              <w:jc w:val="both"/>
              <w:rPr>
                <w:rFonts w:ascii="宋体" w:hAnsi="宋体" w:eastAsia="宋体" w:cstheme="minorEastAsia"/>
                <w:snapToGrid w:val="0"/>
                <w:kern w:val="21"/>
                <w:sz w:val="21"/>
                <w:szCs w:val="21"/>
              </w:rPr>
            </w:pPr>
            <w:r>
              <w:rPr>
                <w:rFonts w:hint="eastAsia" w:ascii="宋体" w:hAnsi="宋体" w:eastAsia="宋体" w:cstheme="minorEastAsia"/>
                <w:snapToGrid w:val="0"/>
                <w:kern w:val="21"/>
                <w:sz w:val="21"/>
                <w:szCs w:val="21"/>
              </w:rPr>
              <w:t>对导入</w:t>
            </w:r>
            <w:r>
              <w:rPr>
                <w:rFonts w:ascii="宋体" w:hAnsi="宋体" w:eastAsia="宋体" w:cstheme="minorEastAsia"/>
                <w:snapToGrid w:val="0"/>
                <w:kern w:val="21"/>
                <w:sz w:val="21"/>
                <w:szCs w:val="21"/>
              </w:rPr>
              <w:t>、接口接入</w:t>
            </w:r>
            <w:r>
              <w:rPr>
                <w:rFonts w:hint="eastAsia" w:ascii="宋体" w:hAnsi="宋体" w:eastAsia="宋体" w:cstheme="minorEastAsia"/>
                <w:snapToGrid w:val="0"/>
                <w:kern w:val="21"/>
                <w:sz w:val="21"/>
                <w:szCs w:val="21"/>
              </w:rPr>
              <w:t>的数据需要进行数据清洗，清洗完毕后按照</w:t>
            </w:r>
            <w:r>
              <w:rPr>
                <w:rFonts w:ascii="宋体" w:hAnsi="宋体" w:eastAsia="宋体" w:cstheme="minorEastAsia"/>
                <w:snapToGrid w:val="0"/>
                <w:kern w:val="21"/>
                <w:sz w:val="21"/>
                <w:szCs w:val="21"/>
              </w:rPr>
              <w:t>数据平台的</w:t>
            </w:r>
            <w:r>
              <w:rPr>
                <w:rFonts w:hint="eastAsia" w:ascii="宋体" w:hAnsi="宋体" w:eastAsia="宋体" w:cstheme="minorEastAsia"/>
                <w:snapToGrid w:val="0"/>
                <w:kern w:val="21"/>
                <w:sz w:val="21"/>
                <w:szCs w:val="21"/>
              </w:rPr>
              <w:t>数据标准分别进入专题库、基础库；</w:t>
            </w:r>
          </w:p>
          <w:p>
            <w:pPr>
              <w:pStyle w:val="116"/>
              <w:numPr>
                <w:ilvl w:val="0"/>
                <w:numId w:val="5"/>
              </w:numPr>
              <w:spacing w:beforeLines="0" w:afterLines="0" w:line="360" w:lineRule="auto"/>
              <w:contextualSpacing/>
              <w:jc w:val="both"/>
              <w:rPr>
                <w:rFonts w:ascii="宋体" w:hAnsi="宋体" w:eastAsia="宋体" w:cstheme="minorEastAsia"/>
                <w:snapToGrid w:val="0"/>
                <w:kern w:val="21"/>
                <w:sz w:val="21"/>
                <w:szCs w:val="21"/>
              </w:rPr>
            </w:pPr>
            <w:r>
              <w:rPr>
                <w:rFonts w:ascii="宋体" w:hAnsi="宋体" w:eastAsia="宋体" w:cstheme="minorEastAsia"/>
                <w:snapToGrid w:val="0"/>
                <w:kern w:val="21"/>
                <w:sz w:val="21"/>
                <w:szCs w:val="21"/>
              </w:rPr>
              <w:t>需要与</w:t>
            </w:r>
            <w:r>
              <w:rPr>
                <w:rFonts w:hint="eastAsia" w:ascii="宋体" w:hAnsi="宋体" w:eastAsia="宋体" w:cstheme="minorEastAsia"/>
                <w:snapToGrid w:val="0"/>
                <w:kern w:val="21"/>
                <w:sz w:val="21"/>
                <w:szCs w:val="21"/>
              </w:rPr>
              <w:t>西山区政务服务中心取号平台</w:t>
            </w:r>
            <w:r>
              <w:rPr>
                <w:rFonts w:ascii="宋体" w:hAnsi="宋体" w:eastAsia="宋体" w:cstheme="minorEastAsia"/>
                <w:snapToGrid w:val="0"/>
                <w:kern w:val="21"/>
                <w:sz w:val="21"/>
                <w:szCs w:val="21"/>
              </w:rPr>
              <w:t>数据库、线上预约数据库</w:t>
            </w:r>
            <w:r>
              <w:rPr>
                <w:rFonts w:hint="eastAsia" w:ascii="宋体" w:hAnsi="宋体" w:eastAsia="宋体" w:cstheme="minorEastAsia"/>
                <w:snapToGrid w:val="0"/>
                <w:kern w:val="21"/>
                <w:sz w:val="21"/>
                <w:szCs w:val="21"/>
              </w:rPr>
              <w:t>实现对接</w:t>
            </w:r>
            <w:r>
              <w:rPr>
                <w:rFonts w:ascii="宋体" w:hAnsi="宋体" w:eastAsia="宋体" w:cstheme="minorEastAsia"/>
                <w:snapToGrid w:val="0"/>
                <w:kern w:val="21"/>
                <w:sz w:val="21"/>
                <w:szCs w:val="21"/>
              </w:rPr>
              <w:t>，同步数据，</w:t>
            </w:r>
            <w:r>
              <w:rPr>
                <w:rFonts w:hint="eastAsia" w:ascii="宋体" w:hAnsi="宋体" w:eastAsia="宋体" w:cstheme="minorEastAsia"/>
                <w:snapToGrid w:val="0"/>
                <w:kern w:val="21"/>
                <w:sz w:val="21"/>
                <w:szCs w:val="21"/>
              </w:rPr>
              <w:t>API接口的对接需要</w:t>
            </w:r>
            <w:r>
              <w:rPr>
                <w:rFonts w:ascii="宋体" w:hAnsi="宋体" w:eastAsia="宋体" w:cstheme="minorEastAsia"/>
                <w:snapToGrid w:val="0"/>
                <w:kern w:val="21"/>
                <w:sz w:val="21"/>
                <w:szCs w:val="21"/>
              </w:rPr>
              <w:t>支持</w:t>
            </w:r>
            <w:r>
              <w:rPr>
                <w:rFonts w:hint="eastAsia" w:ascii="宋体" w:hAnsi="宋体" w:eastAsia="宋体" w:cstheme="minorEastAsia"/>
                <w:snapToGrid w:val="0"/>
                <w:kern w:val="21"/>
                <w:sz w:val="21"/>
                <w:szCs w:val="21"/>
              </w:rPr>
              <w:t>企业信息平台</w:t>
            </w:r>
            <w:r>
              <w:rPr>
                <w:rFonts w:ascii="宋体" w:hAnsi="宋体" w:eastAsia="宋体" w:cstheme="minorEastAsia"/>
                <w:snapToGrid w:val="0"/>
                <w:kern w:val="21"/>
                <w:sz w:val="21"/>
                <w:szCs w:val="21"/>
              </w:rPr>
              <w:t>接入，</w:t>
            </w:r>
            <w:r>
              <w:rPr>
                <w:rFonts w:hint="eastAsia" w:ascii="宋体" w:hAnsi="宋体" w:eastAsia="宋体" w:cstheme="minorEastAsia"/>
                <w:snapToGrid w:val="0"/>
                <w:kern w:val="21"/>
                <w:sz w:val="21"/>
                <w:szCs w:val="21"/>
              </w:rPr>
              <w:t>对接方式为：满足R</w:t>
            </w:r>
            <w:r>
              <w:rPr>
                <w:rFonts w:ascii="宋体" w:hAnsi="宋体" w:eastAsia="宋体" w:cstheme="minorEastAsia"/>
                <w:snapToGrid w:val="0"/>
                <w:kern w:val="21"/>
                <w:sz w:val="21"/>
                <w:szCs w:val="21"/>
              </w:rPr>
              <w:t>estfu</w:t>
            </w:r>
            <w:r>
              <w:rPr>
                <w:rFonts w:hint="eastAsia" w:ascii="宋体" w:hAnsi="宋体" w:eastAsia="宋体" w:cstheme="minorEastAsia"/>
                <w:snapToGrid w:val="0"/>
                <w:kern w:val="21"/>
                <w:sz w:val="21"/>
                <w:szCs w:val="21"/>
              </w:rPr>
              <w:t>l标准的API接口规范</w:t>
            </w:r>
            <w:r>
              <w:rPr>
                <w:rFonts w:ascii="宋体" w:hAnsi="宋体" w:eastAsia="宋体" w:cstheme="minorEastAsia"/>
                <w:snapToGrid w:val="0"/>
                <w:kern w:val="21"/>
                <w:sz w:val="21"/>
                <w:szCs w:val="21"/>
              </w:rPr>
              <w:t>。</w:t>
            </w:r>
          </w:p>
          <w:p>
            <w:pPr>
              <w:pStyle w:val="26"/>
              <w:widowControl w:val="0"/>
              <w:spacing w:before="0" w:beforeAutospacing="0" w:after="0" w:afterAutospacing="0" w:line="360" w:lineRule="auto"/>
              <w:contextualSpacing/>
              <w:rPr>
                <w:rFonts w:cstheme="minorEastAsia"/>
                <w:snapToGrid w:val="0"/>
                <w:kern w:val="21"/>
                <w:sz w:val="21"/>
                <w:szCs w:val="21"/>
              </w:rPr>
            </w:pPr>
            <w:r>
              <w:rPr>
                <w:rFonts w:cstheme="minorEastAsia"/>
                <w:snapToGrid w:val="0"/>
                <w:kern w:val="21"/>
                <w:sz w:val="21"/>
                <w:szCs w:val="21"/>
              </w:rPr>
              <w:t>五、需解决大数据中心所需要的企业工商信息数据来源以及数据比对、校验、补全、更新。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68" w:type="dxa"/>
            <w:vAlign w:val="center"/>
          </w:tcPr>
          <w:p>
            <w:pPr>
              <w:spacing w:line="360" w:lineRule="auto"/>
              <w:jc w:val="center"/>
              <w:rPr>
                <w:rFonts w:hAnsi="宋体" w:cstheme="minorEastAsia"/>
                <w:szCs w:val="21"/>
              </w:rPr>
            </w:pPr>
            <w:r>
              <w:rPr>
                <w:rFonts w:hAnsi="宋体" w:cstheme="minorEastAsia"/>
                <w:szCs w:val="21"/>
              </w:rPr>
              <w:t>2</w:t>
            </w:r>
          </w:p>
        </w:tc>
        <w:tc>
          <w:tcPr>
            <w:tcW w:w="1532" w:type="dxa"/>
            <w:vAlign w:val="center"/>
          </w:tcPr>
          <w:p>
            <w:pPr>
              <w:spacing w:line="360" w:lineRule="auto"/>
              <w:rPr>
                <w:rFonts w:hAnsi="宋体" w:cstheme="minorEastAsia"/>
                <w:szCs w:val="21"/>
              </w:rPr>
            </w:pPr>
            <w:r>
              <w:rPr>
                <w:rFonts w:hint="eastAsia" w:hAnsi="宋体" w:cstheme="minorEastAsia"/>
                <w:szCs w:val="21"/>
              </w:rPr>
              <w:t>政务中心综合管理应用</w:t>
            </w:r>
          </w:p>
        </w:tc>
        <w:tc>
          <w:tcPr>
            <w:tcW w:w="6354" w:type="dxa"/>
            <w:vAlign w:val="center"/>
          </w:tcPr>
          <w:p>
            <w:pPr>
              <w:pStyle w:val="116"/>
              <w:spacing w:before="93" w:beforeLines="30" w:afterLines="0" w:line="348" w:lineRule="auto"/>
              <w:jc w:val="left"/>
              <w:rPr>
                <w:rFonts w:ascii="宋体" w:hAnsi="宋体" w:eastAsia="宋体" w:cstheme="minorEastAsia"/>
                <w:sz w:val="21"/>
                <w:szCs w:val="21"/>
              </w:rPr>
            </w:pPr>
            <w:r>
              <w:rPr>
                <w:rFonts w:ascii="宋体" w:hAnsi="宋体" w:eastAsia="宋体" w:cstheme="minorEastAsia"/>
                <w:sz w:val="21"/>
                <w:szCs w:val="21"/>
              </w:rPr>
              <w:t>平台需解决政务服务中心</w:t>
            </w:r>
            <w:r>
              <w:rPr>
                <w:rFonts w:hint="eastAsia" w:ascii="宋体" w:hAnsi="宋体" w:eastAsia="宋体" w:cstheme="minorEastAsia"/>
                <w:sz w:val="21"/>
                <w:szCs w:val="21"/>
              </w:rPr>
              <w:t>的综合管理办公应用需求，</w:t>
            </w:r>
            <w:r>
              <w:rPr>
                <w:rFonts w:ascii="宋体" w:hAnsi="宋体" w:eastAsia="宋体" w:cstheme="minorEastAsia"/>
                <w:sz w:val="21"/>
                <w:szCs w:val="21"/>
              </w:rPr>
              <w:t>具体功能需求如下：</w:t>
            </w:r>
          </w:p>
          <w:p>
            <w:pPr>
              <w:pStyle w:val="116"/>
              <w:spacing w:before="62" w:after="62" w:line="348" w:lineRule="auto"/>
              <w:jc w:val="left"/>
              <w:rPr>
                <w:rFonts w:ascii="宋体" w:hAnsi="宋体" w:eastAsia="宋体" w:cstheme="minorEastAsia"/>
                <w:sz w:val="21"/>
                <w:szCs w:val="21"/>
              </w:rPr>
            </w:pPr>
            <w:r>
              <w:rPr>
                <w:rFonts w:hint="eastAsia" w:ascii="宋体" w:hAnsi="宋体" w:eastAsia="宋体" w:cstheme="minorEastAsia"/>
                <w:sz w:val="21"/>
                <w:szCs w:val="21"/>
              </w:rPr>
              <w:t>1、政务服务中心人员管理：</w:t>
            </w:r>
            <w:r>
              <w:rPr>
                <w:rFonts w:hint="eastAsia" w:ascii="宋体" w:hAnsi="宋体" w:eastAsia="宋体" w:cstheme="minorEastAsia"/>
                <w:sz w:val="21"/>
                <w:szCs w:val="21"/>
                <w:lang w:eastAsia="zh-Hans"/>
              </w:rPr>
              <w:t>解决政务服务中心所有人员线上化沟通</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协同</w:t>
            </w:r>
            <w:r>
              <w:rPr>
                <w:rFonts w:ascii="宋体" w:hAnsi="宋体" w:eastAsia="宋体" w:cstheme="minorEastAsia"/>
                <w:sz w:val="21"/>
                <w:szCs w:val="21"/>
                <w:lang w:eastAsia="zh-Hans"/>
              </w:rPr>
              <w:t>；</w:t>
            </w:r>
          </w:p>
          <w:p>
            <w:pPr>
              <w:pStyle w:val="116"/>
              <w:spacing w:before="62" w:after="62" w:line="348" w:lineRule="auto"/>
              <w:jc w:val="left"/>
              <w:rPr>
                <w:rFonts w:ascii="宋体" w:hAnsi="宋体" w:eastAsia="宋体" w:cstheme="minorEastAsia"/>
                <w:sz w:val="21"/>
                <w:szCs w:val="21"/>
              </w:rPr>
            </w:pPr>
            <w:r>
              <w:rPr>
                <w:rFonts w:hint="eastAsia" w:ascii="宋体" w:hAnsi="宋体" w:eastAsia="宋体" w:cstheme="minorEastAsia"/>
                <w:sz w:val="21"/>
                <w:szCs w:val="21"/>
              </w:rPr>
              <w:t>2、考勤管理：</w:t>
            </w:r>
            <w:r>
              <w:rPr>
                <w:rFonts w:hint="eastAsia" w:ascii="宋体" w:hAnsi="宋体" w:eastAsia="宋体" w:cstheme="minorEastAsia"/>
                <w:sz w:val="21"/>
                <w:szCs w:val="21"/>
                <w:lang w:eastAsia="zh-Hans"/>
              </w:rPr>
              <w:t>按照政务服务中心的管理规定</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对人员实现假勤线上化管理</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须定期自动生成考勤数据</w:t>
            </w:r>
            <w:r>
              <w:rPr>
                <w:rFonts w:ascii="宋体" w:hAnsi="宋体" w:eastAsia="宋体" w:cstheme="minorEastAsia"/>
                <w:sz w:val="21"/>
                <w:szCs w:val="21"/>
                <w:lang w:eastAsia="zh-Hans"/>
              </w:rPr>
              <w:t>；</w:t>
            </w:r>
          </w:p>
          <w:p>
            <w:pPr>
              <w:pStyle w:val="116"/>
              <w:spacing w:before="62" w:after="62" w:line="348" w:lineRule="auto"/>
              <w:jc w:val="left"/>
              <w:rPr>
                <w:rFonts w:ascii="宋体" w:hAnsi="宋体" w:eastAsia="宋体" w:cstheme="minorEastAsia"/>
                <w:sz w:val="21"/>
                <w:szCs w:val="21"/>
              </w:rPr>
            </w:pPr>
            <w:r>
              <w:rPr>
                <w:rFonts w:hint="eastAsia" w:ascii="宋体" w:hAnsi="宋体" w:eastAsia="宋体" w:cstheme="minorEastAsia"/>
                <w:sz w:val="21"/>
                <w:szCs w:val="21"/>
              </w:rPr>
              <w:t>3、工作群管理：</w:t>
            </w:r>
            <w:r>
              <w:rPr>
                <w:rFonts w:hint="eastAsia" w:ascii="宋体" w:hAnsi="宋体" w:eastAsia="宋体" w:cstheme="minorEastAsia"/>
                <w:sz w:val="21"/>
                <w:szCs w:val="21"/>
                <w:lang w:eastAsia="zh-Hans"/>
              </w:rPr>
              <w:t>根据不同窗口</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不同业务类型</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不同部门可随时建立工作沟通群</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并可通过工作群解决政务中心日常工作沟通需要</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并保证群信息安全；</w:t>
            </w:r>
          </w:p>
          <w:p>
            <w:pPr>
              <w:pStyle w:val="116"/>
              <w:spacing w:before="62" w:after="62" w:line="348" w:lineRule="auto"/>
              <w:jc w:val="left"/>
              <w:rPr>
                <w:rFonts w:ascii="宋体" w:hAnsi="宋体" w:eastAsia="宋体" w:cstheme="minorEastAsia"/>
                <w:sz w:val="21"/>
                <w:szCs w:val="21"/>
              </w:rPr>
            </w:pPr>
            <w:r>
              <w:rPr>
                <w:rFonts w:hint="eastAsia" w:ascii="宋体" w:hAnsi="宋体" w:eastAsia="宋体" w:cstheme="minorEastAsia"/>
                <w:sz w:val="21"/>
                <w:szCs w:val="21"/>
              </w:rPr>
              <w:t>4、通知公告：</w:t>
            </w:r>
            <w:r>
              <w:rPr>
                <w:rFonts w:hint="eastAsia" w:ascii="宋体" w:hAnsi="宋体" w:eastAsia="宋体" w:cstheme="minorEastAsia"/>
                <w:sz w:val="21"/>
                <w:szCs w:val="21"/>
                <w:lang w:eastAsia="zh-Hans"/>
              </w:rPr>
              <w:t>须提供实时发布通知公告功能</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满足政务局针对不同部门</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不同人员发布对应的通知公告</w:t>
            </w:r>
            <w:r>
              <w:rPr>
                <w:rFonts w:hint="eastAsia" w:ascii="宋体" w:hAnsi="宋体" w:eastAsia="宋体" w:cstheme="minorEastAsia"/>
                <w:sz w:val="21"/>
                <w:szCs w:val="21"/>
              </w:rPr>
              <w:t>；</w:t>
            </w:r>
          </w:p>
          <w:p>
            <w:pPr>
              <w:pStyle w:val="116"/>
              <w:spacing w:before="62" w:after="62" w:line="348" w:lineRule="auto"/>
              <w:jc w:val="left"/>
              <w:rPr>
                <w:rFonts w:ascii="宋体" w:hAnsi="宋体" w:eastAsia="宋体" w:cstheme="minorEastAsia"/>
                <w:sz w:val="21"/>
                <w:szCs w:val="21"/>
              </w:rPr>
            </w:pPr>
            <w:r>
              <w:rPr>
                <w:rFonts w:hint="eastAsia" w:ascii="宋体" w:hAnsi="宋体" w:eastAsia="宋体" w:cstheme="minorEastAsia"/>
                <w:sz w:val="21"/>
                <w:szCs w:val="21"/>
              </w:rPr>
              <w:t>5、会议管理：</w:t>
            </w:r>
            <w:r>
              <w:rPr>
                <w:rFonts w:hint="eastAsia" w:ascii="宋体" w:hAnsi="宋体" w:eastAsia="宋体" w:cstheme="minorEastAsia"/>
                <w:sz w:val="21"/>
                <w:szCs w:val="21"/>
                <w:lang w:eastAsia="zh-Hans"/>
              </w:rPr>
              <w:t>须提供会议室预定</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会议预约</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线上视频会议</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电话会议</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会议日程提醒等功能</w:t>
            </w:r>
            <w:r>
              <w:rPr>
                <w:rFonts w:hint="eastAsia" w:ascii="宋体" w:hAnsi="宋体" w:eastAsia="宋体" w:cstheme="minorEastAsia"/>
                <w:sz w:val="21"/>
                <w:szCs w:val="21"/>
              </w:rPr>
              <w:t>；</w:t>
            </w:r>
          </w:p>
          <w:p>
            <w:pPr>
              <w:pStyle w:val="116"/>
              <w:spacing w:before="62" w:after="62" w:line="348" w:lineRule="auto"/>
              <w:jc w:val="left"/>
              <w:rPr>
                <w:rFonts w:ascii="宋体" w:hAnsi="宋体" w:eastAsia="宋体" w:cstheme="minorEastAsia"/>
                <w:sz w:val="21"/>
                <w:szCs w:val="21"/>
              </w:rPr>
            </w:pPr>
            <w:r>
              <w:rPr>
                <w:rFonts w:hint="eastAsia" w:ascii="宋体" w:hAnsi="宋体" w:eastAsia="宋体" w:cstheme="minorEastAsia"/>
                <w:sz w:val="21"/>
                <w:szCs w:val="21"/>
              </w:rPr>
              <w:t>6、线上学习、培训平台：</w:t>
            </w:r>
            <w:r>
              <w:rPr>
                <w:rFonts w:hint="eastAsia" w:ascii="宋体" w:hAnsi="宋体" w:eastAsia="宋体" w:cstheme="minorEastAsia"/>
                <w:sz w:val="21"/>
                <w:szCs w:val="21"/>
                <w:lang w:eastAsia="zh-Hans"/>
              </w:rPr>
              <w:t>须提供线上学习</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培训</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考试</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考试成绩查询</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数据统计等功能</w:t>
            </w:r>
            <w:r>
              <w:rPr>
                <w:rFonts w:hint="eastAsia" w:ascii="宋体" w:hAnsi="宋体" w:eastAsia="宋体" w:cstheme="minorEastAsia"/>
                <w:sz w:val="21"/>
                <w:szCs w:val="21"/>
              </w:rPr>
              <w:t>；</w:t>
            </w:r>
          </w:p>
          <w:p>
            <w:pPr>
              <w:pStyle w:val="116"/>
              <w:spacing w:before="62" w:after="62" w:line="348" w:lineRule="auto"/>
              <w:jc w:val="left"/>
              <w:rPr>
                <w:rFonts w:ascii="宋体" w:hAnsi="宋体" w:eastAsia="宋体" w:cstheme="minorEastAsia"/>
                <w:sz w:val="21"/>
                <w:szCs w:val="21"/>
              </w:rPr>
            </w:pPr>
            <w:r>
              <w:rPr>
                <w:rFonts w:hint="eastAsia" w:ascii="宋体" w:hAnsi="宋体" w:eastAsia="宋体" w:cstheme="minorEastAsia"/>
                <w:sz w:val="21"/>
                <w:szCs w:val="21"/>
              </w:rPr>
              <w:t>7、政务服务大厅窗口监督检查平台：</w:t>
            </w:r>
            <w:r>
              <w:rPr>
                <w:rFonts w:hint="eastAsia" w:ascii="宋体" w:hAnsi="宋体" w:eastAsia="宋体" w:cstheme="minorEastAsia"/>
                <w:sz w:val="21"/>
                <w:szCs w:val="21"/>
                <w:lang w:eastAsia="zh-Hans"/>
              </w:rPr>
              <w:t>须提供政务服务中心日常巡查</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通报批评</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申诉</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数据统计等功能</w:t>
            </w:r>
            <w:r>
              <w:rPr>
                <w:rFonts w:hint="eastAsia" w:ascii="宋体" w:hAnsi="宋体" w:eastAsia="宋体" w:cstheme="minorEastAsia"/>
                <w:sz w:val="21"/>
                <w:szCs w:val="21"/>
              </w:rPr>
              <w:t>；</w:t>
            </w:r>
          </w:p>
          <w:p>
            <w:pPr>
              <w:pStyle w:val="116"/>
              <w:spacing w:before="62" w:after="62" w:line="348" w:lineRule="auto"/>
              <w:jc w:val="left"/>
              <w:rPr>
                <w:rFonts w:ascii="宋体" w:hAnsi="宋体" w:eastAsia="宋体" w:cstheme="minorEastAsia"/>
                <w:sz w:val="21"/>
                <w:szCs w:val="21"/>
              </w:rPr>
            </w:pPr>
            <w:r>
              <w:rPr>
                <w:rFonts w:hint="eastAsia" w:ascii="宋体" w:hAnsi="宋体" w:eastAsia="宋体" w:cstheme="minorEastAsia"/>
                <w:sz w:val="21"/>
                <w:szCs w:val="21"/>
              </w:rPr>
              <w:t>8、公文管理平台：</w:t>
            </w:r>
            <w:r>
              <w:rPr>
                <w:rFonts w:hint="eastAsia" w:ascii="宋体" w:hAnsi="宋体" w:eastAsia="宋体" w:cstheme="minorEastAsia"/>
                <w:sz w:val="21"/>
                <w:szCs w:val="21"/>
                <w:lang w:eastAsia="zh-Hans"/>
              </w:rPr>
              <w:t>须提供政务服务中心日常收发文管理</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文件分类</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文件查看</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数据统计等功能</w:t>
            </w:r>
            <w:r>
              <w:rPr>
                <w:rFonts w:hint="eastAsia" w:ascii="宋体" w:hAnsi="宋体" w:eastAsia="宋体" w:cstheme="minorEastAsia"/>
                <w:sz w:val="21"/>
                <w:szCs w:val="21"/>
              </w:rPr>
              <w:t>；</w:t>
            </w:r>
          </w:p>
          <w:p>
            <w:pPr>
              <w:pStyle w:val="116"/>
              <w:spacing w:before="62" w:after="62" w:line="348" w:lineRule="auto"/>
              <w:jc w:val="left"/>
              <w:rPr>
                <w:rFonts w:ascii="宋体" w:hAnsi="宋体" w:eastAsia="宋体" w:cstheme="minorEastAsia"/>
                <w:sz w:val="21"/>
                <w:szCs w:val="21"/>
              </w:rPr>
            </w:pPr>
            <w:r>
              <w:rPr>
                <w:rFonts w:hint="eastAsia" w:ascii="宋体" w:hAnsi="宋体" w:eastAsia="宋体" w:cstheme="minorEastAsia"/>
                <w:sz w:val="21"/>
                <w:szCs w:val="21"/>
              </w:rPr>
              <w:t>9、OA审批：</w:t>
            </w:r>
            <w:r>
              <w:rPr>
                <w:rFonts w:hint="eastAsia" w:ascii="宋体" w:hAnsi="宋体" w:eastAsia="宋体" w:cstheme="minorEastAsia"/>
                <w:sz w:val="21"/>
                <w:szCs w:val="21"/>
                <w:lang w:eastAsia="zh-Hans"/>
              </w:rPr>
              <w:t>须提供满足政务服务中心各类日常</w:t>
            </w:r>
            <w:r>
              <w:rPr>
                <w:rFonts w:ascii="宋体" w:hAnsi="宋体" w:eastAsia="宋体" w:cstheme="minorEastAsia"/>
                <w:sz w:val="21"/>
                <w:szCs w:val="21"/>
                <w:lang w:eastAsia="zh-Hans"/>
              </w:rPr>
              <w:t>OA</w:t>
            </w:r>
            <w:r>
              <w:rPr>
                <w:rFonts w:hint="eastAsia" w:ascii="宋体" w:hAnsi="宋体" w:eastAsia="宋体" w:cstheme="minorEastAsia"/>
                <w:sz w:val="21"/>
                <w:szCs w:val="21"/>
                <w:lang w:eastAsia="zh-Hans"/>
              </w:rPr>
              <w:t>审批需求</w:t>
            </w:r>
            <w:r>
              <w:rPr>
                <w:rFonts w:hint="eastAsia" w:ascii="宋体" w:hAnsi="宋体" w:eastAsia="宋体" w:cstheme="minorEastAsia"/>
                <w:sz w:val="21"/>
                <w:szCs w:val="21"/>
              </w:rPr>
              <w:t>；</w:t>
            </w:r>
          </w:p>
          <w:p>
            <w:pPr>
              <w:pStyle w:val="116"/>
              <w:spacing w:beforeLines="0" w:afterLines="0" w:line="348" w:lineRule="auto"/>
              <w:jc w:val="left"/>
              <w:rPr>
                <w:rFonts w:ascii="宋体" w:hAnsi="宋体" w:eastAsia="宋体" w:cstheme="minorEastAsia"/>
                <w:sz w:val="21"/>
                <w:szCs w:val="21"/>
              </w:rPr>
            </w:pPr>
            <w:r>
              <w:rPr>
                <w:rFonts w:hint="eastAsia" w:ascii="宋体" w:hAnsi="宋体" w:eastAsia="宋体" w:cstheme="minorEastAsia"/>
                <w:sz w:val="21"/>
                <w:szCs w:val="21"/>
              </w:rPr>
              <w:t>10、办公用品领用：</w:t>
            </w:r>
            <w:r>
              <w:rPr>
                <w:rFonts w:hint="eastAsia" w:ascii="宋体" w:hAnsi="宋体" w:eastAsia="宋体" w:cstheme="minorEastAsia"/>
                <w:sz w:val="21"/>
                <w:szCs w:val="21"/>
                <w:lang w:eastAsia="zh-Hans"/>
              </w:rPr>
              <w:t>须提供办公用品入库</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出库</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领用管理</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数据统计等功能</w:t>
            </w:r>
            <w:r>
              <w:rPr>
                <w:rFonts w:hint="eastAsia" w:ascii="宋体" w:hAnsi="宋体" w:eastAsia="宋体"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68" w:type="dxa"/>
            <w:vAlign w:val="center"/>
          </w:tcPr>
          <w:p>
            <w:pPr>
              <w:spacing w:line="360" w:lineRule="auto"/>
              <w:jc w:val="center"/>
              <w:rPr>
                <w:rFonts w:hAnsi="宋体" w:cstheme="minorEastAsia"/>
                <w:szCs w:val="21"/>
              </w:rPr>
            </w:pPr>
            <w:r>
              <w:rPr>
                <w:rFonts w:hAnsi="宋体" w:cstheme="minorEastAsia"/>
                <w:szCs w:val="21"/>
              </w:rPr>
              <w:t>3</w:t>
            </w:r>
          </w:p>
        </w:tc>
        <w:tc>
          <w:tcPr>
            <w:tcW w:w="1532" w:type="dxa"/>
            <w:vAlign w:val="center"/>
          </w:tcPr>
          <w:p>
            <w:pPr>
              <w:spacing w:line="360" w:lineRule="auto"/>
              <w:ind w:firstLine="210" w:firstLineChars="100"/>
              <w:rPr>
                <w:rFonts w:hAnsi="宋体" w:cstheme="minorEastAsia"/>
                <w:szCs w:val="21"/>
              </w:rPr>
            </w:pPr>
            <w:r>
              <w:rPr>
                <w:rFonts w:hint="eastAsia" w:hAnsi="宋体" w:cstheme="minorEastAsia"/>
                <w:szCs w:val="21"/>
              </w:rPr>
              <w:t>企业服务</w:t>
            </w:r>
          </w:p>
        </w:tc>
        <w:tc>
          <w:tcPr>
            <w:tcW w:w="6354" w:type="dxa"/>
            <w:vAlign w:val="center"/>
          </w:tcPr>
          <w:p>
            <w:pPr>
              <w:widowControl/>
              <w:spacing w:line="348" w:lineRule="auto"/>
              <w:rPr>
                <w:rFonts w:hAnsi="宋体" w:cstheme="minorEastAsia"/>
                <w:szCs w:val="21"/>
              </w:rPr>
            </w:pPr>
            <w:r>
              <w:rPr>
                <w:rFonts w:hAnsi="宋体" w:cstheme="minorEastAsia"/>
                <w:szCs w:val="21"/>
              </w:rPr>
              <w:t>为政务服务中心提供线上企业服务应用平台，须满足企业可通过多端使用；具体功能需求如下：</w:t>
            </w:r>
          </w:p>
          <w:p>
            <w:pPr>
              <w:widowControl/>
              <w:spacing w:line="348" w:lineRule="auto"/>
              <w:rPr>
                <w:rFonts w:hAnsi="宋体" w:cstheme="minorEastAsia"/>
                <w:szCs w:val="21"/>
              </w:rPr>
            </w:pPr>
            <w:r>
              <w:rPr>
                <w:rFonts w:hAnsi="宋体" w:cstheme="minorEastAsia"/>
                <w:szCs w:val="21"/>
              </w:rPr>
              <w:t>1、政策服务</w:t>
            </w:r>
            <w:r>
              <w:rPr>
                <w:rFonts w:hint="eastAsia" w:hAnsi="宋体" w:cstheme="minorEastAsia"/>
                <w:szCs w:val="21"/>
              </w:rPr>
              <w:t>：</w:t>
            </w:r>
            <w:r>
              <w:rPr>
                <w:rFonts w:hint="eastAsia" w:hAnsi="宋体" w:cstheme="minorEastAsia"/>
                <w:szCs w:val="21"/>
                <w:lang w:eastAsia="zh-Hans"/>
              </w:rPr>
              <w:t>须提供政策发布</w:t>
            </w:r>
            <w:r>
              <w:rPr>
                <w:rFonts w:hAnsi="宋体" w:cstheme="minorEastAsia"/>
                <w:szCs w:val="21"/>
                <w:lang w:eastAsia="zh-Hans"/>
              </w:rPr>
              <w:t>、</w:t>
            </w:r>
            <w:r>
              <w:rPr>
                <w:rFonts w:hint="eastAsia" w:hAnsi="宋体" w:cstheme="minorEastAsia"/>
                <w:szCs w:val="21"/>
                <w:lang w:eastAsia="zh-Hans"/>
              </w:rPr>
              <w:t>政策解读功能</w:t>
            </w:r>
            <w:r>
              <w:rPr>
                <w:rFonts w:hAnsi="宋体" w:cstheme="minorEastAsia"/>
                <w:szCs w:val="21"/>
              </w:rPr>
              <w:t>；</w:t>
            </w:r>
          </w:p>
          <w:p>
            <w:pPr>
              <w:pStyle w:val="116"/>
              <w:spacing w:beforeLines="0" w:afterLines="0" w:line="348" w:lineRule="auto"/>
              <w:jc w:val="both"/>
              <w:rPr>
                <w:rFonts w:ascii="宋体" w:hAnsi="宋体" w:eastAsia="宋体" w:cstheme="minorEastAsia"/>
                <w:sz w:val="21"/>
                <w:szCs w:val="21"/>
              </w:rPr>
            </w:pPr>
            <w:r>
              <w:rPr>
                <w:rFonts w:ascii="宋体" w:hAnsi="宋体" w:eastAsia="宋体" w:cstheme="minorEastAsia"/>
                <w:sz w:val="21"/>
                <w:szCs w:val="21"/>
              </w:rPr>
              <w:t>2、企业办事服务</w:t>
            </w:r>
            <w:r>
              <w:rPr>
                <w:rFonts w:hint="eastAsia" w:ascii="宋体" w:hAnsi="宋体" w:eastAsia="宋体" w:cstheme="minorEastAsia"/>
                <w:sz w:val="21"/>
                <w:szCs w:val="21"/>
              </w:rPr>
              <w:t>：</w:t>
            </w:r>
            <w:r>
              <w:rPr>
                <w:rFonts w:hint="eastAsia" w:ascii="宋体" w:hAnsi="宋体" w:eastAsia="宋体" w:cstheme="minorEastAsia"/>
                <w:sz w:val="21"/>
                <w:szCs w:val="21"/>
                <w:lang w:eastAsia="zh-Hans"/>
              </w:rPr>
              <w:t>须提供企业办事咨询</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办事指南功能</w:t>
            </w:r>
            <w:r>
              <w:rPr>
                <w:rFonts w:ascii="宋体" w:hAnsi="宋体" w:eastAsia="宋体" w:cstheme="minorEastAsia"/>
                <w:sz w:val="21"/>
                <w:szCs w:val="21"/>
              </w:rPr>
              <w:t>；</w:t>
            </w:r>
          </w:p>
          <w:p>
            <w:pPr>
              <w:pStyle w:val="116"/>
              <w:spacing w:beforeLines="0" w:afterLines="0" w:line="348" w:lineRule="auto"/>
              <w:jc w:val="both"/>
              <w:rPr>
                <w:rFonts w:ascii="宋体" w:hAnsi="宋体" w:eastAsia="宋体" w:cstheme="minorEastAsia"/>
                <w:sz w:val="21"/>
                <w:szCs w:val="21"/>
              </w:rPr>
            </w:pPr>
            <w:r>
              <w:rPr>
                <w:rFonts w:ascii="宋体" w:hAnsi="宋体" w:eastAsia="宋体" w:cstheme="minorEastAsia"/>
                <w:sz w:val="21"/>
                <w:szCs w:val="21"/>
              </w:rPr>
              <w:t>3、政策一对一</w:t>
            </w:r>
            <w:r>
              <w:rPr>
                <w:rFonts w:hint="eastAsia" w:ascii="宋体" w:hAnsi="宋体" w:eastAsia="宋体" w:cstheme="minorEastAsia"/>
                <w:sz w:val="21"/>
                <w:szCs w:val="21"/>
                <w:lang w:eastAsia="zh-Hans"/>
              </w:rPr>
              <w:t>服务：提供政策一对一推送</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并统计企业接收数据</w:t>
            </w:r>
            <w:r>
              <w:rPr>
                <w:rFonts w:ascii="宋体" w:hAnsi="宋体" w:eastAsia="宋体" w:cstheme="minorEastAsia"/>
                <w:sz w:val="21"/>
                <w:szCs w:val="21"/>
              </w:rPr>
              <w:t>；</w:t>
            </w:r>
          </w:p>
          <w:p>
            <w:pPr>
              <w:pStyle w:val="116"/>
              <w:spacing w:beforeLines="0" w:afterLines="0" w:line="348" w:lineRule="auto"/>
              <w:jc w:val="both"/>
              <w:rPr>
                <w:rFonts w:ascii="宋体" w:hAnsi="宋体" w:eastAsia="宋体" w:cstheme="minorEastAsia"/>
                <w:sz w:val="21"/>
                <w:szCs w:val="21"/>
              </w:rPr>
            </w:pPr>
            <w:r>
              <w:rPr>
                <w:rFonts w:ascii="宋体" w:hAnsi="宋体" w:eastAsia="宋体" w:cstheme="minorEastAsia"/>
                <w:sz w:val="21"/>
                <w:szCs w:val="21"/>
              </w:rPr>
              <w:t>4、线上直播</w:t>
            </w:r>
            <w:r>
              <w:rPr>
                <w:rFonts w:hint="eastAsia" w:ascii="宋体" w:hAnsi="宋体" w:eastAsia="宋体" w:cstheme="minorEastAsia"/>
                <w:sz w:val="21"/>
                <w:szCs w:val="21"/>
              </w:rPr>
              <w:t>：</w:t>
            </w:r>
            <w:r>
              <w:rPr>
                <w:rFonts w:hint="eastAsia" w:ascii="宋体" w:hAnsi="宋体" w:eastAsia="宋体" w:cstheme="minorEastAsia"/>
                <w:sz w:val="21"/>
                <w:szCs w:val="21"/>
                <w:lang w:eastAsia="zh-Hans"/>
              </w:rPr>
              <w:t>须提供线上直播功能</w:t>
            </w:r>
            <w:r>
              <w:rPr>
                <w:rFonts w:ascii="宋体" w:hAnsi="宋体" w:eastAsia="宋体" w:cstheme="minorEastAsia"/>
                <w:sz w:val="21"/>
                <w:szCs w:val="21"/>
              </w:rPr>
              <w:t>；</w:t>
            </w:r>
          </w:p>
          <w:p>
            <w:pPr>
              <w:pStyle w:val="116"/>
              <w:spacing w:beforeLines="0" w:afterLines="0" w:line="348" w:lineRule="auto"/>
              <w:jc w:val="both"/>
              <w:rPr>
                <w:rFonts w:ascii="宋体" w:hAnsi="宋体" w:eastAsia="宋体" w:cstheme="minorEastAsia"/>
                <w:sz w:val="21"/>
                <w:szCs w:val="21"/>
              </w:rPr>
            </w:pPr>
            <w:r>
              <w:rPr>
                <w:rFonts w:ascii="宋体" w:hAnsi="宋体" w:eastAsia="宋体" w:cstheme="minorEastAsia"/>
                <w:sz w:val="21"/>
                <w:szCs w:val="21"/>
              </w:rPr>
              <w:t>5、政企线上对话</w:t>
            </w:r>
            <w:r>
              <w:rPr>
                <w:rFonts w:hint="eastAsia" w:ascii="宋体" w:hAnsi="宋体" w:eastAsia="宋体" w:cstheme="minorEastAsia"/>
                <w:sz w:val="21"/>
                <w:szCs w:val="21"/>
              </w:rPr>
              <w:t>：</w:t>
            </w:r>
            <w:r>
              <w:rPr>
                <w:rFonts w:hint="eastAsia" w:ascii="宋体" w:hAnsi="宋体" w:eastAsia="宋体" w:cstheme="minorEastAsia"/>
                <w:sz w:val="21"/>
                <w:szCs w:val="21"/>
                <w:lang w:eastAsia="zh-Hans"/>
              </w:rPr>
              <w:t>为了更好的服务于企业</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须提供企业与政务窗口进行线上沟通</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对话功能</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政务中心可通过线上解决企业的问题</w:t>
            </w:r>
            <w:r>
              <w:rPr>
                <w:rFonts w:ascii="宋体" w:hAnsi="宋体" w:eastAsia="宋体" w:cstheme="minorEastAsia"/>
                <w:sz w:val="21"/>
                <w:szCs w:val="21"/>
              </w:rPr>
              <w:t>；</w:t>
            </w:r>
          </w:p>
          <w:p>
            <w:pPr>
              <w:pStyle w:val="116"/>
              <w:spacing w:beforeLines="0" w:afterLines="0" w:line="348" w:lineRule="auto"/>
              <w:jc w:val="both"/>
              <w:rPr>
                <w:rFonts w:ascii="宋体" w:hAnsi="宋体" w:eastAsia="宋体" w:cstheme="minorEastAsia"/>
                <w:sz w:val="21"/>
                <w:szCs w:val="21"/>
              </w:rPr>
            </w:pPr>
            <w:r>
              <w:rPr>
                <w:rFonts w:ascii="宋体" w:hAnsi="宋体" w:eastAsia="宋体" w:cstheme="minorEastAsia"/>
                <w:sz w:val="21"/>
                <w:szCs w:val="21"/>
              </w:rPr>
              <w:t>6、企业意见、建议收集：对收集的企业意见建议进行分析、统计，</w:t>
            </w:r>
            <w:r>
              <w:rPr>
                <w:rFonts w:hint="eastAsia" w:ascii="宋体" w:hAnsi="宋体" w:eastAsia="宋体" w:cstheme="minorEastAsia"/>
                <w:sz w:val="21"/>
                <w:szCs w:val="21"/>
                <w:lang w:eastAsia="zh-Hans"/>
              </w:rPr>
              <w:t>并</w:t>
            </w:r>
            <w:r>
              <w:rPr>
                <w:rFonts w:ascii="宋体" w:hAnsi="宋体" w:eastAsia="宋体" w:cstheme="minorEastAsia"/>
                <w:sz w:val="21"/>
                <w:szCs w:val="21"/>
              </w:rPr>
              <w:t>实时反馈给政务服务中心，实现线上化解决企业问题。</w:t>
            </w:r>
          </w:p>
          <w:p>
            <w:pPr>
              <w:pStyle w:val="116"/>
              <w:spacing w:beforeLines="0" w:afterLines="0" w:line="348" w:lineRule="auto"/>
              <w:jc w:val="both"/>
              <w:rPr>
                <w:rFonts w:ascii="宋体" w:hAnsi="宋体" w:eastAsia="宋体" w:cstheme="minorEastAsia"/>
                <w:sz w:val="21"/>
                <w:szCs w:val="21"/>
              </w:rPr>
            </w:pPr>
            <w:r>
              <w:rPr>
                <w:rFonts w:ascii="宋体" w:hAnsi="宋体" w:eastAsia="宋体" w:cstheme="minorEastAsia"/>
                <w:sz w:val="21"/>
                <w:szCs w:val="21"/>
              </w:rPr>
              <w:t>7、</w:t>
            </w:r>
            <w:r>
              <w:rPr>
                <w:rFonts w:hint="eastAsia" w:ascii="宋体" w:hAnsi="宋体" w:eastAsia="宋体" w:cstheme="minorEastAsia"/>
                <w:sz w:val="21"/>
                <w:szCs w:val="21"/>
              </w:rPr>
              <w:t>营商</w:t>
            </w:r>
            <w:r>
              <w:rPr>
                <w:rFonts w:hint="eastAsia" w:ascii="宋体" w:hAnsi="宋体" w:eastAsia="宋体" w:cstheme="minorEastAsia"/>
                <w:sz w:val="21"/>
                <w:szCs w:val="21"/>
                <w:lang w:eastAsia="zh-Hans"/>
              </w:rPr>
              <w:t>环</w:t>
            </w:r>
            <w:r>
              <w:rPr>
                <w:rFonts w:hint="eastAsia" w:ascii="宋体" w:hAnsi="宋体" w:eastAsia="宋体" w:cstheme="minorEastAsia"/>
                <w:sz w:val="21"/>
                <w:szCs w:val="21"/>
              </w:rPr>
              <w:t>境投诉举报</w:t>
            </w:r>
            <w:r>
              <w:rPr>
                <w:rFonts w:ascii="宋体" w:hAnsi="宋体" w:eastAsia="宋体" w:cstheme="minorEastAsia"/>
                <w:sz w:val="21"/>
                <w:szCs w:val="21"/>
              </w:rPr>
              <w:t>：</w:t>
            </w:r>
            <w:r>
              <w:rPr>
                <w:rFonts w:hint="eastAsia" w:ascii="宋体" w:hAnsi="宋体" w:eastAsia="宋体" w:cstheme="minorEastAsia"/>
                <w:sz w:val="21"/>
                <w:szCs w:val="21"/>
                <w:lang w:eastAsia="zh-Hans"/>
              </w:rPr>
              <w:t>须提供线上营商环</w:t>
            </w:r>
            <w:r>
              <w:rPr>
                <w:rFonts w:hint="eastAsia" w:ascii="宋体" w:hAnsi="宋体" w:eastAsia="宋体" w:cstheme="minorEastAsia"/>
                <w:sz w:val="21"/>
                <w:szCs w:val="21"/>
              </w:rPr>
              <w:t>境投诉举报</w:t>
            </w:r>
            <w:r>
              <w:rPr>
                <w:rFonts w:hint="eastAsia" w:ascii="宋体" w:hAnsi="宋体" w:eastAsia="宋体" w:cstheme="minorEastAsia"/>
                <w:sz w:val="21"/>
                <w:szCs w:val="21"/>
                <w:lang w:eastAsia="zh-Hans"/>
              </w:rPr>
              <w:t>功能</w:t>
            </w:r>
            <w:r>
              <w:rPr>
                <w:rFonts w:ascii="宋体" w:hAnsi="宋体" w:eastAsia="宋体" w:cstheme="minorEastAsia"/>
                <w:sz w:val="21"/>
                <w:szCs w:val="21"/>
                <w:lang w:eastAsia="zh-Hans"/>
              </w:rPr>
              <w:t>，</w:t>
            </w:r>
            <w:r>
              <w:rPr>
                <w:rFonts w:ascii="宋体" w:hAnsi="宋体" w:eastAsia="宋体" w:cstheme="minorEastAsia"/>
                <w:sz w:val="21"/>
                <w:szCs w:val="21"/>
              </w:rPr>
              <w:t>投诉处理实现全流程线上化。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68" w:type="dxa"/>
            <w:vAlign w:val="center"/>
          </w:tcPr>
          <w:p>
            <w:pPr>
              <w:spacing w:line="360" w:lineRule="auto"/>
              <w:jc w:val="center"/>
              <w:rPr>
                <w:rFonts w:hAnsi="宋体" w:cstheme="minorEastAsia"/>
                <w:szCs w:val="21"/>
              </w:rPr>
            </w:pPr>
            <w:r>
              <w:rPr>
                <w:rFonts w:hAnsi="宋体" w:cstheme="minorEastAsia"/>
                <w:szCs w:val="21"/>
              </w:rPr>
              <w:t>4</w:t>
            </w:r>
          </w:p>
        </w:tc>
        <w:tc>
          <w:tcPr>
            <w:tcW w:w="1532" w:type="dxa"/>
            <w:vAlign w:val="center"/>
          </w:tcPr>
          <w:p>
            <w:pPr>
              <w:spacing w:line="360" w:lineRule="auto"/>
              <w:jc w:val="center"/>
              <w:rPr>
                <w:rFonts w:hAnsi="宋体" w:cstheme="minorEastAsia"/>
                <w:szCs w:val="21"/>
              </w:rPr>
            </w:pPr>
            <w:r>
              <w:rPr>
                <w:rFonts w:hint="eastAsia" w:hAnsi="宋体" w:cstheme="minorEastAsia"/>
                <w:szCs w:val="21"/>
              </w:rPr>
              <w:t>政务大数据展示中心</w:t>
            </w:r>
          </w:p>
        </w:tc>
        <w:tc>
          <w:tcPr>
            <w:tcW w:w="6354" w:type="dxa"/>
            <w:vAlign w:val="center"/>
          </w:tcPr>
          <w:p>
            <w:pPr>
              <w:pStyle w:val="116"/>
              <w:spacing w:before="93" w:beforeLines="30" w:afterLines="0" w:line="348" w:lineRule="auto"/>
              <w:jc w:val="both"/>
              <w:rPr>
                <w:rFonts w:ascii="宋体" w:hAnsi="宋体" w:eastAsia="宋体" w:cstheme="minorEastAsia"/>
                <w:sz w:val="21"/>
                <w:szCs w:val="21"/>
              </w:rPr>
            </w:pPr>
            <w:r>
              <w:rPr>
                <w:rFonts w:ascii="宋体" w:hAnsi="宋体" w:eastAsia="宋体" w:cstheme="minorEastAsia"/>
                <w:sz w:val="21"/>
                <w:szCs w:val="21"/>
              </w:rPr>
              <w:t>1、须提供西山区政务服务中心大数据展示中心；</w:t>
            </w:r>
          </w:p>
          <w:p>
            <w:pPr>
              <w:pStyle w:val="116"/>
              <w:spacing w:beforeLines="0" w:afterLines="0" w:line="348" w:lineRule="auto"/>
              <w:jc w:val="both"/>
              <w:rPr>
                <w:rFonts w:ascii="宋体" w:hAnsi="宋体" w:eastAsia="宋体" w:cstheme="minorEastAsia"/>
                <w:sz w:val="21"/>
                <w:szCs w:val="21"/>
              </w:rPr>
            </w:pPr>
            <w:r>
              <w:rPr>
                <w:rFonts w:ascii="宋体" w:hAnsi="宋体" w:eastAsia="宋体" w:cstheme="minorEastAsia"/>
                <w:sz w:val="21"/>
                <w:szCs w:val="21"/>
              </w:rPr>
              <w:t>2、大数据展示中心展示的内容须符合政务服务中心</w:t>
            </w:r>
            <w:r>
              <w:rPr>
                <w:rFonts w:hint="eastAsia" w:ascii="宋体" w:hAnsi="宋体" w:eastAsia="宋体" w:cstheme="minorEastAsia"/>
                <w:sz w:val="21"/>
                <w:szCs w:val="21"/>
                <w:lang w:eastAsia="zh-Hans"/>
              </w:rPr>
              <w:t>服务企业的工作内容</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服务企业质量</w:t>
            </w:r>
            <w:r>
              <w:rPr>
                <w:rFonts w:ascii="宋体" w:hAnsi="宋体" w:eastAsia="宋体" w:cstheme="minorEastAsia"/>
                <w:sz w:val="21"/>
                <w:szCs w:val="21"/>
              </w:rPr>
              <w:t>、</w:t>
            </w:r>
            <w:r>
              <w:rPr>
                <w:rFonts w:hint="eastAsia" w:ascii="宋体" w:hAnsi="宋体" w:eastAsia="宋体" w:cstheme="minorEastAsia"/>
                <w:sz w:val="21"/>
                <w:szCs w:val="21"/>
                <w:lang w:eastAsia="zh-Hans"/>
              </w:rPr>
              <w:t>水平等方面</w:t>
            </w:r>
            <w:r>
              <w:rPr>
                <w:rFonts w:ascii="宋体" w:hAnsi="宋体" w:eastAsia="宋体" w:cstheme="minorEastAsia"/>
                <w:sz w:val="21"/>
                <w:szCs w:val="21"/>
                <w:lang w:eastAsia="zh-Hans"/>
              </w:rPr>
              <w:t>，</w:t>
            </w:r>
            <w:r>
              <w:rPr>
                <w:rFonts w:hint="eastAsia" w:ascii="宋体" w:hAnsi="宋体" w:eastAsia="宋体" w:cstheme="minorEastAsia"/>
                <w:sz w:val="21"/>
                <w:szCs w:val="21"/>
                <w:lang w:eastAsia="zh-Hans"/>
              </w:rPr>
              <w:t>并直观展示西山区政务服务中心</w:t>
            </w:r>
            <w:r>
              <w:rPr>
                <w:rFonts w:ascii="宋体" w:hAnsi="宋体" w:eastAsia="宋体" w:cstheme="minorEastAsia"/>
                <w:sz w:val="21"/>
                <w:szCs w:val="21"/>
              </w:rPr>
              <w:t>营商环境工作</w:t>
            </w:r>
            <w:r>
              <w:rPr>
                <w:rFonts w:hint="eastAsia" w:ascii="宋体" w:hAnsi="宋体" w:eastAsia="宋体" w:cstheme="minorEastAsia"/>
                <w:sz w:val="21"/>
                <w:szCs w:val="21"/>
                <w:lang w:eastAsia="zh-Hans"/>
              </w:rPr>
              <w:t>开展情况</w:t>
            </w:r>
            <w:r>
              <w:rPr>
                <w:rFonts w:ascii="宋体" w:hAnsi="宋体" w:eastAsia="宋体" w:cstheme="minorEastAsia"/>
                <w:sz w:val="21"/>
                <w:szCs w:val="21"/>
              </w:rPr>
              <w:t>；</w:t>
            </w:r>
          </w:p>
          <w:p>
            <w:pPr>
              <w:pStyle w:val="116"/>
              <w:spacing w:beforeLines="0" w:afterLines="0" w:line="348" w:lineRule="auto"/>
              <w:jc w:val="both"/>
              <w:rPr>
                <w:rFonts w:ascii="宋体" w:hAnsi="宋体" w:eastAsia="宋体" w:cstheme="minorEastAsia"/>
                <w:sz w:val="21"/>
                <w:szCs w:val="21"/>
              </w:rPr>
            </w:pPr>
            <w:r>
              <w:rPr>
                <w:rFonts w:ascii="宋体" w:hAnsi="宋体" w:eastAsia="宋体" w:cstheme="minorEastAsia"/>
                <w:sz w:val="21"/>
                <w:szCs w:val="21"/>
              </w:rPr>
              <w:t>3、大数据展示中心须支持多种方式、多种维度、多端的数据展示效果。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768" w:type="dxa"/>
            <w:vAlign w:val="center"/>
          </w:tcPr>
          <w:p>
            <w:pPr>
              <w:spacing w:line="360" w:lineRule="auto"/>
              <w:jc w:val="center"/>
              <w:rPr>
                <w:rFonts w:hAnsi="宋体" w:cstheme="minorEastAsia"/>
                <w:szCs w:val="21"/>
              </w:rPr>
            </w:pPr>
            <w:r>
              <w:rPr>
                <w:rFonts w:hAnsi="宋体" w:cstheme="minorEastAsia"/>
                <w:szCs w:val="21"/>
              </w:rPr>
              <w:t>5</w:t>
            </w:r>
          </w:p>
        </w:tc>
        <w:tc>
          <w:tcPr>
            <w:tcW w:w="1532" w:type="dxa"/>
            <w:vAlign w:val="center"/>
          </w:tcPr>
          <w:p>
            <w:pPr>
              <w:spacing w:line="360" w:lineRule="auto"/>
              <w:jc w:val="center"/>
              <w:rPr>
                <w:rFonts w:hAnsi="宋体" w:cstheme="minorEastAsia"/>
                <w:szCs w:val="21"/>
              </w:rPr>
            </w:pPr>
            <w:r>
              <w:rPr>
                <w:rFonts w:hint="eastAsia" w:hAnsi="宋体" w:cstheme="minorEastAsia"/>
                <w:szCs w:val="21"/>
              </w:rPr>
              <w:t>营商环境数字地图</w:t>
            </w:r>
          </w:p>
        </w:tc>
        <w:tc>
          <w:tcPr>
            <w:tcW w:w="6354" w:type="dxa"/>
            <w:vAlign w:val="center"/>
          </w:tcPr>
          <w:p>
            <w:pPr>
              <w:pStyle w:val="116"/>
              <w:spacing w:before="93" w:beforeLines="30" w:afterLines="0" w:line="348" w:lineRule="auto"/>
              <w:jc w:val="both"/>
              <w:rPr>
                <w:rFonts w:ascii="宋体" w:hAnsi="宋体" w:eastAsia="宋体" w:cstheme="minorEastAsia"/>
                <w:sz w:val="21"/>
                <w:szCs w:val="21"/>
              </w:rPr>
            </w:pPr>
            <w:r>
              <w:rPr>
                <w:rFonts w:ascii="宋体" w:hAnsi="宋体" w:eastAsia="宋体" w:cstheme="minorEastAsia"/>
                <w:sz w:val="21"/>
                <w:szCs w:val="21"/>
              </w:rPr>
              <w:t>提供西山区营商环境数字地图，直观展示西山区政务服务中心服务企业、营商环境各项工作情况。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68" w:type="dxa"/>
            <w:vAlign w:val="center"/>
          </w:tcPr>
          <w:p>
            <w:pPr>
              <w:spacing w:line="360" w:lineRule="auto"/>
              <w:jc w:val="center"/>
              <w:rPr>
                <w:rFonts w:hAnsi="宋体" w:cstheme="minorEastAsia"/>
                <w:szCs w:val="21"/>
              </w:rPr>
            </w:pPr>
            <w:r>
              <w:rPr>
                <w:rFonts w:hint="eastAsia" w:hAnsi="宋体" w:cstheme="minorEastAsia"/>
                <w:szCs w:val="21"/>
              </w:rPr>
              <w:t>6</w:t>
            </w:r>
          </w:p>
        </w:tc>
        <w:tc>
          <w:tcPr>
            <w:tcW w:w="1532" w:type="dxa"/>
            <w:vAlign w:val="center"/>
          </w:tcPr>
          <w:p>
            <w:pPr>
              <w:spacing w:line="360" w:lineRule="auto"/>
              <w:jc w:val="center"/>
              <w:rPr>
                <w:rFonts w:hAnsi="宋体" w:cstheme="minorEastAsia"/>
                <w:szCs w:val="21"/>
              </w:rPr>
            </w:pPr>
            <w:r>
              <w:rPr>
                <w:rFonts w:hint="eastAsia" w:hAnsi="宋体" w:cstheme="minorEastAsia"/>
                <w:szCs w:val="21"/>
              </w:rPr>
              <w:t>服务器</w:t>
            </w:r>
          </w:p>
        </w:tc>
        <w:tc>
          <w:tcPr>
            <w:tcW w:w="6354" w:type="dxa"/>
            <w:vAlign w:val="center"/>
          </w:tcPr>
          <w:p>
            <w:pPr>
              <w:pStyle w:val="116"/>
              <w:spacing w:beforeLines="0" w:afterLines="0" w:line="276" w:lineRule="auto"/>
              <w:jc w:val="left"/>
              <w:rPr>
                <w:rFonts w:ascii="宋体" w:hAnsi="宋体" w:eastAsia="宋体" w:cstheme="minorEastAsia"/>
                <w:sz w:val="21"/>
                <w:szCs w:val="21"/>
              </w:rPr>
            </w:pPr>
            <w:r>
              <w:rPr>
                <w:rFonts w:ascii="宋体" w:hAnsi="宋体" w:eastAsia="宋体" w:cstheme="minorEastAsia"/>
                <w:sz w:val="21"/>
                <w:szCs w:val="21"/>
              </w:rPr>
              <w:t>本项目须基于政务</w:t>
            </w:r>
            <w:r>
              <w:rPr>
                <w:rFonts w:hint="eastAsia" w:ascii="宋体" w:hAnsi="宋体" w:eastAsia="宋体" w:cstheme="minorEastAsia"/>
                <w:sz w:val="21"/>
                <w:szCs w:val="21"/>
              </w:rPr>
              <w:t>云服务器</w:t>
            </w:r>
            <w:r>
              <w:rPr>
                <w:rFonts w:ascii="宋体" w:hAnsi="宋体" w:eastAsia="宋体" w:cstheme="minorEastAsia"/>
                <w:sz w:val="21"/>
                <w:szCs w:val="21"/>
              </w:rPr>
              <w:t>进行开发、存储</w:t>
            </w:r>
            <w:r>
              <w:rPr>
                <w:rFonts w:hint="eastAsia" w:ascii="宋体" w:hAnsi="宋体" w:eastAsia="宋体" w:cstheme="minorEastAsia"/>
                <w:sz w:val="21"/>
                <w:szCs w:val="21"/>
              </w:rPr>
              <w:t>;</w:t>
            </w:r>
            <w:r>
              <w:rPr>
                <w:rFonts w:ascii="宋体" w:hAnsi="宋体" w:eastAsia="宋体" w:cstheme="minorEastAsia"/>
                <w:sz w:val="21"/>
                <w:szCs w:val="21"/>
              </w:rPr>
              <w:t>服务器由</w:t>
            </w:r>
            <w:r>
              <w:rPr>
                <w:rFonts w:hint="eastAsia" w:ascii="宋体" w:hAnsi="宋体" w:eastAsia="宋体" w:cstheme="minorEastAsia"/>
                <w:sz w:val="21"/>
                <w:szCs w:val="21"/>
              </w:rPr>
              <w:t>采购</w:t>
            </w:r>
            <w:r>
              <w:rPr>
                <w:rFonts w:ascii="宋体" w:hAnsi="宋体" w:eastAsia="宋体" w:cstheme="minorEastAsia"/>
                <w:sz w:val="21"/>
                <w:szCs w:val="21"/>
              </w:rPr>
              <w:t>人提供</w:t>
            </w:r>
            <w:r>
              <w:rPr>
                <w:rFonts w:hint="eastAsia" w:ascii="宋体" w:hAnsi="宋体" w:eastAsia="宋体" w:cstheme="minorEastAsia"/>
                <w:sz w:val="21"/>
                <w:szCs w:val="21"/>
              </w:rPr>
              <w:t>.</w:t>
            </w:r>
          </w:p>
        </w:tc>
      </w:tr>
    </w:tbl>
    <w:p>
      <w:pPr>
        <w:spacing w:line="360" w:lineRule="auto"/>
        <w:ind w:firstLine="422" w:firstLineChars="200"/>
        <w:jc w:val="left"/>
        <w:rPr>
          <w:rFonts w:hAnsi="宋体" w:cs="宋体"/>
          <w:b/>
          <w:bCs/>
          <w:szCs w:val="21"/>
        </w:rPr>
      </w:pPr>
      <w:r>
        <w:rPr>
          <w:rFonts w:hint="eastAsia" w:hAnsi="宋体" w:cs="宋体"/>
          <w:b/>
          <w:bCs/>
          <w:szCs w:val="21"/>
        </w:rPr>
        <w:t>（三）质量要求：</w:t>
      </w:r>
    </w:p>
    <w:p>
      <w:pPr>
        <w:spacing w:line="360" w:lineRule="auto"/>
        <w:ind w:firstLine="420" w:firstLineChars="200"/>
        <w:jc w:val="left"/>
        <w:rPr>
          <w:rFonts w:hAnsi="宋体" w:cs="宋体"/>
          <w:szCs w:val="21"/>
        </w:rPr>
      </w:pPr>
      <w:r>
        <w:rPr>
          <w:rFonts w:hint="eastAsia" w:hAnsi="宋体" w:cs="宋体"/>
          <w:szCs w:val="21"/>
        </w:rPr>
        <w:t>供应商有能力完成采购目标中</w:t>
      </w:r>
      <w:r>
        <w:rPr>
          <w:rFonts w:hint="eastAsia" w:hAnsi="宋体" w:cs="宋体"/>
          <w:szCs w:val="21"/>
          <w:lang w:eastAsia="zh-Hans"/>
        </w:rPr>
        <w:t>政务服务</w:t>
      </w:r>
      <w:r>
        <w:rPr>
          <w:rFonts w:hint="eastAsia" w:hAnsi="宋体" w:cs="宋体"/>
          <w:szCs w:val="21"/>
        </w:rPr>
        <w:t>中心数据平台的各项功能模块，提供能满足上述采购目标必需的技术支持和服务保障，并符合国家、地方现行相关行业标准、规范和采购人（使用方）要求。确保政务服务中心数据所提供的企业工商数据须来源合法，并保证数据的准确性、实时性、更新性。</w:t>
      </w:r>
    </w:p>
    <w:p>
      <w:pPr>
        <w:spacing w:line="360" w:lineRule="auto"/>
        <w:ind w:firstLine="420" w:firstLineChars="200"/>
        <w:jc w:val="left"/>
        <w:rPr>
          <w:rFonts w:hAnsi="宋体" w:cs="宋体"/>
          <w:szCs w:val="21"/>
        </w:rPr>
      </w:pPr>
      <w:r>
        <w:rPr>
          <w:rFonts w:hint="eastAsia" w:hAnsi="宋体" w:cs="宋体"/>
          <w:szCs w:val="21"/>
        </w:rPr>
        <w:t>供应商提供的</w:t>
      </w:r>
      <w:r>
        <w:rPr>
          <w:rFonts w:hint="eastAsia" w:hAnsi="宋体" w:cs="宋体"/>
          <w:szCs w:val="21"/>
          <w:lang w:eastAsia="zh-Hans"/>
        </w:rPr>
        <w:t>政务服务</w:t>
      </w:r>
      <w:r>
        <w:rPr>
          <w:rFonts w:hint="eastAsia" w:hAnsi="宋体" w:cs="宋体"/>
          <w:szCs w:val="21"/>
        </w:rPr>
        <w:t>中心数据平台功能须满足采购人及辖区企业技术参数所述的详细项目功能需求，供应商须确保中心数据平台的安全性，并提供相关的安全性证明文件，证明平台的安全性要求。</w:t>
      </w:r>
    </w:p>
    <w:p>
      <w:pPr>
        <w:spacing w:line="360" w:lineRule="auto"/>
        <w:ind w:firstLine="422" w:firstLineChars="200"/>
        <w:jc w:val="left"/>
        <w:rPr>
          <w:rFonts w:hAnsi="宋体" w:cs="宋体"/>
          <w:b/>
          <w:bCs/>
          <w:szCs w:val="21"/>
        </w:rPr>
      </w:pPr>
      <w:r>
        <w:rPr>
          <w:rFonts w:hint="eastAsia" w:hAnsi="宋体" w:cs="宋体"/>
          <w:b/>
          <w:bCs/>
          <w:szCs w:val="21"/>
        </w:rPr>
        <w:t>（四）运维服务要求：</w:t>
      </w:r>
    </w:p>
    <w:p>
      <w:pPr>
        <w:spacing w:line="360" w:lineRule="auto"/>
        <w:ind w:firstLine="420" w:firstLineChars="200"/>
        <w:jc w:val="left"/>
        <w:rPr>
          <w:rFonts w:hAnsi="宋体" w:cs="宋体"/>
          <w:szCs w:val="21"/>
        </w:rPr>
      </w:pPr>
      <w:r>
        <w:rPr>
          <w:rFonts w:hint="eastAsia" w:hAnsi="宋体" w:cs="宋体"/>
          <w:szCs w:val="21"/>
        </w:rPr>
        <w:t>建设周期为6</w:t>
      </w:r>
      <w:r>
        <w:rPr>
          <w:rFonts w:hAnsi="宋体" w:cs="宋体"/>
          <w:szCs w:val="21"/>
        </w:rPr>
        <w:t>0</w:t>
      </w:r>
      <w:r>
        <w:rPr>
          <w:rFonts w:hint="eastAsia" w:hAnsi="宋体" w:cs="宋体"/>
          <w:szCs w:val="21"/>
        </w:rPr>
        <w:t>日历天。运维服务期为自验收合格之日起壹年，并提供系统平台的技术运维及售后服务相关承诺，并承诺系统平台发生技术故障须2小时候内派人员到现场解决。</w:t>
      </w:r>
    </w:p>
    <w:p/>
    <w:p/>
    <w:p/>
    <w:p/>
    <w:p/>
    <w:p/>
    <w:p/>
    <w:p/>
    <w:p/>
    <w:p>
      <w:pPr>
        <w:pStyle w:val="3"/>
        <w:widowControl/>
        <w:spacing w:before="240" w:after="240"/>
        <w:rPr>
          <w:rFonts w:ascii="Times New Roman" w:hAnsi="Times New Roman" w:eastAsia="黑体"/>
          <w:sz w:val="36"/>
          <w:szCs w:val="36"/>
          <w:lang w:val="zh-CN" w:eastAsia="zh-CN"/>
        </w:rPr>
      </w:pPr>
      <w:bookmarkStart w:id="353" w:name="_Toc72489594"/>
      <w:r>
        <w:rPr>
          <w:rFonts w:ascii="Times New Roman" w:hAnsi="Times New Roman" w:eastAsia="黑体"/>
          <w:sz w:val="36"/>
          <w:szCs w:val="36"/>
          <w:lang w:val="zh-CN" w:eastAsia="zh-CN"/>
        </w:rPr>
        <w:t xml:space="preserve">第六章  </w:t>
      </w:r>
      <w:bookmarkEnd w:id="342"/>
      <w:bookmarkEnd w:id="343"/>
      <w:r>
        <w:rPr>
          <w:rFonts w:ascii="Times New Roman" w:hAnsi="Times New Roman" w:eastAsia="黑体"/>
          <w:sz w:val="36"/>
          <w:szCs w:val="36"/>
          <w:lang w:val="zh-CN" w:eastAsia="zh-CN"/>
        </w:rPr>
        <w:t>评审方法</w:t>
      </w:r>
      <w:bookmarkEnd w:id="353"/>
      <w:bookmarkStart w:id="354" w:name="_Toc196764552"/>
    </w:p>
    <w:bookmarkEnd w:id="354"/>
    <w:p>
      <w:pPr>
        <w:pStyle w:val="4"/>
        <w:spacing w:before="0" w:after="120" w:line="360" w:lineRule="auto"/>
        <w:jc w:val="center"/>
        <w:rPr>
          <w:rFonts w:hint="default" w:ascii="Times New Roman" w:hAnsi="Times New Roman" w:eastAsia="宋体"/>
          <w:b/>
          <w:sz w:val="28"/>
          <w:szCs w:val="28"/>
          <w:lang w:val="en-US" w:eastAsia="zh-CN"/>
        </w:rPr>
      </w:pPr>
      <w:bookmarkStart w:id="355" w:name="_Toc72489595"/>
      <w:bookmarkStart w:id="356" w:name="_Toc482343782"/>
      <w:r>
        <w:rPr>
          <w:rFonts w:ascii="Times New Roman" w:hAnsi="Times New Roman" w:eastAsia="宋体"/>
          <w:b/>
          <w:sz w:val="28"/>
          <w:szCs w:val="28"/>
          <w:lang w:val="en-US" w:eastAsia="zh-CN"/>
        </w:rPr>
        <w:t>评审方法前附表</w:t>
      </w:r>
      <w:bookmarkEnd w:id="355"/>
      <w:bookmarkEnd w:id="356"/>
    </w:p>
    <w:tbl>
      <w:tblPr>
        <w:tblStyle w:val="2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112"/>
        <w:gridCol w:w="2432"/>
        <w:gridCol w:w="5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674" w:type="dxa"/>
            <w:gridSpan w:val="2"/>
            <w:vAlign w:val="center"/>
          </w:tcPr>
          <w:p>
            <w:pPr>
              <w:spacing w:before="100" w:beforeAutospacing="1" w:after="100" w:afterAutospacing="1" w:line="360" w:lineRule="auto"/>
              <w:jc w:val="center"/>
              <w:rPr>
                <w:rFonts w:hAnsi="宋体"/>
                <w:b/>
                <w:szCs w:val="21"/>
              </w:rPr>
            </w:pPr>
            <w:r>
              <w:rPr>
                <w:rFonts w:hint="eastAsia" w:hAnsi="宋体"/>
                <w:b/>
                <w:szCs w:val="21"/>
              </w:rPr>
              <w:t>条款号</w:t>
            </w:r>
          </w:p>
        </w:tc>
        <w:tc>
          <w:tcPr>
            <w:tcW w:w="2432" w:type="dxa"/>
            <w:vAlign w:val="center"/>
          </w:tcPr>
          <w:p>
            <w:pPr>
              <w:spacing w:before="100" w:beforeAutospacing="1" w:after="100" w:afterAutospacing="1" w:line="360" w:lineRule="auto"/>
              <w:jc w:val="center"/>
              <w:rPr>
                <w:rFonts w:hAnsi="宋体"/>
                <w:b/>
                <w:szCs w:val="21"/>
              </w:rPr>
            </w:pPr>
            <w:r>
              <w:rPr>
                <w:rFonts w:hint="eastAsia" w:hAnsi="宋体"/>
                <w:b/>
                <w:szCs w:val="21"/>
              </w:rPr>
              <w:t>评审内容</w:t>
            </w:r>
          </w:p>
        </w:tc>
        <w:tc>
          <w:tcPr>
            <w:tcW w:w="5103" w:type="dxa"/>
            <w:vAlign w:val="center"/>
          </w:tcPr>
          <w:p>
            <w:pPr>
              <w:spacing w:before="100" w:beforeAutospacing="1" w:after="100" w:afterAutospacing="1" w:line="360" w:lineRule="auto"/>
              <w:jc w:val="center"/>
              <w:rPr>
                <w:rFonts w:hAnsi="宋体"/>
                <w:b/>
                <w:szCs w:val="21"/>
              </w:rPr>
            </w:pPr>
            <w:r>
              <w:rPr>
                <w:rFonts w:hint="eastAsia" w:hAnsi="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restart"/>
            <w:vAlign w:val="center"/>
          </w:tcPr>
          <w:p>
            <w:pPr>
              <w:spacing w:before="100" w:beforeAutospacing="1" w:after="100" w:afterAutospacing="1" w:line="360" w:lineRule="auto"/>
              <w:jc w:val="center"/>
              <w:rPr>
                <w:rFonts w:hAnsi="宋体"/>
                <w:szCs w:val="21"/>
              </w:rPr>
            </w:pPr>
            <w:r>
              <w:rPr>
                <w:rFonts w:hint="eastAsia" w:hAnsi="宋体"/>
                <w:szCs w:val="21"/>
              </w:rPr>
              <w:t>2.1</w:t>
            </w:r>
          </w:p>
        </w:tc>
        <w:tc>
          <w:tcPr>
            <w:tcW w:w="1112" w:type="dxa"/>
            <w:vMerge w:val="restart"/>
            <w:vAlign w:val="center"/>
          </w:tcPr>
          <w:p>
            <w:pPr>
              <w:spacing w:before="100" w:beforeAutospacing="1" w:after="100" w:afterAutospacing="1" w:line="276" w:lineRule="auto"/>
              <w:jc w:val="center"/>
              <w:rPr>
                <w:rFonts w:hAnsi="宋体"/>
                <w:szCs w:val="21"/>
              </w:rPr>
            </w:pPr>
            <w:r>
              <w:rPr>
                <w:rFonts w:hint="eastAsia" w:hAnsi="宋体"/>
                <w:szCs w:val="21"/>
              </w:rPr>
              <w:t>实质性评审标准</w:t>
            </w:r>
          </w:p>
        </w:tc>
        <w:tc>
          <w:tcPr>
            <w:tcW w:w="2432" w:type="dxa"/>
            <w:vAlign w:val="center"/>
          </w:tcPr>
          <w:p>
            <w:pPr>
              <w:spacing w:before="100" w:beforeAutospacing="1" w:after="100" w:afterAutospacing="1" w:line="360" w:lineRule="auto"/>
              <w:jc w:val="center"/>
              <w:rPr>
                <w:rFonts w:hAnsi="宋体"/>
                <w:szCs w:val="21"/>
              </w:rPr>
            </w:pPr>
            <w:r>
              <w:rPr>
                <w:rFonts w:hint="eastAsia" w:hAnsi="宋体"/>
                <w:szCs w:val="21"/>
              </w:rPr>
              <w:t>资格条件</w:t>
            </w:r>
          </w:p>
        </w:tc>
        <w:tc>
          <w:tcPr>
            <w:tcW w:w="5103" w:type="dxa"/>
            <w:vAlign w:val="center"/>
          </w:tcPr>
          <w:p>
            <w:pPr>
              <w:spacing w:before="100" w:beforeAutospacing="1" w:after="100" w:afterAutospacing="1" w:line="360" w:lineRule="auto"/>
              <w:jc w:val="center"/>
              <w:rPr>
                <w:rFonts w:hAnsi="宋体"/>
                <w:szCs w:val="21"/>
              </w:rPr>
            </w:pPr>
            <w:r>
              <w:rPr>
                <w:rFonts w:hint="eastAsia" w:hAnsi="宋体"/>
                <w:szCs w:val="21"/>
              </w:rPr>
              <w:t>符合第二章“供应商须知”第</w:t>
            </w:r>
            <w:r>
              <w:rPr>
                <w:rFonts w:hAnsi="宋体"/>
                <w:szCs w:val="21"/>
              </w:rPr>
              <w:t>4</w:t>
            </w:r>
            <w:r>
              <w:rPr>
                <w:rFonts w:hint="eastAsia" w:hAnsi="宋体"/>
                <w:szCs w:val="21"/>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before="100" w:beforeAutospacing="1" w:after="100" w:afterAutospacing="1" w:line="360" w:lineRule="auto"/>
              <w:jc w:val="center"/>
              <w:rPr>
                <w:rFonts w:hAnsi="宋体"/>
                <w:szCs w:val="21"/>
              </w:rPr>
            </w:pPr>
          </w:p>
        </w:tc>
        <w:tc>
          <w:tcPr>
            <w:tcW w:w="1112" w:type="dxa"/>
            <w:vMerge w:val="continue"/>
            <w:vAlign w:val="center"/>
          </w:tcPr>
          <w:p>
            <w:pPr>
              <w:spacing w:before="100" w:beforeAutospacing="1" w:after="100" w:afterAutospacing="1" w:line="276" w:lineRule="auto"/>
              <w:jc w:val="center"/>
              <w:rPr>
                <w:rFonts w:hAnsi="宋体"/>
                <w:szCs w:val="21"/>
              </w:rPr>
            </w:pPr>
          </w:p>
        </w:tc>
        <w:tc>
          <w:tcPr>
            <w:tcW w:w="2432" w:type="dxa"/>
            <w:vAlign w:val="center"/>
          </w:tcPr>
          <w:p>
            <w:pPr>
              <w:spacing w:line="360" w:lineRule="auto"/>
              <w:jc w:val="center"/>
              <w:rPr>
                <w:rFonts w:hAnsi="宋体"/>
                <w:szCs w:val="21"/>
              </w:rPr>
            </w:pPr>
            <w:r>
              <w:rPr>
                <w:rFonts w:hint="eastAsia" w:hAnsi="宋体"/>
                <w:szCs w:val="21"/>
              </w:rPr>
              <w:t>响应文件有效期</w:t>
            </w:r>
          </w:p>
        </w:tc>
        <w:tc>
          <w:tcPr>
            <w:tcW w:w="5103" w:type="dxa"/>
            <w:vAlign w:val="center"/>
          </w:tcPr>
          <w:p>
            <w:pPr>
              <w:spacing w:line="360" w:lineRule="auto"/>
              <w:jc w:val="center"/>
              <w:rPr>
                <w:rFonts w:hAnsi="宋体"/>
                <w:szCs w:val="21"/>
              </w:rPr>
            </w:pPr>
            <w:r>
              <w:rPr>
                <w:rFonts w:hint="eastAsia" w:hAnsi="宋体"/>
                <w:szCs w:val="21"/>
              </w:rPr>
              <w:t>符合第二章“供应商须知”第17.1项规定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before="100" w:beforeAutospacing="1" w:after="100" w:afterAutospacing="1" w:line="360" w:lineRule="auto"/>
              <w:jc w:val="center"/>
              <w:rPr>
                <w:rFonts w:hAnsi="宋体"/>
                <w:szCs w:val="21"/>
              </w:rPr>
            </w:pPr>
          </w:p>
        </w:tc>
        <w:tc>
          <w:tcPr>
            <w:tcW w:w="1112" w:type="dxa"/>
            <w:vMerge w:val="continue"/>
            <w:vAlign w:val="center"/>
          </w:tcPr>
          <w:p>
            <w:pPr>
              <w:spacing w:before="100" w:beforeAutospacing="1" w:after="100" w:afterAutospacing="1" w:line="276" w:lineRule="auto"/>
              <w:jc w:val="center"/>
              <w:rPr>
                <w:rFonts w:hAnsi="宋体"/>
                <w:szCs w:val="21"/>
              </w:rPr>
            </w:pPr>
          </w:p>
        </w:tc>
        <w:tc>
          <w:tcPr>
            <w:tcW w:w="2432" w:type="dxa"/>
            <w:vAlign w:val="center"/>
          </w:tcPr>
          <w:p>
            <w:pPr>
              <w:spacing w:line="360" w:lineRule="auto"/>
              <w:jc w:val="center"/>
              <w:rPr>
                <w:rFonts w:hAnsi="宋体"/>
                <w:szCs w:val="21"/>
              </w:rPr>
            </w:pPr>
            <w:r>
              <w:rPr>
                <w:rFonts w:hint="eastAsia" w:hAnsi="宋体"/>
                <w:szCs w:val="21"/>
              </w:rPr>
              <w:t>响应文件的签章</w:t>
            </w:r>
          </w:p>
        </w:tc>
        <w:tc>
          <w:tcPr>
            <w:tcW w:w="5103" w:type="dxa"/>
            <w:vAlign w:val="center"/>
          </w:tcPr>
          <w:p>
            <w:pPr>
              <w:spacing w:line="360" w:lineRule="auto"/>
              <w:jc w:val="center"/>
              <w:rPr>
                <w:rFonts w:hAnsi="宋体"/>
                <w:szCs w:val="21"/>
              </w:rPr>
            </w:pPr>
            <w:r>
              <w:rPr>
                <w:rFonts w:hint="eastAsia" w:hAnsi="宋体"/>
                <w:szCs w:val="21"/>
              </w:rPr>
              <w:t>符合第二章“供应商须知前附表”第</w:t>
            </w:r>
            <w:r>
              <w:rPr>
                <w:rFonts w:hAnsi="宋体"/>
                <w:szCs w:val="21"/>
              </w:rPr>
              <w:t>19.3</w:t>
            </w:r>
            <w:r>
              <w:rPr>
                <w:rFonts w:hint="eastAsia" w:hAnsi="宋体"/>
                <w:szCs w:val="21"/>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before="100" w:beforeAutospacing="1" w:after="100" w:afterAutospacing="1" w:line="360" w:lineRule="auto"/>
              <w:jc w:val="center"/>
              <w:rPr>
                <w:rFonts w:hAnsi="宋体"/>
                <w:szCs w:val="21"/>
              </w:rPr>
            </w:pPr>
          </w:p>
        </w:tc>
        <w:tc>
          <w:tcPr>
            <w:tcW w:w="1112" w:type="dxa"/>
            <w:vMerge w:val="continue"/>
            <w:vAlign w:val="center"/>
          </w:tcPr>
          <w:p>
            <w:pPr>
              <w:spacing w:before="100" w:beforeAutospacing="1" w:after="100" w:afterAutospacing="1" w:line="276" w:lineRule="auto"/>
              <w:jc w:val="center"/>
              <w:rPr>
                <w:rFonts w:hAnsi="宋体"/>
                <w:szCs w:val="21"/>
              </w:rPr>
            </w:pPr>
          </w:p>
        </w:tc>
        <w:tc>
          <w:tcPr>
            <w:tcW w:w="2432" w:type="dxa"/>
            <w:vAlign w:val="center"/>
          </w:tcPr>
          <w:p>
            <w:pPr>
              <w:spacing w:line="360" w:lineRule="auto"/>
              <w:jc w:val="center"/>
              <w:rPr>
                <w:rFonts w:hAnsi="宋体"/>
                <w:szCs w:val="21"/>
              </w:rPr>
            </w:pPr>
            <w:r>
              <w:rPr>
                <w:rFonts w:hint="eastAsia" w:hAnsi="宋体"/>
                <w:szCs w:val="21"/>
              </w:rPr>
              <w:t>响应文件的格式</w:t>
            </w:r>
          </w:p>
        </w:tc>
        <w:tc>
          <w:tcPr>
            <w:tcW w:w="5103" w:type="dxa"/>
            <w:vAlign w:val="center"/>
          </w:tcPr>
          <w:p>
            <w:pPr>
              <w:spacing w:line="360" w:lineRule="auto"/>
              <w:jc w:val="center"/>
              <w:rPr>
                <w:rFonts w:hAnsi="宋体"/>
                <w:szCs w:val="21"/>
              </w:rPr>
            </w:pPr>
            <w:r>
              <w:rPr>
                <w:rFonts w:hint="eastAsia" w:hAnsi="宋体"/>
                <w:szCs w:val="21"/>
              </w:rPr>
              <w:t>符合第四章“响应文件格式”的要求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before="100" w:beforeAutospacing="1" w:after="100" w:afterAutospacing="1" w:line="360" w:lineRule="auto"/>
              <w:jc w:val="center"/>
              <w:rPr>
                <w:rFonts w:hAnsi="宋体"/>
                <w:szCs w:val="21"/>
              </w:rPr>
            </w:pPr>
          </w:p>
        </w:tc>
        <w:tc>
          <w:tcPr>
            <w:tcW w:w="1112" w:type="dxa"/>
            <w:vMerge w:val="continue"/>
            <w:vAlign w:val="center"/>
          </w:tcPr>
          <w:p>
            <w:pPr>
              <w:spacing w:before="100" w:beforeAutospacing="1" w:after="100" w:afterAutospacing="1" w:line="276" w:lineRule="auto"/>
              <w:jc w:val="center"/>
              <w:rPr>
                <w:rFonts w:hAnsi="宋体"/>
                <w:szCs w:val="21"/>
              </w:rPr>
            </w:pPr>
          </w:p>
        </w:tc>
        <w:tc>
          <w:tcPr>
            <w:tcW w:w="2432" w:type="dxa"/>
            <w:vAlign w:val="center"/>
          </w:tcPr>
          <w:p>
            <w:pPr>
              <w:spacing w:before="100" w:beforeAutospacing="1" w:after="100" w:afterAutospacing="1" w:line="360" w:lineRule="auto"/>
              <w:jc w:val="center"/>
              <w:rPr>
                <w:rFonts w:hAnsi="宋体"/>
                <w:szCs w:val="21"/>
              </w:rPr>
            </w:pPr>
            <w:r>
              <w:rPr>
                <w:rFonts w:hint="eastAsia" w:hAnsi="宋体"/>
                <w:szCs w:val="21"/>
              </w:rPr>
              <w:t>磋商保证金</w:t>
            </w:r>
          </w:p>
        </w:tc>
        <w:tc>
          <w:tcPr>
            <w:tcW w:w="5103" w:type="dxa"/>
            <w:vAlign w:val="center"/>
          </w:tcPr>
          <w:p>
            <w:pPr>
              <w:spacing w:before="100" w:beforeAutospacing="1" w:after="100" w:afterAutospacing="1" w:line="360" w:lineRule="auto"/>
              <w:jc w:val="center"/>
              <w:rPr>
                <w:rFonts w:hAnsi="宋体"/>
                <w:szCs w:val="21"/>
              </w:rPr>
            </w:pPr>
            <w:r>
              <w:rPr>
                <w:rFonts w:hint="eastAsia" w:hAnsi="宋体"/>
                <w:szCs w:val="21"/>
              </w:rPr>
              <w:t>符合第二章“供应商须知”第</w:t>
            </w:r>
            <w:r>
              <w:rPr>
                <w:rFonts w:hAnsi="宋体"/>
                <w:szCs w:val="21"/>
              </w:rPr>
              <w:t>1</w:t>
            </w:r>
            <w:r>
              <w:rPr>
                <w:rFonts w:hint="eastAsia" w:hAnsi="宋体"/>
                <w:szCs w:val="21"/>
              </w:rPr>
              <w:t>8.1项规定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before="100" w:beforeAutospacing="1" w:after="100" w:afterAutospacing="1" w:line="360" w:lineRule="auto"/>
              <w:jc w:val="center"/>
              <w:rPr>
                <w:rFonts w:hAnsi="宋体"/>
                <w:szCs w:val="21"/>
              </w:rPr>
            </w:pPr>
          </w:p>
        </w:tc>
        <w:tc>
          <w:tcPr>
            <w:tcW w:w="1112" w:type="dxa"/>
            <w:vMerge w:val="continue"/>
            <w:vAlign w:val="center"/>
          </w:tcPr>
          <w:p>
            <w:pPr>
              <w:spacing w:before="100" w:beforeAutospacing="1" w:after="100" w:afterAutospacing="1" w:line="276" w:lineRule="auto"/>
              <w:jc w:val="center"/>
              <w:rPr>
                <w:rFonts w:hAnsi="宋体"/>
                <w:szCs w:val="21"/>
              </w:rPr>
            </w:pPr>
          </w:p>
        </w:tc>
        <w:tc>
          <w:tcPr>
            <w:tcW w:w="2432" w:type="dxa"/>
            <w:vAlign w:val="center"/>
          </w:tcPr>
          <w:p>
            <w:pPr>
              <w:spacing w:line="360" w:lineRule="auto"/>
              <w:jc w:val="center"/>
              <w:rPr>
                <w:rFonts w:hAnsi="宋体"/>
                <w:szCs w:val="21"/>
              </w:rPr>
            </w:pPr>
            <w:r>
              <w:rPr>
                <w:rFonts w:hint="eastAsia" w:hAnsi="宋体"/>
                <w:szCs w:val="21"/>
              </w:rPr>
              <w:t>证件核验</w:t>
            </w:r>
          </w:p>
        </w:tc>
        <w:tc>
          <w:tcPr>
            <w:tcW w:w="5103" w:type="dxa"/>
            <w:vAlign w:val="center"/>
          </w:tcPr>
          <w:p>
            <w:pPr>
              <w:spacing w:before="100" w:beforeAutospacing="1" w:after="100" w:afterAutospacing="1" w:line="360" w:lineRule="auto"/>
              <w:jc w:val="center"/>
              <w:rPr>
                <w:rFonts w:hAnsi="宋体"/>
                <w:szCs w:val="21"/>
              </w:rPr>
            </w:pPr>
            <w:r>
              <w:rPr>
                <w:rFonts w:hint="eastAsia" w:hAnsi="宋体"/>
                <w:szCs w:val="21"/>
              </w:rPr>
              <w:t>符合第二章“供应商须知”第31.5项规定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before="100" w:beforeAutospacing="1" w:after="100" w:afterAutospacing="1" w:line="360" w:lineRule="auto"/>
              <w:rPr>
                <w:rFonts w:hAnsi="宋体"/>
                <w:szCs w:val="21"/>
              </w:rPr>
            </w:pPr>
          </w:p>
        </w:tc>
        <w:tc>
          <w:tcPr>
            <w:tcW w:w="1112" w:type="dxa"/>
            <w:vMerge w:val="continue"/>
            <w:vAlign w:val="center"/>
          </w:tcPr>
          <w:p>
            <w:pPr>
              <w:spacing w:before="100" w:beforeAutospacing="1" w:after="100" w:afterAutospacing="1" w:line="276" w:lineRule="auto"/>
              <w:jc w:val="center"/>
              <w:rPr>
                <w:rFonts w:hAnsi="宋体"/>
                <w:szCs w:val="21"/>
              </w:rPr>
            </w:pPr>
          </w:p>
        </w:tc>
        <w:tc>
          <w:tcPr>
            <w:tcW w:w="2432" w:type="dxa"/>
            <w:vAlign w:val="center"/>
          </w:tcPr>
          <w:p>
            <w:pPr>
              <w:spacing w:line="276" w:lineRule="auto"/>
              <w:jc w:val="center"/>
              <w:rPr>
                <w:rFonts w:hAnsi="宋体"/>
                <w:szCs w:val="21"/>
              </w:rPr>
            </w:pPr>
            <w:r>
              <w:rPr>
                <w:rFonts w:hAnsi="宋体"/>
                <w:szCs w:val="21"/>
              </w:rPr>
              <w:t>法定代表人身份证明书</w:t>
            </w:r>
          </w:p>
        </w:tc>
        <w:tc>
          <w:tcPr>
            <w:tcW w:w="5103" w:type="dxa"/>
            <w:vAlign w:val="center"/>
          </w:tcPr>
          <w:p>
            <w:pPr>
              <w:spacing w:line="360" w:lineRule="auto"/>
              <w:jc w:val="center"/>
              <w:rPr>
                <w:rFonts w:hAnsi="宋体"/>
                <w:szCs w:val="21"/>
              </w:rPr>
            </w:pPr>
            <w:r>
              <w:rPr>
                <w:rFonts w:hint="eastAsia" w:hAnsi="宋体"/>
                <w:szCs w:val="21"/>
              </w:rPr>
              <w:t>按竞争性磋商文件规定格式填写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before="100" w:beforeAutospacing="1" w:after="100" w:afterAutospacing="1" w:line="360" w:lineRule="auto"/>
              <w:rPr>
                <w:rFonts w:hAnsi="宋体"/>
                <w:szCs w:val="21"/>
              </w:rPr>
            </w:pPr>
          </w:p>
        </w:tc>
        <w:tc>
          <w:tcPr>
            <w:tcW w:w="1112" w:type="dxa"/>
            <w:vMerge w:val="continue"/>
            <w:vAlign w:val="center"/>
          </w:tcPr>
          <w:p>
            <w:pPr>
              <w:spacing w:before="100" w:beforeAutospacing="1" w:after="100" w:afterAutospacing="1" w:line="276" w:lineRule="auto"/>
              <w:jc w:val="center"/>
              <w:rPr>
                <w:rFonts w:hAnsi="宋体"/>
                <w:szCs w:val="21"/>
              </w:rPr>
            </w:pPr>
          </w:p>
        </w:tc>
        <w:tc>
          <w:tcPr>
            <w:tcW w:w="2432" w:type="dxa"/>
            <w:vAlign w:val="center"/>
          </w:tcPr>
          <w:p>
            <w:pPr>
              <w:spacing w:line="276" w:lineRule="auto"/>
              <w:jc w:val="center"/>
              <w:rPr>
                <w:rFonts w:hAnsi="宋体"/>
                <w:szCs w:val="21"/>
              </w:rPr>
            </w:pPr>
            <w:r>
              <w:rPr>
                <w:rFonts w:hAnsi="宋体"/>
                <w:szCs w:val="21"/>
              </w:rPr>
              <w:t>法定代表人授权委托书</w:t>
            </w:r>
          </w:p>
        </w:tc>
        <w:tc>
          <w:tcPr>
            <w:tcW w:w="5103" w:type="dxa"/>
            <w:vAlign w:val="center"/>
          </w:tcPr>
          <w:p>
            <w:pPr>
              <w:spacing w:line="360" w:lineRule="auto"/>
              <w:jc w:val="center"/>
              <w:rPr>
                <w:rFonts w:hAnsi="宋体"/>
                <w:szCs w:val="21"/>
              </w:rPr>
            </w:pPr>
            <w:r>
              <w:rPr>
                <w:rFonts w:hint="eastAsia" w:hAnsi="宋体"/>
                <w:szCs w:val="21"/>
              </w:rPr>
              <w:t>按竞争性磋商文件规定格式填写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before="100" w:beforeAutospacing="1" w:after="100" w:afterAutospacing="1" w:line="360" w:lineRule="auto"/>
              <w:rPr>
                <w:rFonts w:hAnsi="宋体"/>
                <w:szCs w:val="21"/>
              </w:rPr>
            </w:pPr>
          </w:p>
        </w:tc>
        <w:tc>
          <w:tcPr>
            <w:tcW w:w="1112" w:type="dxa"/>
            <w:vMerge w:val="continue"/>
            <w:vAlign w:val="center"/>
          </w:tcPr>
          <w:p>
            <w:pPr>
              <w:spacing w:before="100" w:beforeAutospacing="1" w:after="100" w:afterAutospacing="1" w:line="276" w:lineRule="auto"/>
              <w:jc w:val="center"/>
              <w:rPr>
                <w:rFonts w:hAnsi="宋体"/>
                <w:szCs w:val="21"/>
              </w:rPr>
            </w:pPr>
          </w:p>
        </w:tc>
        <w:tc>
          <w:tcPr>
            <w:tcW w:w="2432" w:type="dxa"/>
            <w:vAlign w:val="center"/>
          </w:tcPr>
          <w:p>
            <w:pPr>
              <w:spacing w:line="276" w:lineRule="auto"/>
              <w:jc w:val="center"/>
              <w:rPr>
                <w:rFonts w:hAnsi="宋体"/>
                <w:szCs w:val="21"/>
              </w:rPr>
            </w:pPr>
            <w:r>
              <w:rPr>
                <w:rFonts w:hint="eastAsia" w:hAnsi="宋体"/>
                <w:szCs w:val="21"/>
              </w:rPr>
              <w:t>供应商具备参加政府采购活动条件承诺书</w:t>
            </w:r>
          </w:p>
        </w:tc>
        <w:tc>
          <w:tcPr>
            <w:tcW w:w="5103" w:type="dxa"/>
            <w:vAlign w:val="center"/>
          </w:tcPr>
          <w:p>
            <w:pPr>
              <w:spacing w:line="360" w:lineRule="auto"/>
              <w:jc w:val="center"/>
              <w:rPr>
                <w:rFonts w:hAnsi="宋体"/>
                <w:szCs w:val="21"/>
              </w:rPr>
            </w:pPr>
            <w:r>
              <w:rPr>
                <w:rFonts w:hint="eastAsia" w:hAnsi="宋体"/>
                <w:szCs w:val="21"/>
              </w:rPr>
              <w:t>符合《政府采购法》第二十二条规定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before="100" w:beforeAutospacing="1" w:after="100" w:afterAutospacing="1" w:line="360" w:lineRule="auto"/>
              <w:rPr>
                <w:rFonts w:hAnsi="宋体"/>
                <w:szCs w:val="21"/>
              </w:rPr>
            </w:pPr>
          </w:p>
        </w:tc>
        <w:tc>
          <w:tcPr>
            <w:tcW w:w="1112" w:type="dxa"/>
            <w:vMerge w:val="continue"/>
            <w:vAlign w:val="center"/>
          </w:tcPr>
          <w:p>
            <w:pPr>
              <w:spacing w:before="100" w:beforeAutospacing="1" w:after="100" w:afterAutospacing="1" w:line="276" w:lineRule="auto"/>
              <w:jc w:val="center"/>
              <w:rPr>
                <w:rFonts w:hAnsi="宋体"/>
                <w:szCs w:val="21"/>
              </w:rPr>
            </w:pPr>
          </w:p>
        </w:tc>
        <w:tc>
          <w:tcPr>
            <w:tcW w:w="2432" w:type="dxa"/>
            <w:vAlign w:val="center"/>
          </w:tcPr>
          <w:p>
            <w:pPr>
              <w:spacing w:before="100" w:beforeAutospacing="1" w:after="100" w:afterAutospacing="1" w:line="360" w:lineRule="auto"/>
              <w:jc w:val="center"/>
              <w:rPr>
                <w:rFonts w:hAnsi="宋体"/>
                <w:szCs w:val="21"/>
              </w:rPr>
            </w:pPr>
            <w:r>
              <w:rPr>
                <w:rFonts w:hint="eastAsia" w:hAnsi="宋体"/>
                <w:szCs w:val="21"/>
              </w:rPr>
              <w:t>最后报价</w:t>
            </w:r>
          </w:p>
        </w:tc>
        <w:tc>
          <w:tcPr>
            <w:tcW w:w="5103" w:type="dxa"/>
            <w:vAlign w:val="center"/>
          </w:tcPr>
          <w:p>
            <w:pPr>
              <w:spacing w:before="100" w:beforeAutospacing="1" w:after="100" w:afterAutospacing="1" w:line="360" w:lineRule="auto"/>
              <w:jc w:val="center"/>
              <w:rPr>
                <w:rFonts w:hAnsi="宋体"/>
                <w:szCs w:val="21"/>
              </w:rPr>
            </w:pPr>
            <w:r>
              <w:rPr>
                <w:rFonts w:hint="eastAsia" w:hAnsi="宋体"/>
                <w:szCs w:val="21"/>
              </w:rPr>
              <w:t>最后报价未超过预算金额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before="100" w:beforeAutospacing="1" w:after="100" w:afterAutospacing="1" w:line="360" w:lineRule="auto"/>
              <w:rPr>
                <w:rFonts w:hAnsi="宋体"/>
                <w:szCs w:val="21"/>
              </w:rPr>
            </w:pPr>
          </w:p>
        </w:tc>
        <w:tc>
          <w:tcPr>
            <w:tcW w:w="1112" w:type="dxa"/>
            <w:vMerge w:val="continue"/>
            <w:vAlign w:val="center"/>
          </w:tcPr>
          <w:p>
            <w:pPr>
              <w:spacing w:before="100" w:beforeAutospacing="1" w:after="100" w:afterAutospacing="1" w:line="276" w:lineRule="auto"/>
              <w:jc w:val="center"/>
              <w:rPr>
                <w:rFonts w:hAnsi="宋体"/>
                <w:szCs w:val="21"/>
              </w:rPr>
            </w:pPr>
          </w:p>
        </w:tc>
        <w:tc>
          <w:tcPr>
            <w:tcW w:w="2432" w:type="dxa"/>
            <w:vAlign w:val="center"/>
          </w:tcPr>
          <w:p>
            <w:pPr>
              <w:spacing w:before="100" w:beforeAutospacing="1" w:after="100" w:afterAutospacing="1" w:line="360" w:lineRule="auto"/>
              <w:jc w:val="center"/>
              <w:rPr>
                <w:rFonts w:hAnsi="宋体"/>
                <w:szCs w:val="21"/>
              </w:rPr>
            </w:pPr>
            <w:r>
              <w:rPr>
                <w:rFonts w:hint="eastAsia" w:hAnsi="宋体"/>
                <w:szCs w:val="21"/>
              </w:rPr>
              <w:t>其它实质性条件</w:t>
            </w:r>
          </w:p>
        </w:tc>
        <w:tc>
          <w:tcPr>
            <w:tcW w:w="5103" w:type="dxa"/>
            <w:vAlign w:val="center"/>
          </w:tcPr>
          <w:p>
            <w:pPr>
              <w:spacing w:line="360" w:lineRule="auto"/>
              <w:jc w:val="center"/>
              <w:rPr>
                <w:rFonts w:hAnsi="宋体"/>
                <w:szCs w:val="21"/>
              </w:rPr>
            </w:pPr>
            <w:r>
              <w:rPr>
                <w:rFonts w:hint="eastAsia" w:hAnsi="宋体"/>
                <w:szCs w:val="21"/>
              </w:rPr>
              <w:t>实质性响应磋商文件中标注★条款内容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jc w:val="center"/>
        </w:trPr>
        <w:tc>
          <w:tcPr>
            <w:tcW w:w="562" w:type="dxa"/>
            <w:vMerge w:val="restart"/>
            <w:vAlign w:val="center"/>
          </w:tcPr>
          <w:p>
            <w:pPr>
              <w:spacing w:line="360" w:lineRule="auto"/>
              <w:jc w:val="center"/>
              <w:rPr>
                <w:rFonts w:hAnsi="宋体"/>
                <w:szCs w:val="21"/>
              </w:rPr>
            </w:pPr>
            <w:r>
              <w:rPr>
                <w:rFonts w:hint="eastAsia" w:hAnsi="宋体"/>
                <w:szCs w:val="21"/>
              </w:rPr>
              <w:t>2.2</w:t>
            </w:r>
          </w:p>
        </w:tc>
        <w:tc>
          <w:tcPr>
            <w:tcW w:w="1112" w:type="dxa"/>
            <w:vMerge w:val="restart"/>
            <w:vAlign w:val="center"/>
          </w:tcPr>
          <w:p>
            <w:pPr>
              <w:spacing w:line="276" w:lineRule="auto"/>
              <w:jc w:val="center"/>
              <w:rPr>
                <w:rFonts w:hAnsi="宋体"/>
                <w:szCs w:val="21"/>
              </w:rPr>
            </w:pPr>
            <w:r>
              <w:rPr>
                <w:rFonts w:hint="eastAsia" w:hAnsi="宋体"/>
                <w:szCs w:val="21"/>
              </w:rPr>
              <w:t>详细评审标准</w:t>
            </w:r>
          </w:p>
        </w:tc>
        <w:tc>
          <w:tcPr>
            <w:tcW w:w="2432" w:type="dxa"/>
            <w:vAlign w:val="center"/>
          </w:tcPr>
          <w:p>
            <w:pPr>
              <w:snapToGrid w:val="0"/>
              <w:spacing w:line="360" w:lineRule="auto"/>
              <w:jc w:val="center"/>
              <w:rPr>
                <w:rFonts w:hAnsi="宋体" w:cs="宋体"/>
                <w:szCs w:val="21"/>
              </w:rPr>
            </w:pPr>
            <w:r>
              <w:rPr>
                <w:rFonts w:hint="eastAsia" w:hAnsi="宋体"/>
                <w:szCs w:val="21"/>
              </w:rPr>
              <w:t>评审得分计算公式</w:t>
            </w:r>
          </w:p>
        </w:tc>
        <w:tc>
          <w:tcPr>
            <w:tcW w:w="5103" w:type="dxa"/>
            <w:vAlign w:val="center"/>
          </w:tcPr>
          <w:p>
            <w:pPr>
              <w:snapToGrid w:val="0"/>
              <w:spacing w:before="93" w:beforeLines="30" w:line="360" w:lineRule="auto"/>
              <w:rPr>
                <w:rFonts w:hAnsi="宋体"/>
                <w:szCs w:val="21"/>
              </w:rPr>
            </w:pPr>
            <w:r>
              <w:rPr>
                <w:rFonts w:hint="eastAsia" w:hAnsi="宋体"/>
                <w:szCs w:val="21"/>
              </w:rPr>
              <w:t>供应商</w:t>
            </w:r>
            <w:r>
              <w:rPr>
                <w:rFonts w:hAnsi="宋体"/>
                <w:szCs w:val="21"/>
              </w:rPr>
              <w:t>的</w:t>
            </w:r>
            <w:r>
              <w:rPr>
                <w:rFonts w:hint="eastAsia" w:hAnsi="宋体"/>
                <w:szCs w:val="21"/>
              </w:rPr>
              <w:t>评审得分满分100分，</w:t>
            </w:r>
          </w:p>
          <w:p>
            <w:pPr>
              <w:spacing w:line="360" w:lineRule="auto"/>
              <w:rPr>
                <w:rFonts w:hAnsi="宋体"/>
                <w:szCs w:val="21"/>
              </w:rPr>
            </w:pPr>
            <w:r>
              <w:rPr>
                <w:rFonts w:hint="eastAsia" w:hAnsi="宋体"/>
                <w:szCs w:val="21"/>
              </w:rPr>
              <w:t>供应商</w:t>
            </w:r>
            <w:r>
              <w:rPr>
                <w:rFonts w:hAnsi="宋体"/>
                <w:szCs w:val="21"/>
              </w:rPr>
              <w:t>的</w:t>
            </w:r>
            <w:r>
              <w:rPr>
                <w:rFonts w:hint="eastAsia" w:hAnsi="宋体"/>
                <w:szCs w:val="21"/>
              </w:rPr>
              <w:t>评审得分</w:t>
            </w:r>
            <w:r>
              <w:rPr>
                <w:rFonts w:hAnsi="宋体"/>
                <w:szCs w:val="21"/>
              </w:rPr>
              <w:t>＝</w:t>
            </w:r>
            <w:r>
              <w:rPr>
                <w:rFonts w:hint="eastAsia" w:hAnsi="宋体"/>
                <w:kern w:val="2"/>
                <w:szCs w:val="21"/>
              </w:rPr>
              <w:t>F1＋F2＋F3</w:t>
            </w:r>
          </w:p>
          <w:p>
            <w:pPr>
              <w:spacing w:line="360" w:lineRule="auto"/>
              <w:rPr>
                <w:rFonts w:hAnsi="宋体"/>
                <w:szCs w:val="21"/>
              </w:rPr>
            </w:pPr>
            <w:r>
              <w:rPr>
                <w:rFonts w:hAnsi="宋体"/>
                <w:szCs w:val="21"/>
              </w:rPr>
              <w:t>其中：F1、F2、F3分别为</w:t>
            </w:r>
            <w:r>
              <w:rPr>
                <w:rFonts w:hint="eastAsia" w:hAnsi="宋体"/>
                <w:szCs w:val="21"/>
              </w:rPr>
              <w:t>价格评分</w:t>
            </w:r>
            <w:r>
              <w:rPr>
                <w:rFonts w:hAnsi="宋体"/>
                <w:szCs w:val="21"/>
              </w:rPr>
              <w:t>、技术部分</w:t>
            </w:r>
            <w:r>
              <w:rPr>
                <w:rFonts w:hint="eastAsia" w:hAnsi="宋体"/>
                <w:szCs w:val="21"/>
              </w:rPr>
              <w:t>评分、商务</w:t>
            </w:r>
            <w:r>
              <w:rPr>
                <w:rFonts w:hAnsi="宋体"/>
                <w:szCs w:val="21"/>
              </w:rPr>
              <w:t>部分</w:t>
            </w:r>
            <w:r>
              <w:rPr>
                <w:rFonts w:hint="eastAsia" w:hAnsi="宋体"/>
                <w:szCs w:val="21"/>
              </w:rPr>
              <w:t>评分</w:t>
            </w:r>
            <w:r>
              <w:rPr>
                <w:rFonts w:hAnsi="宋体"/>
                <w:szCs w:val="21"/>
              </w:rPr>
              <w:t>3项评</w:t>
            </w:r>
            <w:r>
              <w:rPr>
                <w:rFonts w:hint="eastAsia" w:hAnsi="宋体"/>
                <w:szCs w:val="21"/>
              </w:rPr>
              <w:t>审</w:t>
            </w:r>
            <w:r>
              <w:rPr>
                <w:rFonts w:hAnsi="宋体"/>
                <w:szCs w:val="21"/>
              </w:rPr>
              <w:t>因素的汇总得分</w:t>
            </w:r>
            <w:r>
              <w:rPr>
                <w:rFonts w:hint="eastAsia"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line="360" w:lineRule="auto"/>
              <w:rPr>
                <w:rFonts w:hAnsi="宋体"/>
                <w:szCs w:val="21"/>
              </w:rPr>
            </w:pPr>
          </w:p>
        </w:tc>
        <w:tc>
          <w:tcPr>
            <w:tcW w:w="1112" w:type="dxa"/>
            <w:vMerge w:val="continue"/>
            <w:vAlign w:val="center"/>
          </w:tcPr>
          <w:p>
            <w:pPr>
              <w:spacing w:line="360" w:lineRule="auto"/>
              <w:rPr>
                <w:rFonts w:hAnsi="宋体"/>
                <w:szCs w:val="21"/>
              </w:rPr>
            </w:pPr>
          </w:p>
        </w:tc>
        <w:tc>
          <w:tcPr>
            <w:tcW w:w="2432" w:type="dxa"/>
            <w:vAlign w:val="center"/>
          </w:tcPr>
          <w:p>
            <w:pPr>
              <w:snapToGrid w:val="0"/>
              <w:spacing w:line="360" w:lineRule="auto"/>
              <w:jc w:val="center"/>
              <w:rPr>
                <w:rFonts w:hAnsi="宋体" w:cs="宋体"/>
                <w:szCs w:val="21"/>
              </w:rPr>
            </w:pPr>
            <w:r>
              <w:rPr>
                <w:rFonts w:hint="eastAsia" w:hAnsi="宋体"/>
                <w:szCs w:val="21"/>
              </w:rPr>
              <w:t>评审因素权重</w:t>
            </w:r>
          </w:p>
        </w:tc>
        <w:tc>
          <w:tcPr>
            <w:tcW w:w="5103" w:type="dxa"/>
            <w:vAlign w:val="center"/>
          </w:tcPr>
          <w:p>
            <w:pPr>
              <w:spacing w:line="360" w:lineRule="auto"/>
              <w:rPr>
                <w:rFonts w:hAnsi="宋体"/>
                <w:szCs w:val="21"/>
              </w:rPr>
            </w:pPr>
            <w:r>
              <w:rPr>
                <w:rFonts w:hint="eastAsia" w:hAnsi="宋体"/>
                <w:szCs w:val="21"/>
              </w:rPr>
              <w:t>价格评分</w:t>
            </w:r>
            <w:r>
              <w:rPr>
                <w:rFonts w:hAnsi="宋体"/>
                <w:szCs w:val="21"/>
              </w:rPr>
              <w:t>F1</w:t>
            </w:r>
            <w:r>
              <w:rPr>
                <w:rFonts w:hint="eastAsia" w:hAnsi="宋体"/>
                <w:szCs w:val="21"/>
              </w:rPr>
              <w:t>满分</w:t>
            </w:r>
            <w:r>
              <w:rPr>
                <w:rFonts w:hAnsi="宋体"/>
                <w:szCs w:val="21"/>
              </w:rPr>
              <w:t>15分。</w:t>
            </w:r>
          </w:p>
          <w:p>
            <w:pPr>
              <w:spacing w:line="360" w:lineRule="auto"/>
              <w:rPr>
                <w:rFonts w:hAnsi="宋体"/>
                <w:szCs w:val="21"/>
              </w:rPr>
            </w:pPr>
            <w:r>
              <w:rPr>
                <w:rFonts w:hAnsi="宋体"/>
                <w:szCs w:val="21"/>
              </w:rPr>
              <w:t>技术部分</w:t>
            </w:r>
            <w:r>
              <w:rPr>
                <w:rFonts w:hint="eastAsia" w:hAnsi="宋体"/>
                <w:szCs w:val="21"/>
              </w:rPr>
              <w:t>评分</w:t>
            </w:r>
            <w:r>
              <w:rPr>
                <w:rFonts w:hAnsi="宋体"/>
                <w:szCs w:val="21"/>
              </w:rPr>
              <w:t>F</w:t>
            </w:r>
            <w:r>
              <w:rPr>
                <w:rFonts w:hint="eastAsia" w:hAnsi="宋体"/>
                <w:szCs w:val="21"/>
              </w:rPr>
              <w:t>2满分</w:t>
            </w:r>
            <w:r>
              <w:rPr>
                <w:rFonts w:hAnsi="宋体"/>
                <w:szCs w:val="21"/>
              </w:rPr>
              <w:t>65分。</w:t>
            </w:r>
          </w:p>
          <w:p>
            <w:pPr>
              <w:spacing w:line="360" w:lineRule="auto"/>
              <w:rPr>
                <w:rFonts w:hAnsi="宋体"/>
                <w:szCs w:val="21"/>
              </w:rPr>
            </w:pPr>
            <w:r>
              <w:rPr>
                <w:rFonts w:hint="eastAsia" w:hAnsi="宋体"/>
                <w:szCs w:val="21"/>
              </w:rPr>
              <w:t>商务</w:t>
            </w:r>
            <w:r>
              <w:rPr>
                <w:rFonts w:hAnsi="宋体"/>
                <w:szCs w:val="21"/>
              </w:rPr>
              <w:t>部分</w:t>
            </w:r>
            <w:r>
              <w:rPr>
                <w:rFonts w:hint="eastAsia" w:hAnsi="宋体"/>
                <w:szCs w:val="21"/>
              </w:rPr>
              <w:t>评分</w:t>
            </w:r>
            <w:r>
              <w:rPr>
                <w:rFonts w:hAnsi="宋体"/>
                <w:szCs w:val="21"/>
              </w:rPr>
              <w:t>F</w:t>
            </w:r>
            <w:r>
              <w:rPr>
                <w:rFonts w:hint="eastAsia" w:hAnsi="宋体"/>
                <w:szCs w:val="21"/>
              </w:rPr>
              <w:t>3满分</w:t>
            </w:r>
            <w:r>
              <w:rPr>
                <w:rFonts w:hAnsi="宋体"/>
                <w:szCs w:val="21"/>
              </w:rPr>
              <w:t>2</w:t>
            </w:r>
            <w:r>
              <w:rPr>
                <w:rFonts w:hint="eastAsia" w:hAnsi="宋体"/>
                <w:szCs w:val="21"/>
              </w:rPr>
              <w:t>0</w:t>
            </w:r>
            <w:r>
              <w:rPr>
                <w:rFonts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line="360" w:lineRule="auto"/>
              <w:rPr>
                <w:rFonts w:hAnsi="宋体"/>
                <w:szCs w:val="21"/>
              </w:rPr>
            </w:pPr>
          </w:p>
        </w:tc>
        <w:tc>
          <w:tcPr>
            <w:tcW w:w="1112" w:type="dxa"/>
            <w:vMerge w:val="continue"/>
            <w:vAlign w:val="center"/>
          </w:tcPr>
          <w:p>
            <w:pPr>
              <w:spacing w:line="360" w:lineRule="auto"/>
              <w:rPr>
                <w:rFonts w:hAnsi="宋体"/>
                <w:szCs w:val="21"/>
              </w:rPr>
            </w:pPr>
          </w:p>
        </w:tc>
        <w:tc>
          <w:tcPr>
            <w:tcW w:w="2432" w:type="dxa"/>
            <w:tcBorders>
              <w:bottom w:val="single" w:color="auto" w:sz="4" w:space="0"/>
            </w:tcBorders>
            <w:vAlign w:val="center"/>
          </w:tcPr>
          <w:p>
            <w:pPr>
              <w:spacing w:line="276" w:lineRule="auto"/>
              <w:jc w:val="center"/>
              <w:rPr>
                <w:rFonts w:hAnsi="宋体"/>
                <w:szCs w:val="21"/>
              </w:rPr>
            </w:pPr>
            <w:r>
              <w:rPr>
                <w:rFonts w:hint="eastAsia" w:hAnsi="宋体"/>
                <w:szCs w:val="21"/>
              </w:rPr>
              <w:t>价格评分F1</w:t>
            </w:r>
          </w:p>
          <w:p>
            <w:pPr>
              <w:spacing w:line="276" w:lineRule="auto"/>
              <w:jc w:val="center"/>
              <w:rPr>
                <w:rFonts w:hAnsi="宋体" w:cs="宋体"/>
                <w:szCs w:val="21"/>
              </w:rPr>
            </w:pPr>
            <w:r>
              <w:rPr>
                <w:rFonts w:hint="eastAsia" w:hAnsi="宋体"/>
                <w:szCs w:val="21"/>
              </w:rPr>
              <w:t>（满分</w:t>
            </w:r>
            <w:r>
              <w:rPr>
                <w:rFonts w:hAnsi="宋体"/>
                <w:szCs w:val="21"/>
              </w:rPr>
              <w:t>15</w:t>
            </w:r>
            <w:r>
              <w:rPr>
                <w:rFonts w:hint="eastAsia" w:hAnsi="宋体"/>
                <w:szCs w:val="21"/>
              </w:rPr>
              <w:t>分）</w:t>
            </w:r>
          </w:p>
        </w:tc>
        <w:tc>
          <w:tcPr>
            <w:tcW w:w="5103" w:type="dxa"/>
            <w:tcBorders>
              <w:bottom w:val="single" w:color="auto" w:sz="4" w:space="0"/>
            </w:tcBorders>
            <w:vAlign w:val="center"/>
          </w:tcPr>
          <w:p>
            <w:pPr>
              <w:snapToGrid w:val="0"/>
              <w:spacing w:before="93" w:beforeLines="30" w:line="360" w:lineRule="auto"/>
              <w:rPr>
                <w:rFonts w:hAnsi="宋体"/>
                <w:szCs w:val="21"/>
              </w:rPr>
            </w:pPr>
            <w:r>
              <w:rPr>
                <w:rFonts w:hint="eastAsia" w:hAnsi="宋体"/>
                <w:szCs w:val="21"/>
              </w:rPr>
              <w:t>报价评分采用低价优先法计算，即满足磋商文件要求且最后报价最低的供应商的价格为磋商基准价，其价格分为满分。其他供应商的报价分统一按照下列公式计算：</w:t>
            </w:r>
          </w:p>
          <w:p>
            <w:pPr>
              <w:adjustRightInd w:val="0"/>
              <w:snapToGrid w:val="0"/>
              <w:spacing w:line="360" w:lineRule="auto"/>
              <w:rPr>
                <w:rFonts w:hAnsi="宋体"/>
                <w:szCs w:val="21"/>
              </w:rPr>
            </w:pPr>
            <w:r>
              <w:rPr>
                <w:rFonts w:hint="eastAsia" w:hAnsi="宋体"/>
                <w:szCs w:val="21"/>
              </w:rPr>
              <w:t>磋商报价得分</w:t>
            </w:r>
            <w:r>
              <w:rPr>
                <w:rFonts w:hAnsi="宋体"/>
                <w:szCs w:val="21"/>
              </w:rPr>
              <w:t>=</w:t>
            </w:r>
            <w:r>
              <w:rPr>
                <w:rFonts w:hint="eastAsia" w:hAnsi="宋体"/>
                <w:szCs w:val="21"/>
              </w:rPr>
              <w:t>（磋商基准价</w:t>
            </w:r>
            <w:r>
              <w:rPr>
                <w:rFonts w:hAnsi="宋体"/>
                <w:szCs w:val="21"/>
              </w:rPr>
              <w:t>/</w:t>
            </w:r>
            <w:r>
              <w:rPr>
                <w:rFonts w:hint="eastAsia" w:hAnsi="宋体"/>
                <w:szCs w:val="21"/>
              </w:rPr>
              <w:t>最后磋商报价）×</w:t>
            </w:r>
            <w:r>
              <w:rPr>
                <w:rFonts w:hAnsi="宋体"/>
                <w:szCs w:val="21"/>
              </w:rPr>
              <w:t>15</w:t>
            </w:r>
          </w:p>
          <w:p>
            <w:pPr>
              <w:adjustRightInd w:val="0"/>
              <w:snapToGrid w:val="0"/>
              <w:spacing w:line="360" w:lineRule="auto"/>
              <w:rPr>
                <w:rFonts w:hAnsi="宋体"/>
                <w:szCs w:val="21"/>
              </w:rPr>
            </w:pPr>
            <w:r>
              <w:rPr>
                <w:rFonts w:hint="eastAsia" w:hAnsi="宋体"/>
                <w:szCs w:val="21"/>
              </w:rPr>
              <w:t>即：</w:t>
            </w:r>
            <w:r>
              <w:rPr>
                <w:rFonts w:hAnsi="宋体"/>
                <w:szCs w:val="21"/>
              </w:rPr>
              <w:t>F</w:t>
            </w:r>
            <w:r>
              <w:rPr>
                <w:rFonts w:hint="eastAsia" w:hAnsi="宋体"/>
                <w:szCs w:val="21"/>
              </w:rPr>
              <w:t>1</w:t>
            </w:r>
            <w:r>
              <w:rPr>
                <w:rFonts w:hAnsi="宋体"/>
                <w:szCs w:val="21"/>
              </w:rPr>
              <w:t>=C/（B1，B2，…</w:t>
            </w:r>
            <w:r>
              <w:rPr>
                <w:rFonts w:hint="eastAsia" w:hAnsi="宋体"/>
                <w:szCs w:val="21"/>
              </w:rPr>
              <w:t>，</w:t>
            </w:r>
            <w:r>
              <w:rPr>
                <w:rFonts w:hAnsi="宋体"/>
                <w:szCs w:val="21"/>
              </w:rPr>
              <w:t>Bn）</w:t>
            </w:r>
            <w:r>
              <w:rPr>
                <w:rFonts w:hint="eastAsia" w:hAnsi="宋体"/>
                <w:szCs w:val="21"/>
              </w:rPr>
              <w:t>×</w:t>
            </w:r>
            <w:r>
              <w:rPr>
                <w:rFonts w:hAnsi="宋体"/>
                <w:szCs w:val="21"/>
              </w:rPr>
              <w:t>15</w:t>
            </w:r>
          </w:p>
          <w:p>
            <w:pPr>
              <w:adjustRightInd w:val="0"/>
              <w:snapToGrid w:val="0"/>
              <w:spacing w:line="360" w:lineRule="auto"/>
              <w:rPr>
                <w:rFonts w:hAnsi="宋体"/>
                <w:szCs w:val="21"/>
              </w:rPr>
            </w:pPr>
            <w:r>
              <w:rPr>
                <w:rFonts w:hint="eastAsia" w:hAnsi="宋体"/>
                <w:szCs w:val="21"/>
              </w:rPr>
              <w:t>注：</w:t>
            </w:r>
          </w:p>
          <w:p>
            <w:pPr>
              <w:adjustRightInd w:val="0"/>
              <w:snapToGrid w:val="0"/>
              <w:spacing w:line="360" w:lineRule="auto"/>
              <w:rPr>
                <w:rFonts w:hAnsi="宋体"/>
                <w:szCs w:val="21"/>
              </w:rPr>
            </w:pPr>
            <w:r>
              <w:rPr>
                <w:rFonts w:hint="eastAsia" w:hAnsi="宋体"/>
                <w:szCs w:val="21"/>
              </w:rPr>
              <w:t>1）</w:t>
            </w:r>
            <w:r>
              <w:rPr>
                <w:rFonts w:hAnsi="宋体"/>
                <w:szCs w:val="21"/>
              </w:rPr>
              <w:t>C为</w:t>
            </w:r>
            <w:r>
              <w:rPr>
                <w:rFonts w:hint="eastAsia" w:hAnsi="宋体"/>
                <w:szCs w:val="21"/>
              </w:rPr>
              <w:t>磋商</w:t>
            </w:r>
            <w:r>
              <w:rPr>
                <w:rFonts w:hAnsi="宋体"/>
                <w:szCs w:val="21"/>
              </w:rPr>
              <w:t>基准价，</w:t>
            </w:r>
            <w:r>
              <w:rPr>
                <w:rFonts w:hint="eastAsia" w:hAnsi="宋体"/>
                <w:szCs w:val="21"/>
              </w:rPr>
              <w:t>即满足磋商文件要求且最后报价最低的供应商的价格为磋商基准价</w:t>
            </w:r>
            <w:r>
              <w:rPr>
                <w:rFonts w:hAnsi="宋体"/>
                <w:szCs w:val="21"/>
              </w:rPr>
              <w:t>；</w:t>
            </w:r>
          </w:p>
          <w:p>
            <w:pPr>
              <w:snapToGrid w:val="0"/>
              <w:spacing w:line="360" w:lineRule="auto"/>
              <w:rPr>
                <w:rFonts w:hAnsi="宋体"/>
                <w:szCs w:val="21"/>
              </w:rPr>
            </w:pPr>
            <w:r>
              <w:rPr>
                <w:rFonts w:hint="eastAsia" w:hAnsi="宋体"/>
                <w:szCs w:val="21"/>
              </w:rPr>
              <w:t>2）</w:t>
            </w:r>
            <w:r>
              <w:rPr>
                <w:rFonts w:hAnsi="宋体"/>
                <w:szCs w:val="21"/>
              </w:rPr>
              <w:t>B1，B2，…</w:t>
            </w:r>
            <w:r>
              <w:rPr>
                <w:rFonts w:hint="eastAsia" w:hAnsi="宋体"/>
                <w:szCs w:val="21"/>
              </w:rPr>
              <w:t>，</w:t>
            </w:r>
            <w:r>
              <w:rPr>
                <w:rFonts w:hAnsi="宋体"/>
                <w:szCs w:val="21"/>
              </w:rPr>
              <w:t>Bn为第n个经</w:t>
            </w:r>
            <w:r>
              <w:rPr>
                <w:rFonts w:hint="eastAsia" w:hAnsi="宋体"/>
                <w:szCs w:val="21"/>
              </w:rPr>
              <w:t>实质性</w:t>
            </w:r>
            <w:r>
              <w:rPr>
                <w:rFonts w:hAnsi="宋体"/>
                <w:szCs w:val="21"/>
              </w:rPr>
              <w:t>审查合格的</w:t>
            </w:r>
            <w:r>
              <w:rPr>
                <w:rFonts w:hint="eastAsia" w:hAnsi="宋体"/>
                <w:szCs w:val="21"/>
              </w:rPr>
              <w:t>最后磋商报价</w:t>
            </w:r>
            <w:r>
              <w:rPr>
                <w:rFonts w:hAnsi="宋体"/>
                <w:szCs w:val="21"/>
              </w:rPr>
              <w:t>。</w:t>
            </w:r>
          </w:p>
          <w:p>
            <w:pPr>
              <w:snapToGrid w:val="0"/>
              <w:spacing w:line="360" w:lineRule="auto"/>
              <w:rPr>
                <w:rFonts w:hAnsi="宋体"/>
                <w:szCs w:val="21"/>
              </w:rPr>
            </w:pPr>
            <w:r>
              <w:rPr>
                <w:rFonts w:hint="eastAsia" w:hAnsi="宋体"/>
                <w:szCs w:val="21"/>
              </w:rPr>
              <w:t>3)本项目针对小型和微型企业产品或残疾人福利性单位产品或监狱企业的价格给予扣除,用扣除后的价格参与评审；残疾人福利性单位属于小型、微型企业的,不重复享受政策；政府采购政策详见 第二章 供应商须知 “第31项”的规定。因落实政府采购政策进行价格调整的，以调整后的价格计算磋商基准价和最后磋商报价。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line="360" w:lineRule="auto"/>
              <w:rPr>
                <w:rFonts w:hAnsi="宋体"/>
                <w:szCs w:val="21"/>
              </w:rPr>
            </w:pPr>
          </w:p>
        </w:tc>
        <w:tc>
          <w:tcPr>
            <w:tcW w:w="1112" w:type="dxa"/>
            <w:vMerge w:val="continue"/>
            <w:vAlign w:val="center"/>
          </w:tcPr>
          <w:p>
            <w:pPr>
              <w:spacing w:line="360" w:lineRule="auto"/>
              <w:rPr>
                <w:rFonts w:hAnsi="宋体"/>
                <w:szCs w:val="21"/>
              </w:rPr>
            </w:pPr>
          </w:p>
        </w:tc>
        <w:tc>
          <w:tcPr>
            <w:tcW w:w="2432" w:type="dxa"/>
            <w:vMerge w:val="restart"/>
            <w:vAlign w:val="center"/>
          </w:tcPr>
          <w:p>
            <w:pPr>
              <w:spacing w:line="360" w:lineRule="auto"/>
              <w:jc w:val="center"/>
              <w:rPr>
                <w:rFonts w:hAnsi="宋体"/>
                <w:szCs w:val="21"/>
              </w:rPr>
            </w:pPr>
            <w:r>
              <w:rPr>
                <w:rFonts w:hint="eastAsia" w:hAnsi="宋体"/>
                <w:szCs w:val="21"/>
              </w:rPr>
              <w:t>技术部分评分F2</w:t>
            </w:r>
          </w:p>
          <w:p>
            <w:pPr>
              <w:spacing w:line="360" w:lineRule="auto"/>
              <w:jc w:val="center"/>
              <w:rPr>
                <w:rFonts w:hAnsi="宋体"/>
                <w:szCs w:val="21"/>
              </w:rPr>
            </w:pPr>
            <w:r>
              <w:rPr>
                <w:rFonts w:hint="eastAsia" w:hAnsi="宋体"/>
                <w:szCs w:val="21"/>
              </w:rPr>
              <w:t>（满分</w:t>
            </w:r>
            <w:r>
              <w:rPr>
                <w:rFonts w:hAnsi="宋体"/>
                <w:szCs w:val="21"/>
              </w:rPr>
              <w:t>65</w:t>
            </w:r>
            <w:r>
              <w:rPr>
                <w:rFonts w:hint="eastAsia" w:hAnsi="宋体"/>
                <w:szCs w:val="21"/>
              </w:rPr>
              <w:t>分）</w:t>
            </w:r>
          </w:p>
        </w:tc>
        <w:tc>
          <w:tcPr>
            <w:tcW w:w="5103" w:type="dxa"/>
            <w:vAlign w:val="center"/>
          </w:tcPr>
          <w:p>
            <w:pPr>
              <w:spacing w:line="336" w:lineRule="auto"/>
              <w:rPr>
                <w:rFonts w:hAnsi="宋体"/>
                <w:b/>
                <w:bCs/>
                <w:szCs w:val="21"/>
              </w:rPr>
            </w:pPr>
            <w:r>
              <w:rPr>
                <w:rFonts w:hint="eastAsia" w:hAnsi="宋体"/>
                <w:b/>
                <w:bCs/>
                <w:szCs w:val="21"/>
              </w:rPr>
              <w:t>数据中心建设方案评审评分（满分</w:t>
            </w:r>
            <w:r>
              <w:rPr>
                <w:rFonts w:hAnsi="宋体"/>
                <w:b/>
                <w:bCs/>
                <w:szCs w:val="21"/>
              </w:rPr>
              <w:t>20</w:t>
            </w:r>
            <w:r>
              <w:rPr>
                <w:rFonts w:hint="eastAsia" w:hAnsi="宋体"/>
                <w:b/>
                <w:bCs/>
                <w:szCs w:val="21"/>
              </w:rPr>
              <w:t>分）</w:t>
            </w:r>
          </w:p>
          <w:p>
            <w:pPr>
              <w:pStyle w:val="5"/>
              <w:spacing w:line="336" w:lineRule="auto"/>
              <w:ind w:firstLine="0"/>
              <w:jc w:val="left"/>
              <w:rPr>
                <w:rFonts w:ascii="宋体" w:hAnsi="宋体"/>
                <w:szCs w:val="21"/>
                <w:lang w:val="en-US" w:eastAsia="zh-CN"/>
              </w:rPr>
            </w:pPr>
            <w:r>
              <w:rPr>
                <w:rFonts w:hint="eastAsia" w:ascii="宋体" w:hAnsi="宋体"/>
                <w:szCs w:val="21"/>
                <w:lang w:val="en-US" w:eastAsia="zh-CN"/>
              </w:rPr>
              <w:t>第一档次：数据中心建设方案整体编制科学合理、重点突出,针对性强,完全满足采购人实际需求得</w:t>
            </w:r>
            <w:r>
              <w:rPr>
                <w:rFonts w:ascii="宋体" w:hAnsi="宋体"/>
                <w:szCs w:val="21"/>
                <w:lang w:val="en-US" w:eastAsia="zh-CN"/>
              </w:rPr>
              <w:t>20</w:t>
            </w:r>
            <w:r>
              <w:rPr>
                <w:rFonts w:hint="eastAsia" w:ascii="宋体" w:hAnsi="宋体"/>
                <w:szCs w:val="21"/>
                <w:lang w:val="en-US" w:eastAsia="zh-CN"/>
              </w:rPr>
              <w:t>分.</w:t>
            </w:r>
          </w:p>
          <w:p>
            <w:pPr>
              <w:pStyle w:val="5"/>
              <w:spacing w:line="336" w:lineRule="auto"/>
              <w:ind w:firstLine="0"/>
              <w:jc w:val="left"/>
              <w:rPr>
                <w:rFonts w:ascii="宋体" w:hAnsi="宋体"/>
                <w:szCs w:val="21"/>
                <w:lang w:val="en-US" w:eastAsia="zh-CN"/>
              </w:rPr>
            </w:pPr>
            <w:r>
              <w:rPr>
                <w:rFonts w:hint="eastAsia" w:ascii="宋体" w:hAnsi="宋体"/>
                <w:szCs w:val="21"/>
                <w:lang w:val="en-US" w:eastAsia="zh-CN"/>
              </w:rPr>
              <w:t>第二档次：数据中心建设方案整体编制合理,有侧重点,有一定针对性,基本满足采购人实际需求得</w:t>
            </w:r>
            <w:r>
              <w:rPr>
                <w:rFonts w:ascii="宋体" w:hAnsi="宋体"/>
                <w:szCs w:val="21"/>
                <w:lang w:val="en-US" w:eastAsia="zh-CN"/>
              </w:rPr>
              <w:t>15</w:t>
            </w:r>
            <w:r>
              <w:rPr>
                <w:rFonts w:hint="eastAsia" w:ascii="宋体" w:hAnsi="宋体"/>
                <w:szCs w:val="21"/>
                <w:lang w:val="en-US" w:eastAsia="zh-CN"/>
              </w:rPr>
              <w:t>分。</w:t>
            </w:r>
          </w:p>
          <w:p>
            <w:pPr>
              <w:spacing w:line="336" w:lineRule="auto"/>
              <w:rPr>
                <w:rFonts w:hAnsi="宋体"/>
                <w:szCs w:val="21"/>
              </w:rPr>
            </w:pPr>
            <w:r>
              <w:rPr>
                <w:rFonts w:hint="eastAsia" w:hAnsi="宋体"/>
                <w:szCs w:val="21"/>
              </w:rPr>
              <w:t>第三档次：数据中心建设方案整体编制未突出重点，针对性差，基本无法满足采购人实际需求的得</w:t>
            </w:r>
            <w:r>
              <w:rPr>
                <w:rFonts w:hAnsi="宋体"/>
                <w:szCs w:val="21"/>
              </w:rPr>
              <w:t>5</w:t>
            </w:r>
            <w:r>
              <w:rPr>
                <w:rFonts w:hint="eastAsia" w:hAnsi="宋体"/>
                <w:szCs w:val="21"/>
              </w:rPr>
              <w:t>分。</w:t>
            </w:r>
          </w:p>
          <w:p>
            <w:pPr>
              <w:spacing w:line="336" w:lineRule="auto"/>
              <w:rPr>
                <w:rFonts w:hAnsi="宋体"/>
                <w:szCs w:val="21"/>
              </w:rPr>
            </w:pPr>
            <w:r>
              <w:rPr>
                <w:rFonts w:hint="eastAsia" w:hAnsi="宋体"/>
                <w:szCs w:val="21"/>
              </w:rPr>
              <w:t>第四档次：未提供数据中心建设方案的得</w:t>
            </w:r>
            <w:r>
              <w:rPr>
                <w:rFonts w:hAnsi="宋体"/>
                <w:szCs w:val="21"/>
              </w:rPr>
              <w:t>0</w:t>
            </w:r>
            <w:r>
              <w:rPr>
                <w:rFonts w:hint="eastAsia"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line="360" w:lineRule="auto"/>
              <w:rPr>
                <w:rFonts w:hAnsi="宋体"/>
                <w:szCs w:val="21"/>
              </w:rPr>
            </w:pPr>
          </w:p>
        </w:tc>
        <w:tc>
          <w:tcPr>
            <w:tcW w:w="1112" w:type="dxa"/>
            <w:vMerge w:val="continue"/>
            <w:vAlign w:val="center"/>
          </w:tcPr>
          <w:p>
            <w:pPr>
              <w:spacing w:line="360" w:lineRule="auto"/>
              <w:rPr>
                <w:rFonts w:hAnsi="宋体"/>
                <w:szCs w:val="21"/>
              </w:rPr>
            </w:pPr>
          </w:p>
        </w:tc>
        <w:tc>
          <w:tcPr>
            <w:tcW w:w="2432" w:type="dxa"/>
            <w:vMerge w:val="continue"/>
            <w:vAlign w:val="center"/>
          </w:tcPr>
          <w:p>
            <w:pPr>
              <w:spacing w:line="360" w:lineRule="auto"/>
              <w:jc w:val="center"/>
              <w:rPr>
                <w:rFonts w:hAnsi="宋体"/>
                <w:szCs w:val="21"/>
              </w:rPr>
            </w:pPr>
          </w:p>
        </w:tc>
        <w:tc>
          <w:tcPr>
            <w:tcW w:w="5103" w:type="dxa"/>
            <w:vAlign w:val="center"/>
          </w:tcPr>
          <w:p>
            <w:pPr>
              <w:spacing w:line="336" w:lineRule="auto"/>
              <w:rPr>
                <w:rFonts w:hAnsi="宋体"/>
                <w:b/>
                <w:bCs/>
                <w:szCs w:val="21"/>
              </w:rPr>
            </w:pPr>
            <w:r>
              <w:rPr>
                <w:rFonts w:hint="eastAsia" w:hAnsi="宋体"/>
                <w:b/>
                <w:bCs/>
                <w:szCs w:val="21"/>
              </w:rPr>
              <w:t>系统功能方案评审评分（满分</w:t>
            </w:r>
            <w:r>
              <w:rPr>
                <w:rFonts w:hAnsi="宋体"/>
                <w:b/>
                <w:bCs/>
                <w:szCs w:val="21"/>
              </w:rPr>
              <w:t>20</w:t>
            </w:r>
            <w:r>
              <w:rPr>
                <w:rFonts w:hint="eastAsia" w:hAnsi="宋体"/>
                <w:b/>
                <w:bCs/>
                <w:szCs w:val="21"/>
              </w:rPr>
              <w:t>分）</w:t>
            </w:r>
          </w:p>
          <w:p>
            <w:pPr>
              <w:pStyle w:val="5"/>
              <w:spacing w:line="336" w:lineRule="auto"/>
              <w:ind w:firstLine="0"/>
              <w:jc w:val="left"/>
              <w:rPr>
                <w:rFonts w:ascii="宋体" w:hAnsi="宋体"/>
                <w:szCs w:val="21"/>
                <w:lang w:val="en-US" w:eastAsia="zh-CN"/>
              </w:rPr>
            </w:pPr>
            <w:r>
              <w:rPr>
                <w:rFonts w:hint="eastAsia" w:ascii="宋体" w:hAnsi="宋体"/>
                <w:szCs w:val="21"/>
                <w:lang w:val="en-US" w:eastAsia="zh-CN"/>
              </w:rPr>
              <w:t>第一档次：对系统使用功能的详细描述,</w:t>
            </w:r>
            <w:r>
              <w:rPr>
                <w:rFonts w:hint="eastAsia"/>
              </w:rPr>
              <w:t xml:space="preserve"> </w:t>
            </w:r>
            <w:r>
              <w:rPr>
                <w:rFonts w:hint="eastAsia" w:ascii="宋体" w:hAnsi="宋体"/>
                <w:szCs w:val="21"/>
                <w:lang w:val="en-US" w:eastAsia="zh-CN"/>
              </w:rPr>
              <w:t>功能的完整性、便捷性、多样性、交互性重点突出，针对性强，完全满足采购人实际使用需求得</w:t>
            </w:r>
            <w:r>
              <w:rPr>
                <w:rFonts w:ascii="宋体" w:hAnsi="宋体"/>
                <w:szCs w:val="21"/>
                <w:lang w:val="en-US" w:eastAsia="zh-CN"/>
              </w:rPr>
              <w:t>20</w:t>
            </w:r>
            <w:r>
              <w:rPr>
                <w:rFonts w:hint="eastAsia" w:ascii="宋体" w:hAnsi="宋体"/>
                <w:szCs w:val="21"/>
                <w:lang w:val="en-US" w:eastAsia="zh-CN"/>
              </w:rPr>
              <w:t>分。</w:t>
            </w:r>
          </w:p>
          <w:p>
            <w:pPr>
              <w:pStyle w:val="5"/>
              <w:spacing w:line="336" w:lineRule="auto"/>
              <w:ind w:firstLine="0"/>
              <w:jc w:val="left"/>
              <w:rPr>
                <w:rFonts w:ascii="宋体" w:hAnsi="宋体"/>
                <w:szCs w:val="21"/>
                <w:lang w:val="en-US" w:eastAsia="zh-CN"/>
              </w:rPr>
            </w:pPr>
            <w:r>
              <w:rPr>
                <w:rFonts w:hint="eastAsia" w:ascii="宋体" w:hAnsi="宋体"/>
                <w:szCs w:val="21"/>
                <w:lang w:val="en-US" w:eastAsia="zh-CN"/>
              </w:rPr>
              <w:t>第二档次：对系统使用功能的描述一般,功能的完整性、便捷性、多样性、交互性有侧重点，有一定针对性，基本满足采购人实际需求得</w:t>
            </w:r>
            <w:r>
              <w:rPr>
                <w:rFonts w:ascii="宋体" w:hAnsi="宋体"/>
                <w:szCs w:val="21"/>
                <w:lang w:val="en-US" w:eastAsia="zh-CN"/>
              </w:rPr>
              <w:t>15</w:t>
            </w:r>
            <w:r>
              <w:rPr>
                <w:rFonts w:hint="eastAsia" w:ascii="宋体" w:hAnsi="宋体"/>
                <w:szCs w:val="21"/>
                <w:lang w:val="en-US" w:eastAsia="zh-CN"/>
              </w:rPr>
              <w:t>分。</w:t>
            </w:r>
          </w:p>
          <w:p>
            <w:pPr>
              <w:spacing w:line="336" w:lineRule="auto"/>
              <w:rPr>
                <w:rFonts w:hAnsi="宋体"/>
                <w:szCs w:val="21"/>
              </w:rPr>
            </w:pPr>
            <w:r>
              <w:rPr>
                <w:rFonts w:hint="eastAsia" w:hAnsi="宋体"/>
                <w:szCs w:val="21"/>
              </w:rPr>
              <w:t>第三档次：对系统使用功能的描述不具体,功能的完整性、便捷性、多样性、交互性未突出重点，针对性差，基本无法满足采购人实际需求的得</w:t>
            </w:r>
            <w:r>
              <w:rPr>
                <w:rFonts w:hAnsi="宋体"/>
                <w:szCs w:val="21"/>
              </w:rPr>
              <w:t>5</w:t>
            </w:r>
            <w:r>
              <w:rPr>
                <w:rFonts w:hint="eastAsia" w:hAnsi="宋体"/>
                <w:szCs w:val="21"/>
              </w:rPr>
              <w:t>分。</w:t>
            </w:r>
          </w:p>
          <w:p>
            <w:pPr>
              <w:spacing w:line="336" w:lineRule="auto"/>
              <w:rPr>
                <w:rFonts w:hAnsi="宋体"/>
                <w:b/>
                <w:bCs/>
                <w:szCs w:val="21"/>
              </w:rPr>
            </w:pPr>
            <w:r>
              <w:rPr>
                <w:rFonts w:hint="eastAsia" w:hAnsi="宋体"/>
                <w:szCs w:val="21"/>
              </w:rPr>
              <w:t>第四档次：未提供系统功能方案的得</w:t>
            </w:r>
            <w:r>
              <w:rPr>
                <w:rFonts w:hAnsi="宋体"/>
                <w:szCs w:val="21"/>
              </w:rPr>
              <w:t>0</w:t>
            </w:r>
            <w:r>
              <w:rPr>
                <w:rFonts w:hint="eastAsia"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line="360" w:lineRule="auto"/>
              <w:rPr>
                <w:rFonts w:hAnsi="宋体"/>
                <w:szCs w:val="21"/>
              </w:rPr>
            </w:pPr>
          </w:p>
        </w:tc>
        <w:tc>
          <w:tcPr>
            <w:tcW w:w="1112" w:type="dxa"/>
            <w:vMerge w:val="continue"/>
            <w:vAlign w:val="center"/>
          </w:tcPr>
          <w:p>
            <w:pPr>
              <w:spacing w:line="360" w:lineRule="auto"/>
              <w:rPr>
                <w:rFonts w:hAnsi="宋体"/>
                <w:szCs w:val="21"/>
              </w:rPr>
            </w:pPr>
          </w:p>
        </w:tc>
        <w:tc>
          <w:tcPr>
            <w:tcW w:w="2432" w:type="dxa"/>
            <w:vMerge w:val="continue"/>
            <w:vAlign w:val="center"/>
          </w:tcPr>
          <w:p>
            <w:pPr>
              <w:spacing w:line="360" w:lineRule="auto"/>
              <w:jc w:val="center"/>
              <w:rPr>
                <w:rFonts w:hAnsi="宋体"/>
                <w:szCs w:val="21"/>
              </w:rPr>
            </w:pPr>
          </w:p>
        </w:tc>
        <w:tc>
          <w:tcPr>
            <w:tcW w:w="5103" w:type="dxa"/>
            <w:vAlign w:val="center"/>
          </w:tcPr>
          <w:p>
            <w:pPr>
              <w:spacing w:line="336" w:lineRule="auto"/>
              <w:rPr>
                <w:rFonts w:hAnsi="宋体"/>
                <w:b/>
                <w:bCs/>
                <w:szCs w:val="21"/>
              </w:rPr>
            </w:pPr>
            <w:r>
              <w:rPr>
                <w:rFonts w:hint="eastAsia" w:hAnsi="宋体"/>
                <w:b/>
                <w:bCs/>
                <w:szCs w:val="21"/>
              </w:rPr>
              <w:t>数据中心平台信息安全、保密措施等评审评分（满分</w:t>
            </w:r>
            <w:r>
              <w:rPr>
                <w:rFonts w:hAnsi="宋体"/>
                <w:b/>
                <w:bCs/>
                <w:szCs w:val="21"/>
              </w:rPr>
              <w:t>10</w:t>
            </w:r>
            <w:r>
              <w:rPr>
                <w:rFonts w:hint="eastAsia" w:hAnsi="宋体"/>
                <w:b/>
                <w:bCs/>
                <w:szCs w:val="21"/>
              </w:rPr>
              <w:t>分）</w:t>
            </w:r>
          </w:p>
          <w:p>
            <w:pPr>
              <w:pStyle w:val="5"/>
              <w:spacing w:line="336" w:lineRule="auto"/>
              <w:ind w:firstLine="0"/>
              <w:jc w:val="left"/>
              <w:rPr>
                <w:rFonts w:ascii="宋体" w:hAnsi="宋体"/>
                <w:szCs w:val="21"/>
                <w:lang w:val="en-US" w:eastAsia="zh-CN"/>
              </w:rPr>
            </w:pPr>
            <w:r>
              <w:rPr>
                <w:rFonts w:hint="eastAsia" w:ascii="宋体" w:hAnsi="宋体"/>
                <w:szCs w:val="21"/>
                <w:lang w:val="en-US" w:eastAsia="zh-CN"/>
              </w:rPr>
              <w:t>第一档次：</w:t>
            </w:r>
            <w:r>
              <w:rPr>
                <w:rFonts w:hint="eastAsia" w:hAnsi="宋体"/>
                <w:szCs w:val="21"/>
              </w:rPr>
              <w:t>数据中心平台</w:t>
            </w:r>
            <w:r>
              <w:rPr>
                <w:rFonts w:hint="eastAsia" w:ascii="宋体" w:hAnsi="宋体"/>
                <w:szCs w:val="21"/>
                <w:lang w:val="en-US" w:eastAsia="zh-CN"/>
              </w:rPr>
              <w:t>信息安全、保密措施具体完整，对数据来源合法及保证数据的准确性、实时性、更新性等方面重点突出，针对性强，完全满足采购人实际需求的得</w:t>
            </w:r>
            <w:r>
              <w:rPr>
                <w:rFonts w:ascii="宋体" w:hAnsi="宋体"/>
                <w:szCs w:val="21"/>
                <w:lang w:val="en-US" w:eastAsia="zh-CN"/>
              </w:rPr>
              <w:t>10</w:t>
            </w:r>
            <w:r>
              <w:rPr>
                <w:rFonts w:hint="eastAsia" w:ascii="宋体" w:hAnsi="宋体"/>
                <w:szCs w:val="21"/>
                <w:lang w:val="en-US" w:eastAsia="zh-CN"/>
              </w:rPr>
              <w:t>分。</w:t>
            </w:r>
          </w:p>
          <w:p>
            <w:pPr>
              <w:pStyle w:val="5"/>
              <w:spacing w:line="336" w:lineRule="auto"/>
              <w:ind w:firstLine="0"/>
              <w:jc w:val="left"/>
              <w:rPr>
                <w:rFonts w:ascii="宋体" w:hAnsi="宋体"/>
                <w:szCs w:val="21"/>
                <w:lang w:val="en-US" w:eastAsia="zh-CN"/>
              </w:rPr>
            </w:pPr>
            <w:r>
              <w:rPr>
                <w:rFonts w:hint="eastAsia" w:ascii="宋体" w:hAnsi="宋体"/>
                <w:szCs w:val="21"/>
                <w:lang w:val="en-US" w:eastAsia="zh-CN"/>
              </w:rPr>
              <w:t>第二档次：</w:t>
            </w:r>
            <w:r>
              <w:rPr>
                <w:rFonts w:hint="eastAsia" w:hAnsi="宋体"/>
                <w:szCs w:val="21"/>
              </w:rPr>
              <w:t>数据中心平台</w:t>
            </w:r>
            <w:r>
              <w:rPr>
                <w:rFonts w:hint="eastAsia" w:ascii="宋体" w:hAnsi="宋体"/>
                <w:szCs w:val="21"/>
                <w:lang w:val="en-US" w:eastAsia="zh-CN"/>
              </w:rPr>
              <w:t>信息安全、保密措施具体完整，对数据来源合法及保证数据的准确性、实时性、更新性等方面有侧重点，有一定针对性,基本满足采购人实际需求的得</w:t>
            </w:r>
            <w:r>
              <w:rPr>
                <w:rFonts w:ascii="宋体" w:hAnsi="宋体"/>
                <w:szCs w:val="21"/>
                <w:lang w:val="en-US" w:eastAsia="zh-CN"/>
              </w:rPr>
              <w:t>7</w:t>
            </w:r>
            <w:r>
              <w:rPr>
                <w:rFonts w:hint="eastAsia" w:ascii="宋体" w:hAnsi="宋体"/>
                <w:szCs w:val="21"/>
                <w:lang w:val="en-US" w:eastAsia="zh-CN"/>
              </w:rPr>
              <w:t>分。</w:t>
            </w:r>
          </w:p>
          <w:p>
            <w:pPr>
              <w:spacing w:line="336" w:lineRule="auto"/>
              <w:rPr>
                <w:rFonts w:hAnsi="宋体"/>
                <w:szCs w:val="21"/>
              </w:rPr>
            </w:pPr>
            <w:r>
              <w:rPr>
                <w:rFonts w:hint="eastAsia" w:hAnsi="宋体"/>
                <w:szCs w:val="21"/>
              </w:rPr>
              <w:t>第三档次：数据中心平台信息安全、保密措施及对数据来源合法及保证数据的准确性、实时性、更新性等方面未突出重点，针对性差，基本无法满足采购人实际需求的得</w:t>
            </w:r>
            <w:r>
              <w:rPr>
                <w:rFonts w:hAnsi="宋体"/>
                <w:szCs w:val="21"/>
              </w:rPr>
              <w:t>1</w:t>
            </w:r>
            <w:r>
              <w:rPr>
                <w:rFonts w:hint="eastAsia" w:hAnsi="宋体"/>
                <w:szCs w:val="21"/>
              </w:rPr>
              <w:t>分。</w:t>
            </w:r>
          </w:p>
          <w:p>
            <w:pPr>
              <w:spacing w:line="336" w:lineRule="auto"/>
              <w:rPr>
                <w:rFonts w:hAnsi="宋体"/>
                <w:szCs w:val="21"/>
              </w:rPr>
            </w:pPr>
            <w:r>
              <w:rPr>
                <w:rFonts w:hint="eastAsia" w:hAnsi="宋体"/>
                <w:szCs w:val="21"/>
              </w:rPr>
              <w:t>第四档次：未提供数据中心平台信息安全、保密措施的得</w:t>
            </w:r>
            <w:r>
              <w:rPr>
                <w:rFonts w:hAnsi="宋体"/>
                <w:szCs w:val="21"/>
              </w:rPr>
              <w:t>0</w:t>
            </w:r>
            <w:r>
              <w:rPr>
                <w:rFonts w:hint="eastAsia"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line="360" w:lineRule="auto"/>
              <w:rPr>
                <w:rFonts w:hAnsi="宋体"/>
                <w:szCs w:val="21"/>
              </w:rPr>
            </w:pPr>
          </w:p>
        </w:tc>
        <w:tc>
          <w:tcPr>
            <w:tcW w:w="1112" w:type="dxa"/>
            <w:vMerge w:val="continue"/>
            <w:vAlign w:val="center"/>
          </w:tcPr>
          <w:p>
            <w:pPr>
              <w:spacing w:line="360" w:lineRule="auto"/>
              <w:rPr>
                <w:rFonts w:hAnsi="宋体"/>
                <w:szCs w:val="21"/>
              </w:rPr>
            </w:pPr>
          </w:p>
        </w:tc>
        <w:tc>
          <w:tcPr>
            <w:tcW w:w="2432" w:type="dxa"/>
            <w:vMerge w:val="continue"/>
            <w:vAlign w:val="center"/>
          </w:tcPr>
          <w:p>
            <w:pPr>
              <w:spacing w:line="360" w:lineRule="auto"/>
              <w:jc w:val="center"/>
              <w:rPr>
                <w:rFonts w:hAnsi="宋体"/>
                <w:szCs w:val="21"/>
              </w:rPr>
            </w:pPr>
          </w:p>
        </w:tc>
        <w:tc>
          <w:tcPr>
            <w:tcW w:w="5103" w:type="dxa"/>
            <w:vAlign w:val="center"/>
          </w:tcPr>
          <w:p>
            <w:pPr>
              <w:spacing w:line="360" w:lineRule="auto"/>
              <w:rPr>
                <w:rFonts w:hAnsi="宋体"/>
                <w:b/>
                <w:bCs/>
                <w:szCs w:val="21"/>
              </w:rPr>
            </w:pPr>
            <w:r>
              <w:rPr>
                <w:rFonts w:hint="eastAsia" w:hAnsi="宋体"/>
                <w:b/>
                <w:bCs/>
                <w:szCs w:val="21"/>
              </w:rPr>
              <w:t>时间进度计划安排评审评分（满分</w:t>
            </w:r>
            <w:r>
              <w:rPr>
                <w:rFonts w:hAnsi="宋体"/>
                <w:b/>
                <w:bCs/>
                <w:szCs w:val="21"/>
              </w:rPr>
              <w:t>10</w:t>
            </w:r>
            <w:r>
              <w:rPr>
                <w:rFonts w:hint="eastAsia" w:hAnsi="宋体"/>
                <w:b/>
                <w:bCs/>
                <w:szCs w:val="21"/>
              </w:rPr>
              <w:t>分）</w:t>
            </w:r>
          </w:p>
          <w:p>
            <w:pPr>
              <w:pStyle w:val="5"/>
              <w:spacing w:line="360" w:lineRule="auto"/>
              <w:ind w:firstLine="0"/>
              <w:jc w:val="left"/>
              <w:rPr>
                <w:rFonts w:ascii="宋体" w:hAnsi="宋体"/>
                <w:szCs w:val="21"/>
                <w:lang w:val="en-US" w:eastAsia="zh-CN"/>
              </w:rPr>
            </w:pPr>
            <w:r>
              <w:rPr>
                <w:rFonts w:hint="eastAsia" w:ascii="宋体" w:hAnsi="宋体"/>
                <w:szCs w:val="21"/>
                <w:lang w:val="en-US" w:eastAsia="zh-CN"/>
              </w:rPr>
              <w:t>第一档次：时间进度计划安排完全满足本项目要求，内容完整、安排合理、切实可行、科学规范、针对性强的得</w:t>
            </w:r>
            <w:r>
              <w:rPr>
                <w:rFonts w:ascii="宋体" w:hAnsi="宋体"/>
                <w:szCs w:val="21"/>
                <w:lang w:val="en-US" w:eastAsia="zh-CN"/>
              </w:rPr>
              <w:t>10</w:t>
            </w:r>
            <w:r>
              <w:rPr>
                <w:rFonts w:hint="eastAsia" w:ascii="宋体" w:hAnsi="宋体"/>
                <w:szCs w:val="21"/>
                <w:lang w:val="en-US" w:eastAsia="zh-CN"/>
              </w:rPr>
              <w:t>分。</w:t>
            </w:r>
          </w:p>
          <w:p>
            <w:pPr>
              <w:pStyle w:val="5"/>
              <w:spacing w:line="360" w:lineRule="auto"/>
              <w:ind w:firstLine="0"/>
              <w:jc w:val="left"/>
              <w:rPr>
                <w:rFonts w:ascii="宋体" w:hAnsi="宋体"/>
                <w:szCs w:val="21"/>
                <w:lang w:val="en-US" w:eastAsia="zh-CN"/>
              </w:rPr>
            </w:pPr>
            <w:r>
              <w:rPr>
                <w:rFonts w:hint="eastAsia" w:ascii="宋体" w:hAnsi="宋体"/>
                <w:szCs w:val="21"/>
                <w:lang w:val="en-US" w:eastAsia="zh-CN"/>
              </w:rPr>
              <w:t>第二档次：时间进度计划安排满足本项目要求，内容基本完整、安排较合理、有一定针对性的得</w:t>
            </w:r>
            <w:r>
              <w:rPr>
                <w:rFonts w:ascii="宋体" w:hAnsi="宋体"/>
                <w:szCs w:val="21"/>
                <w:lang w:val="en-US" w:eastAsia="zh-CN"/>
              </w:rPr>
              <w:t>7</w:t>
            </w:r>
            <w:r>
              <w:rPr>
                <w:rFonts w:hint="eastAsia" w:ascii="宋体" w:hAnsi="宋体"/>
                <w:szCs w:val="21"/>
                <w:lang w:val="en-US" w:eastAsia="zh-CN"/>
              </w:rPr>
              <w:t>分。</w:t>
            </w:r>
          </w:p>
          <w:p>
            <w:pPr>
              <w:spacing w:line="360" w:lineRule="auto"/>
              <w:rPr>
                <w:rFonts w:hAnsi="宋体"/>
                <w:szCs w:val="21"/>
              </w:rPr>
            </w:pPr>
            <w:r>
              <w:rPr>
                <w:rFonts w:hint="eastAsia" w:hAnsi="宋体"/>
                <w:szCs w:val="21"/>
              </w:rPr>
              <w:t>第三档次：时间进度计划安排不满足本项目要求，内容缺漏、安排不合理、无可行性、无针对性的得1分。</w:t>
            </w:r>
          </w:p>
          <w:p>
            <w:pPr>
              <w:spacing w:line="360" w:lineRule="auto"/>
            </w:pPr>
            <w:r>
              <w:rPr>
                <w:rFonts w:hint="eastAsia" w:hAnsi="宋体"/>
                <w:szCs w:val="21"/>
              </w:rPr>
              <w:t>第四档次：未提供时间进度计划安排的得0分。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3" w:hRule="atLeast"/>
          <w:jc w:val="center"/>
        </w:trPr>
        <w:tc>
          <w:tcPr>
            <w:tcW w:w="562" w:type="dxa"/>
            <w:vMerge w:val="continue"/>
            <w:vAlign w:val="center"/>
          </w:tcPr>
          <w:p>
            <w:pPr>
              <w:spacing w:line="360" w:lineRule="auto"/>
              <w:rPr>
                <w:rFonts w:hAnsi="宋体"/>
                <w:szCs w:val="21"/>
              </w:rPr>
            </w:pPr>
          </w:p>
        </w:tc>
        <w:tc>
          <w:tcPr>
            <w:tcW w:w="1112" w:type="dxa"/>
            <w:vMerge w:val="continue"/>
            <w:vAlign w:val="center"/>
          </w:tcPr>
          <w:p>
            <w:pPr>
              <w:spacing w:line="360" w:lineRule="auto"/>
              <w:rPr>
                <w:rFonts w:hAnsi="宋体"/>
                <w:szCs w:val="21"/>
              </w:rPr>
            </w:pPr>
          </w:p>
        </w:tc>
        <w:tc>
          <w:tcPr>
            <w:tcW w:w="2432" w:type="dxa"/>
            <w:vMerge w:val="continue"/>
            <w:vAlign w:val="center"/>
          </w:tcPr>
          <w:p>
            <w:pPr>
              <w:spacing w:line="360" w:lineRule="auto"/>
              <w:jc w:val="center"/>
              <w:rPr>
                <w:rFonts w:hAnsi="宋体"/>
                <w:szCs w:val="21"/>
              </w:rPr>
            </w:pPr>
          </w:p>
        </w:tc>
        <w:tc>
          <w:tcPr>
            <w:tcW w:w="5103" w:type="dxa"/>
            <w:vAlign w:val="center"/>
          </w:tcPr>
          <w:p>
            <w:pPr>
              <w:spacing w:line="360" w:lineRule="auto"/>
              <w:rPr>
                <w:rFonts w:hAnsi="宋体"/>
                <w:b/>
                <w:bCs/>
                <w:szCs w:val="21"/>
              </w:rPr>
            </w:pPr>
            <w:r>
              <w:rPr>
                <w:rFonts w:hint="eastAsia" w:hAnsi="宋体"/>
                <w:b/>
                <w:bCs/>
                <w:szCs w:val="21"/>
              </w:rPr>
              <w:t>节能产品或环保产品评审评分（满分</w:t>
            </w:r>
            <w:r>
              <w:rPr>
                <w:rFonts w:hAnsi="宋体"/>
                <w:b/>
                <w:bCs/>
                <w:szCs w:val="21"/>
              </w:rPr>
              <w:t>5</w:t>
            </w:r>
            <w:r>
              <w:rPr>
                <w:rFonts w:hint="eastAsia" w:hAnsi="宋体"/>
                <w:b/>
                <w:bCs/>
                <w:szCs w:val="21"/>
              </w:rPr>
              <w:t>分）</w:t>
            </w:r>
          </w:p>
          <w:p>
            <w:pPr>
              <w:spacing w:line="360" w:lineRule="auto"/>
              <w:rPr>
                <w:rFonts w:hAnsi="宋体"/>
                <w:b/>
                <w:bCs/>
                <w:szCs w:val="21"/>
              </w:rPr>
            </w:pPr>
            <w:r>
              <w:rPr>
                <w:rFonts w:hint="eastAsia" w:hAnsi="宋体"/>
                <w:snapToGrid/>
                <w:kern w:val="2"/>
                <w:szCs w:val="21"/>
              </w:rPr>
              <w:t>若货物为除强制节能产品以外的经国家认定的节能产品或环境标志产品（认定标准详见 第二章 供应商须知 “</w:t>
            </w:r>
            <w:r>
              <w:rPr>
                <w:rFonts w:hAnsi="宋体"/>
                <w:snapToGrid/>
                <w:kern w:val="2"/>
                <w:szCs w:val="21"/>
              </w:rPr>
              <w:t>31.2</w:t>
            </w:r>
            <w:r>
              <w:rPr>
                <w:rFonts w:hint="eastAsia" w:hAnsi="宋体"/>
                <w:snapToGrid/>
                <w:kern w:val="2"/>
                <w:szCs w:val="21"/>
              </w:rPr>
              <w:t>关于节能产品及环境标志产品”），须提供有效期内的节能产品认证证书或环境标志产品认证证书复印件，未提供不得分</w:t>
            </w:r>
            <w:r>
              <w:rPr>
                <w:rFonts w:hint="eastAsia"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pPr>
              <w:spacing w:line="360" w:lineRule="auto"/>
              <w:rPr>
                <w:rFonts w:hAnsi="宋体"/>
                <w:szCs w:val="21"/>
              </w:rPr>
            </w:pPr>
          </w:p>
        </w:tc>
        <w:tc>
          <w:tcPr>
            <w:tcW w:w="1112" w:type="dxa"/>
            <w:vMerge w:val="continue"/>
            <w:vAlign w:val="center"/>
          </w:tcPr>
          <w:p>
            <w:pPr>
              <w:spacing w:line="360" w:lineRule="auto"/>
              <w:rPr>
                <w:rFonts w:hAnsi="宋体"/>
                <w:szCs w:val="21"/>
              </w:rPr>
            </w:pPr>
          </w:p>
        </w:tc>
        <w:tc>
          <w:tcPr>
            <w:tcW w:w="2432" w:type="dxa"/>
            <w:vMerge w:val="restart"/>
            <w:vAlign w:val="center"/>
          </w:tcPr>
          <w:p>
            <w:pPr>
              <w:spacing w:line="360" w:lineRule="auto"/>
              <w:jc w:val="center"/>
              <w:rPr>
                <w:rFonts w:hAnsi="宋体"/>
                <w:szCs w:val="21"/>
              </w:rPr>
            </w:pPr>
            <w:r>
              <w:rPr>
                <w:rFonts w:hint="eastAsia" w:hAnsi="宋体"/>
                <w:szCs w:val="21"/>
              </w:rPr>
              <w:t>商务</w:t>
            </w:r>
            <w:r>
              <w:rPr>
                <w:rFonts w:hAnsi="宋体"/>
                <w:szCs w:val="21"/>
              </w:rPr>
              <w:t>部分</w:t>
            </w:r>
            <w:r>
              <w:rPr>
                <w:rFonts w:hint="eastAsia" w:hAnsi="宋体"/>
                <w:szCs w:val="21"/>
              </w:rPr>
              <w:t>评分</w:t>
            </w:r>
            <w:r>
              <w:rPr>
                <w:rFonts w:hAnsi="宋体"/>
                <w:szCs w:val="21"/>
              </w:rPr>
              <w:t>F</w:t>
            </w:r>
            <w:r>
              <w:rPr>
                <w:rFonts w:hint="eastAsia" w:hAnsi="宋体"/>
                <w:szCs w:val="21"/>
              </w:rPr>
              <w:t>3</w:t>
            </w:r>
          </w:p>
          <w:p>
            <w:pPr>
              <w:spacing w:line="360" w:lineRule="auto"/>
              <w:jc w:val="center"/>
              <w:rPr>
                <w:rFonts w:hAnsi="宋体" w:cs="宋体"/>
                <w:szCs w:val="21"/>
              </w:rPr>
            </w:pPr>
            <w:r>
              <w:rPr>
                <w:rFonts w:hint="eastAsia" w:hAnsi="宋体"/>
                <w:szCs w:val="21"/>
              </w:rPr>
              <w:t>(满分</w:t>
            </w:r>
            <w:r>
              <w:rPr>
                <w:rFonts w:hAnsi="宋体"/>
                <w:szCs w:val="21"/>
              </w:rPr>
              <w:t>2</w:t>
            </w:r>
            <w:r>
              <w:rPr>
                <w:rFonts w:hint="eastAsia" w:hAnsi="宋体"/>
                <w:szCs w:val="21"/>
              </w:rPr>
              <w:t>0</w:t>
            </w:r>
            <w:r>
              <w:rPr>
                <w:rFonts w:hAnsi="宋体"/>
                <w:szCs w:val="21"/>
              </w:rPr>
              <w:t>分</w:t>
            </w:r>
            <w:r>
              <w:rPr>
                <w:rFonts w:hint="eastAsia" w:hAnsi="宋体"/>
                <w:szCs w:val="21"/>
              </w:rPr>
              <w:t>)</w:t>
            </w:r>
          </w:p>
        </w:tc>
        <w:tc>
          <w:tcPr>
            <w:tcW w:w="5103" w:type="dxa"/>
            <w:vAlign w:val="center"/>
          </w:tcPr>
          <w:p>
            <w:pPr>
              <w:spacing w:line="360" w:lineRule="auto"/>
              <w:rPr>
                <w:rFonts w:hAnsi="宋体"/>
                <w:b/>
                <w:bCs/>
                <w:szCs w:val="21"/>
              </w:rPr>
            </w:pPr>
            <w:r>
              <w:rPr>
                <w:rFonts w:hint="eastAsia" w:hAnsi="宋体"/>
                <w:b/>
                <w:bCs/>
                <w:szCs w:val="21"/>
              </w:rPr>
              <w:t>服务承诺评审评分（满分5分）</w:t>
            </w:r>
          </w:p>
          <w:p>
            <w:pPr>
              <w:pStyle w:val="5"/>
              <w:spacing w:line="360" w:lineRule="auto"/>
              <w:ind w:firstLine="0"/>
              <w:jc w:val="left"/>
              <w:rPr>
                <w:rFonts w:ascii="宋体" w:hAnsi="宋体"/>
                <w:szCs w:val="21"/>
                <w:lang w:val="en-US" w:eastAsia="zh-CN"/>
              </w:rPr>
            </w:pPr>
            <w:r>
              <w:rPr>
                <w:rFonts w:hint="eastAsia" w:ascii="宋体" w:hAnsi="宋体"/>
                <w:szCs w:val="21"/>
                <w:lang w:val="en-US" w:eastAsia="zh-CN"/>
              </w:rPr>
              <w:t>第一档次：服务承诺优于磋商文件要求，可操作性强，响应及时，内容丰富的得5分。</w:t>
            </w:r>
          </w:p>
          <w:p>
            <w:pPr>
              <w:pStyle w:val="5"/>
              <w:spacing w:line="360" w:lineRule="auto"/>
              <w:ind w:firstLine="0"/>
              <w:jc w:val="left"/>
              <w:rPr>
                <w:rFonts w:ascii="宋体" w:hAnsi="宋体"/>
                <w:szCs w:val="21"/>
                <w:lang w:val="en-US" w:eastAsia="zh-CN"/>
              </w:rPr>
            </w:pPr>
            <w:r>
              <w:rPr>
                <w:rFonts w:hint="eastAsia" w:ascii="宋体" w:hAnsi="宋体"/>
                <w:szCs w:val="21"/>
                <w:lang w:val="en-US" w:eastAsia="zh-CN"/>
              </w:rPr>
              <w:t>第二档次：服务承诺满足磋商文件要求，可操作性较强，响应较快，内容较丰富的得3分。</w:t>
            </w:r>
          </w:p>
          <w:p>
            <w:pPr>
              <w:pStyle w:val="5"/>
              <w:spacing w:line="360" w:lineRule="auto"/>
              <w:ind w:firstLine="0"/>
              <w:jc w:val="left"/>
              <w:rPr>
                <w:rFonts w:ascii="宋体" w:hAnsi="宋体"/>
                <w:szCs w:val="21"/>
                <w:lang w:val="en-US" w:eastAsia="zh-CN"/>
              </w:rPr>
            </w:pPr>
            <w:r>
              <w:rPr>
                <w:rFonts w:hint="eastAsia" w:ascii="宋体" w:hAnsi="宋体"/>
                <w:szCs w:val="21"/>
                <w:lang w:val="en-US" w:eastAsia="zh-CN"/>
              </w:rPr>
              <w:t>第三档次：服务承诺基本满足磋商文件要求，可操作性一般，响应较慢，内容尚可的得1分。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562" w:type="dxa"/>
            <w:vMerge w:val="continue"/>
            <w:vAlign w:val="center"/>
          </w:tcPr>
          <w:p>
            <w:pPr>
              <w:spacing w:line="360" w:lineRule="auto"/>
              <w:rPr>
                <w:rFonts w:hAnsi="宋体"/>
                <w:szCs w:val="21"/>
              </w:rPr>
            </w:pPr>
          </w:p>
        </w:tc>
        <w:tc>
          <w:tcPr>
            <w:tcW w:w="1112" w:type="dxa"/>
            <w:vMerge w:val="continue"/>
            <w:vAlign w:val="center"/>
          </w:tcPr>
          <w:p>
            <w:pPr>
              <w:spacing w:line="360" w:lineRule="auto"/>
              <w:rPr>
                <w:rFonts w:hAnsi="宋体"/>
                <w:szCs w:val="21"/>
              </w:rPr>
            </w:pPr>
          </w:p>
        </w:tc>
        <w:tc>
          <w:tcPr>
            <w:tcW w:w="2432" w:type="dxa"/>
            <w:vMerge w:val="continue"/>
            <w:vAlign w:val="center"/>
          </w:tcPr>
          <w:p>
            <w:pPr>
              <w:spacing w:line="360" w:lineRule="auto"/>
              <w:rPr>
                <w:rFonts w:hAnsi="宋体" w:cs="宋体"/>
                <w:szCs w:val="21"/>
              </w:rPr>
            </w:pPr>
          </w:p>
        </w:tc>
        <w:tc>
          <w:tcPr>
            <w:tcW w:w="5103" w:type="dxa"/>
            <w:vAlign w:val="center"/>
          </w:tcPr>
          <w:p>
            <w:pPr>
              <w:spacing w:line="360" w:lineRule="auto"/>
              <w:rPr>
                <w:rFonts w:hAnsi="宋体"/>
                <w:b/>
                <w:bCs/>
                <w:szCs w:val="21"/>
              </w:rPr>
            </w:pPr>
            <w:r>
              <w:rPr>
                <w:rFonts w:hint="eastAsia" w:hAnsi="宋体"/>
                <w:b/>
                <w:bCs/>
                <w:szCs w:val="21"/>
              </w:rPr>
              <w:t>业绩评审（满分1</w:t>
            </w:r>
            <w:r>
              <w:rPr>
                <w:rFonts w:hAnsi="宋体"/>
                <w:b/>
                <w:bCs/>
                <w:szCs w:val="21"/>
              </w:rPr>
              <w:t>5</w:t>
            </w:r>
            <w:r>
              <w:rPr>
                <w:rFonts w:hint="eastAsia" w:hAnsi="宋体"/>
                <w:b/>
                <w:bCs/>
                <w:szCs w:val="21"/>
              </w:rPr>
              <w:t>分）</w:t>
            </w:r>
          </w:p>
          <w:p>
            <w:pPr>
              <w:spacing w:line="360" w:lineRule="auto"/>
              <w:rPr>
                <w:rFonts w:hAnsi="宋体"/>
                <w:szCs w:val="21"/>
              </w:rPr>
            </w:pPr>
            <w:r>
              <w:rPr>
                <w:rFonts w:hint="eastAsia" w:hAnsi="宋体"/>
                <w:szCs w:val="21"/>
              </w:rPr>
              <w:t>根据供应商2018年1月1日至本项目响应文件提交截止时间前已完成或正在实施的类似项目建设案例进行评价打分，每提供一个类似项目建设案例得</w:t>
            </w:r>
            <w:r>
              <w:rPr>
                <w:rFonts w:hAnsi="宋体"/>
                <w:szCs w:val="21"/>
              </w:rPr>
              <w:t>5</w:t>
            </w:r>
            <w:r>
              <w:rPr>
                <w:rFonts w:hint="eastAsia" w:hAnsi="宋体"/>
                <w:szCs w:val="21"/>
              </w:rPr>
              <w:t>分，满分15分。</w:t>
            </w:r>
          </w:p>
          <w:p>
            <w:pPr>
              <w:spacing w:line="360" w:lineRule="auto"/>
              <w:rPr>
                <w:rFonts w:hAnsi="宋体"/>
                <w:szCs w:val="21"/>
              </w:rPr>
            </w:pPr>
            <w:r>
              <w:rPr>
                <w:rFonts w:hint="eastAsia" w:hAnsi="宋体"/>
                <w:szCs w:val="21"/>
              </w:rPr>
              <w:t>注：响应文件中须提供业绩列表及相对应的业绩证明材料，业绩证明材料为中标/成交通知书或合同或业主证明；无证明材料或未按要求提供证明材料或证明材料无法体现内容的，不予认可</w:t>
            </w:r>
            <w:r>
              <w:rPr>
                <w:rFonts w:hAnsi="宋体"/>
                <w:bCs/>
                <w:szCs w:val="21"/>
              </w:rPr>
              <w:t>。</w:t>
            </w:r>
          </w:p>
        </w:tc>
      </w:tr>
    </w:tbl>
    <w:p>
      <w:pPr>
        <w:pStyle w:val="110"/>
        <w:widowControl/>
        <w:spacing w:before="312" w:beforeLines="100" w:line="360" w:lineRule="auto"/>
        <w:rPr>
          <w:rFonts w:ascii="黑体" w:hAnsi="黑体"/>
          <w:b/>
          <w:bCs/>
        </w:rPr>
      </w:pPr>
      <w:bookmarkStart w:id="357" w:name="_Toc72489596"/>
      <w:r>
        <w:rPr>
          <w:rFonts w:ascii="黑体" w:hAnsi="黑体"/>
          <w:b/>
          <w:bCs/>
        </w:rPr>
        <w:t>1、评审原则及方法</w:t>
      </w:r>
      <w:bookmarkEnd w:id="357"/>
    </w:p>
    <w:p>
      <w:pPr>
        <w:keepNext/>
        <w:keepLines/>
        <w:widowControl/>
        <w:spacing w:line="360" w:lineRule="auto"/>
        <w:ind w:firstLine="420" w:firstLineChars="200"/>
        <w:rPr>
          <w:rFonts w:hAnsi="宋体"/>
          <w:szCs w:val="21"/>
        </w:rPr>
      </w:pPr>
      <w:r>
        <w:rPr>
          <w:rFonts w:hint="eastAsia" w:hAnsi="宋体"/>
          <w:szCs w:val="21"/>
        </w:rPr>
        <w:t>1.1评审原则：磋商小组成员应当按照客观、公正、审慎的原则，根据磋商文件规定的评审程序、评审方法和评审标准进行独立评审。未实质性响应竞争性磋商文件的响应文件按无效响应处理，磋商小组将告知提交响应文件的供应商，供应商不得再继续参加磋商。</w:t>
      </w:r>
    </w:p>
    <w:p>
      <w:pPr>
        <w:spacing w:line="360" w:lineRule="auto"/>
        <w:ind w:firstLine="420" w:firstLineChars="200"/>
        <w:rPr>
          <w:rFonts w:hAnsi="宋体"/>
          <w:szCs w:val="21"/>
        </w:rPr>
      </w:pPr>
      <w:r>
        <w:rPr>
          <w:rFonts w:hint="eastAsia" w:hAnsi="宋体"/>
          <w:szCs w:val="21"/>
        </w:rPr>
        <w:t>1.2评审方法：综合评分法，是指响应文件满足磋商文件全部实质性要求且按评审因素的量化指标评审得分最高的供应商为成交候选供应商的评审方法。</w:t>
      </w:r>
    </w:p>
    <w:p>
      <w:pPr>
        <w:pStyle w:val="110"/>
        <w:keepNext w:val="0"/>
        <w:keepLines w:val="0"/>
        <w:spacing w:line="360" w:lineRule="auto"/>
        <w:rPr>
          <w:rFonts w:ascii="黑体" w:hAnsi="黑体"/>
          <w:b/>
          <w:bCs/>
        </w:rPr>
      </w:pPr>
      <w:bookmarkStart w:id="358" w:name="_Toc72489597"/>
      <w:r>
        <w:rPr>
          <w:rFonts w:hint="eastAsia" w:ascii="黑体" w:hAnsi="黑体"/>
          <w:b/>
          <w:bCs/>
        </w:rPr>
        <w:t>2、实质性评审</w:t>
      </w:r>
      <w:bookmarkEnd w:id="358"/>
    </w:p>
    <w:p>
      <w:pPr>
        <w:spacing w:line="360" w:lineRule="auto"/>
        <w:ind w:firstLine="420" w:firstLineChars="200"/>
        <w:rPr>
          <w:rFonts w:hAnsi="宋体"/>
          <w:szCs w:val="21"/>
        </w:rPr>
      </w:pPr>
      <w:r>
        <w:rPr>
          <w:rFonts w:hint="eastAsia" w:hAnsi="宋体"/>
          <w:szCs w:val="21"/>
        </w:rPr>
        <w:t>2.1磋商小组</w:t>
      </w:r>
      <w:r>
        <w:rPr>
          <w:rFonts w:hAnsi="宋体"/>
          <w:szCs w:val="21"/>
        </w:rPr>
        <w:t>依据</w:t>
      </w:r>
      <w:r>
        <w:rPr>
          <w:rFonts w:hint="eastAsia" w:hAnsi="宋体"/>
          <w:szCs w:val="21"/>
        </w:rPr>
        <w:t>竞争性磋商文件第六章《评审方法》“2.1实质性评审标准”</w:t>
      </w:r>
      <w:r>
        <w:rPr>
          <w:rFonts w:hAnsi="宋体"/>
          <w:szCs w:val="21"/>
        </w:rPr>
        <w:t>规定</w:t>
      </w:r>
      <w:r>
        <w:rPr>
          <w:rFonts w:hint="eastAsia" w:hAnsi="宋体"/>
          <w:szCs w:val="21"/>
        </w:rPr>
        <w:t>的内容</w:t>
      </w:r>
      <w:r>
        <w:rPr>
          <w:rFonts w:hAnsi="宋体"/>
          <w:szCs w:val="21"/>
        </w:rPr>
        <w:t>，对</w:t>
      </w:r>
      <w:r>
        <w:rPr>
          <w:rFonts w:hint="eastAsia" w:hAnsi="宋体"/>
          <w:szCs w:val="21"/>
        </w:rPr>
        <w:t>供应商的响应文件</w:t>
      </w:r>
      <w:r>
        <w:rPr>
          <w:rFonts w:hAnsi="宋体"/>
          <w:szCs w:val="21"/>
        </w:rPr>
        <w:t>进行审查，以确定</w:t>
      </w:r>
      <w:r>
        <w:rPr>
          <w:rFonts w:hint="eastAsia" w:hAnsi="宋体"/>
          <w:szCs w:val="21"/>
        </w:rPr>
        <w:t>供应商</w:t>
      </w:r>
      <w:r>
        <w:rPr>
          <w:rFonts w:hAnsi="宋体"/>
          <w:szCs w:val="21"/>
        </w:rPr>
        <w:t>是否具备</w:t>
      </w:r>
      <w:r>
        <w:rPr>
          <w:rFonts w:hint="eastAsia" w:hAnsi="宋体"/>
          <w:szCs w:val="21"/>
        </w:rPr>
        <w:t>参加本项目竞争性磋商采购活动的资格，未实质性响应竞争性磋商文件的响应文件按无效响应处理，磋商小组将告知提交响应文件的供应商，供应商不得再继续参加磋商。</w:t>
      </w:r>
    </w:p>
    <w:p>
      <w:pPr>
        <w:pStyle w:val="110"/>
        <w:keepNext w:val="0"/>
        <w:keepLines w:val="0"/>
        <w:spacing w:line="360" w:lineRule="auto"/>
        <w:rPr>
          <w:rFonts w:ascii="黑体" w:hAnsi="黑体"/>
          <w:b/>
          <w:bCs/>
        </w:rPr>
      </w:pPr>
      <w:bookmarkStart w:id="359" w:name="_Toc72489598"/>
      <w:r>
        <w:rPr>
          <w:rFonts w:hint="eastAsia" w:ascii="黑体" w:hAnsi="黑体"/>
          <w:b/>
          <w:bCs/>
        </w:rPr>
        <w:t>3、磋商及最后报价</w:t>
      </w:r>
      <w:bookmarkEnd w:id="359"/>
    </w:p>
    <w:p>
      <w:pPr>
        <w:spacing w:line="360" w:lineRule="auto"/>
        <w:ind w:firstLine="420" w:firstLineChars="200"/>
        <w:rPr>
          <w:rFonts w:hAnsi="宋体"/>
          <w:szCs w:val="21"/>
        </w:rPr>
      </w:pPr>
      <w:r>
        <w:rPr>
          <w:rFonts w:hint="eastAsia" w:hAnsi="宋体"/>
          <w:szCs w:val="21"/>
        </w:rPr>
        <w:t>3.1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firstLineChars="200"/>
        <w:rPr>
          <w:rFonts w:hAnsi="宋体"/>
          <w:szCs w:val="21"/>
        </w:rPr>
      </w:pPr>
      <w:r>
        <w:rPr>
          <w:rFonts w:hint="eastAsia" w:hAnsi="宋体"/>
          <w:szCs w:val="21"/>
        </w:rPr>
        <w:t>3.2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pPr>
        <w:spacing w:line="360" w:lineRule="auto"/>
        <w:ind w:firstLine="420" w:firstLineChars="200"/>
        <w:rPr>
          <w:rFonts w:hAnsi="宋体"/>
          <w:szCs w:val="21"/>
        </w:rPr>
      </w:pPr>
      <w:r>
        <w:rPr>
          <w:rFonts w:hint="eastAsia" w:hAnsi="宋体"/>
          <w:szCs w:val="21"/>
        </w:rPr>
        <w:t>3.3磋商小组所有成员集中与单一供应商分别进行磋商，并给予所有参加磋商的供应商平等的磋商机会。在磋商过程中，磋商小组可以根据磋商文件和磋商情况实质性变动采购需求中的技术、服务要求以及合同草案条款，但不得变动磋商文件中的其他内容。实质性变动的内容，须经采购人代表确认。</w:t>
      </w:r>
    </w:p>
    <w:p>
      <w:pPr>
        <w:spacing w:line="360" w:lineRule="auto"/>
        <w:ind w:firstLine="420" w:firstLineChars="200"/>
        <w:rPr>
          <w:rFonts w:hAnsi="宋体"/>
          <w:szCs w:val="21"/>
        </w:rPr>
      </w:pPr>
      <w:r>
        <w:rPr>
          <w:rFonts w:hint="eastAsia" w:hAnsi="宋体"/>
          <w:szCs w:val="21"/>
        </w:rPr>
        <w:t>3.4对磋商文件作出的实质性变动是磋商文件的有效组成部分，磋商小组将及时以书面形式同时通知所有参加磋商的供应商。</w:t>
      </w:r>
    </w:p>
    <w:p>
      <w:pPr>
        <w:spacing w:line="360" w:lineRule="auto"/>
        <w:ind w:firstLine="420" w:firstLineChars="200"/>
        <w:rPr>
          <w:rFonts w:hAnsi="宋体"/>
          <w:szCs w:val="21"/>
        </w:rPr>
      </w:pPr>
      <w:r>
        <w:rPr>
          <w:rFonts w:hint="eastAsia" w:hAnsi="宋体"/>
          <w:szCs w:val="21"/>
        </w:rPr>
        <w:t>3.5磋商结束后，磋商小组将要求所有实质性响应的供应商在规定时间内提交最后报价，提交最后报价的供应商不得少于3家，最后报价应由法定代表人或其委托代理人签字，在规定的时间统一密封递交，最后报价是供应商响应文件的有效组成部分。在提交最后报价之前，供应商可以根据磋商情况退出磋商，其磋商保证金按规定的时间予以退还。</w:t>
      </w:r>
    </w:p>
    <w:p>
      <w:pPr>
        <w:pStyle w:val="110"/>
        <w:keepNext w:val="0"/>
        <w:keepLines w:val="0"/>
        <w:spacing w:line="360" w:lineRule="auto"/>
        <w:rPr>
          <w:rFonts w:ascii="黑体" w:hAnsi="黑体"/>
          <w:b/>
          <w:bCs/>
        </w:rPr>
      </w:pPr>
      <w:bookmarkStart w:id="360" w:name="_Toc72489599"/>
      <w:r>
        <w:rPr>
          <w:rFonts w:hint="eastAsia" w:ascii="黑体" w:hAnsi="黑体"/>
          <w:b/>
          <w:bCs/>
        </w:rPr>
        <w:t>4、详细评审及统分原则</w:t>
      </w:r>
      <w:bookmarkEnd w:id="360"/>
    </w:p>
    <w:p>
      <w:pPr>
        <w:spacing w:line="360" w:lineRule="auto"/>
        <w:ind w:firstLine="420" w:firstLineChars="200"/>
        <w:rPr>
          <w:rFonts w:hAnsi="宋体"/>
          <w:szCs w:val="21"/>
        </w:rPr>
      </w:pPr>
      <w:r>
        <w:rPr>
          <w:rFonts w:hint="eastAsia" w:hAnsi="宋体"/>
          <w:szCs w:val="21"/>
        </w:rPr>
        <w:t>4.1磋商小组各成员将按照竞争性磋商文件中规定的详细评审标准独立对每个有效响应的文件进行评价、打分，然后汇总每个供应商每项评分因素的得分，最终按以下公式计算出各供应商的评审得分。</w:t>
      </w:r>
    </w:p>
    <w:p>
      <w:pPr>
        <w:spacing w:line="360" w:lineRule="auto"/>
        <w:ind w:firstLine="420" w:firstLineChars="200"/>
        <w:rPr>
          <w:rFonts w:hAnsi="宋体"/>
          <w:szCs w:val="21"/>
        </w:rPr>
      </w:pPr>
      <w:r>
        <w:rPr>
          <w:rFonts w:hint="eastAsia" w:hAnsi="宋体"/>
          <w:szCs w:val="21"/>
        </w:rPr>
        <w:t>评审得分=F1＋F2＋F3</w:t>
      </w:r>
    </w:p>
    <w:p>
      <w:pPr>
        <w:spacing w:line="360" w:lineRule="auto"/>
        <w:ind w:firstLine="420" w:firstLineChars="200"/>
        <w:rPr>
          <w:rFonts w:hAnsi="宋体"/>
          <w:szCs w:val="21"/>
        </w:rPr>
      </w:pPr>
      <w:r>
        <w:rPr>
          <w:rFonts w:hint="eastAsia" w:hAnsi="宋体"/>
          <w:szCs w:val="21"/>
        </w:rPr>
        <w:t>其中：F1、F2、F3分别为价格评分、技术部分评分、商务部分评分3项评审因素的汇总得分。</w:t>
      </w:r>
    </w:p>
    <w:p>
      <w:pPr>
        <w:spacing w:line="360" w:lineRule="auto"/>
        <w:ind w:firstLine="420" w:firstLineChars="200"/>
        <w:rPr>
          <w:rFonts w:hAnsi="宋体"/>
          <w:szCs w:val="21"/>
        </w:rPr>
      </w:pPr>
      <w:r>
        <w:rPr>
          <w:rFonts w:hint="eastAsia" w:hAnsi="宋体"/>
          <w:szCs w:val="21"/>
        </w:rPr>
        <w:t>4.2磋商小组成员要依法独立审查，并对审查意见承担个人责任。磋商小组成员对需要共同认定的事项存在争议的，按照少数服从多数的原则做出结论。持不同意见的磋商小组成员应当在评审报告上签署不同意见并说明理由，否则视为同意。</w:t>
      </w:r>
    </w:p>
    <w:p>
      <w:pPr>
        <w:spacing w:line="360" w:lineRule="auto"/>
        <w:ind w:firstLine="420" w:firstLineChars="200"/>
        <w:rPr>
          <w:rFonts w:hAnsi="宋体"/>
          <w:szCs w:val="21"/>
        </w:rPr>
      </w:pPr>
      <w:r>
        <w:rPr>
          <w:rFonts w:hint="eastAsia" w:hAnsi="宋体"/>
          <w:szCs w:val="21"/>
        </w:rPr>
        <w:t>4.3磋商小组对供应商的价格分等客观评分项的评分应当一致，对其他需要借助专业知识评判的主观评分项，应当严格按照评分细则公正评分。</w:t>
      </w:r>
    </w:p>
    <w:p>
      <w:pPr>
        <w:spacing w:line="360" w:lineRule="auto"/>
        <w:ind w:firstLine="420" w:firstLineChars="200"/>
        <w:rPr>
          <w:rFonts w:hAnsi="宋体"/>
          <w:szCs w:val="21"/>
        </w:rPr>
      </w:pPr>
      <w:r>
        <w:rPr>
          <w:rFonts w:hint="eastAsia" w:hAnsi="宋体"/>
          <w:szCs w:val="21"/>
        </w:rPr>
        <w:t>4.4供应商各项评分因素得分为该项因素各成员评分的算术平均值（保留小数点后两位），小数点后第三位“四舍五入”。</w:t>
      </w:r>
    </w:p>
    <w:p>
      <w:pPr>
        <w:pStyle w:val="110"/>
        <w:keepNext w:val="0"/>
        <w:keepLines w:val="0"/>
        <w:spacing w:line="360" w:lineRule="auto"/>
        <w:rPr>
          <w:rFonts w:ascii="黑体" w:hAnsi="黑体"/>
          <w:b/>
          <w:bCs/>
        </w:rPr>
      </w:pPr>
      <w:bookmarkStart w:id="361" w:name="_Toc72489600"/>
      <w:r>
        <w:rPr>
          <w:rFonts w:hint="eastAsia" w:ascii="黑体" w:hAnsi="黑体"/>
          <w:b/>
          <w:bCs/>
        </w:rPr>
        <w:t>5、推荐成交候选供应商及确定成交供应商</w:t>
      </w:r>
      <w:bookmarkEnd w:id="361"/>
    </w:p>
    <w:p>
      <w:pPr>
        <w:spacing w:line="360" w:lineRule="auto"/>
        <w:ind w:firstLine="420" w:firstLineChars="200"/>
        <w:rPr>
          <w:rFonts w:hAnsi="宋体"/>
          <w:szCs w:val="21"/>
        </w:rPr>
      </w:pPr>
      <w:r>
        <w:rPr>
          <w:rFonts w:hint="eastAsia" w:hAnsi="宋体"/>
          <w:szCs w:val="21"/>
        </w:rPr>
        <w:t>5.1磋商小组根据综合评分情况，按照评审得分由高到低顺序推荐3名以上成交候选供应商，并编写评审报告。评审得分相同的，按照最后报价（符合中小企业划分标准或残疾人福利性单位或监狱企业用扣除后的价格参与评审）由低到高的顺序推荐。评审得分且最后报价相同的，按照技术指标优劣顺序推荐。</w:t>
      </w:r>
    </w:p>
    <w:p>
      <w:pPr>
        <w:spacing w:line="360" w:lineRule="auto"/>
        <w:ind w:firstLine="420" w:firstLineChars="200"/>
        <w:rPr>
          <w:rFonts w:hAnsi="宋体"/>
          <w:szCs w:val="21"/>
        </w:rPr>
      </w:pPr>
      <w:r>
        <w:rPr>
          <w:rFonts w:hint="eastAsia" w:hAnsi="宋体"/>
          <w:szCs w:val="21"/>
        </w:rPr>
        <w:t>5.2采购人从评审报告提出的成交候选供应商中，按照排序由高到低的原则确定成交供应商。</w:t>
      </w:r>
    </w:p>
    <w:p/>
    <w:p/>
    <w:p/>
    <w:p/>
    <w:p/>
    <w:p/>
    <w:p/>
    <w:p/>
    <w:p/>
    <w:p/>
    <w:p/>
    <w:p/>
    <w:p/>
    <w:p>
      <w:pPr>
        <w:pStyle w:val="3"/>
        <w:widowControl/>
        <w:spacing w:before="240" w:after="240"/>
        <w:rPr>
          <w:rFonts w:ascii="Times New Roman" w:hAnsi="Times New Roman" w:eastAsia="黑体"/>
          <w:sz w:val="36"/>
          <w:szCs w:val="36"/>
          <w:lang w:val="zh-CN" w:eastAsia="zh-CN"/>
        </w:rPr>
      </w:pPr>
      <w:bookmarkStart w:id="362" w:name="_Toc72489601"/>
      <w:r>
        <w:rPr>
          <w:rFonts w:hint="eastAsia" w:ascii="Times New Roman" w:hAnsi="Times New Roman" w:eastAsia="黑体"/>
          <w:sz w:val="36"/>
          <w:szCs w:val="36"/>
          <w:lang w:val="zh-CN" w:eastAsia="zh-CN"/>
        </w:rPr>
        <w:t>竞争性磋商承诺书</w:t>
      </w:r>
      <w:bookmarkEnd w:id="362"/>
    </w:p>
    <w:p>
      <w:pPr>
        <w:pStyle w:val="15"/>
        <w:spacing w:line="0" w:lineRule="atLeast"/>
        <w:jc w:val="center"/>
        <w:rPr>
          <w:rFonts w:hAnsi="宋体"/>
          <w:b/>
          <w:sz w:val="24"/>
        </w:r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0" w:type="dxa"/>
            <w:vAlign w:val="center"/>
          </w:tcPr>
          <w:p>
            <w:pPr>
              <w:spacing w:line="400" w:lineRule="exact"/>
              <w:rPr>
                <w:rFonts w:hAnsi="宋体" w:cs="宋体"/>
                <w:sz w:val="22"/>
                <w:szCs w:val="22"/>
              </w:rPr>
            </w:pPr>
            <w:r>
              <w:rPr>
                <w:rFonts w:hint="eastAsia" w:hAnsi="宋体" w:cs="宋体"/>
                <w:sz w:val="22"/>
                <w:szCs w:val="22"/>
              </w:rPr>
              <w:t>项目名称：</w:t>
            </w:r>
            <w:r>
              <w:rPr>
                <w:rFonts w:hint="eastAsia" w:hAnsi="宋体" w:cs="宋体"/>
                <w:bCs/>
                <w:spacing w:val="-4"/>
                <w:szCs w:val="21"/>
              </w:rPr>
              <w:t>政务服务中心数据平台建设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0" w:type="dxa"/>
            <w:vAlign w:val="center"/>
          </w:tcPr>
          <w:p>
            <w:pPr>
              <w:spacing w:line="400" w:lineRule="exact"/>
              <w:rPr>
                <w:rFonts w:hAnsi="宋体" w:cs="宋体"/>
                <w:bCs/>
                <w:sz w:val="22"/>
                <w:szCs w:val="22"/>
              </w:rPr>
            </w:pPr>
            <w:r>
              <w:rPr>
                <w:rFonts w:hint="eastAsia" w:hAnsi="宋体" w:cs="宋体"/>
                <w:sz w:val="22"/>
                <w:szCs w:val="22"/>
              </w:rPr>
              <w:t>项目编号：</w:t>
            </w:r>
            <w:r>
              <w:rPr>
                <w:rFonts w:hAnsi="宋体" w:cs="宋体"/>
                <w:sz w:val="22"/>
                <w:szCs w:val="22"/>
              </w:rPr>
              <w:t>KCFW-2021-3890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0" w:type="dxa"/>
          </w:tcPr>
          <w:p>
            <w:pPr>
              <w:rPr>
                <w:rFonts w:hAnsi="宋体" w:cs="宋体"/>
                <w:sz w:val="22"/>
                <w:szCs w:val="22"/>
              </w:rPr>
            </w:pPr>
          </w:p>
          <w:p>
            <w:pPr>
              <w:rPr>
                <w:rFonts w:hAnsi="宋体" w:cs="宋体"/>
                <w:sz w:val="22"/>
                <w:szCs w:val="22"/>
              </w:rPr>
            </w:pPr>
            <w:r>
              <w:rPr>
                <w:rFonts w:hint="eastAsia" w:hAnsi="宋体" w:cs="宋体"/>
                <w:sz w:val="22"/>
                <w:szCs w:val="22"/>
              </w:rPr>
              <w:t>承诺内容：</w:t>
            </w: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p>
            <w:pPr>
              <w:rPr>
                <w:rFonts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0" w:type="dxa"/>
            <w:vAlign w:val="center"/>
          </w:tcPr>
          <w:p>
            <w:pPr>
              <w:spacing w:line="360" w:lineRule="auto"/>
              <w:rPr>
                <w:rFonts w:hAnsi="宋体" w:cs="宋体"/>
                <w:sz w:val="22"/>
                <w:szCs w:val="22"/>
              </w:rPr>
            </w:pPr>
            <w:r>
              <w:rPr>
                <w:rFonts w:hint="eastAsia" w:hAnsi="宋体" w:cs="宋体"/>
                <w:kern w:val="0"/>
                <w:sz w:val="22"/>
                <w:szCs w:val="22"/>
              </w:rPr>
              <w:t>最终</w:t>
            </w:r>
            <w:r>
              <w:rPr>
                <w:rFonts w:hint="eastAsia" w:hAnsi="宋体" w:cs="宋体"/>
                <w:sz w:val="22"/>
                <w:szCs w:val="22"/>
              </w:rPr>
              <w:t>报价：（小写）￥</w:t>
            </w:r>
            <w:r>
              <w:rPr>
                <w:rFonts w:hint="eastAsia" w:hAnsi="宋体" w:cs="宋体"/>
                <w:sz w:val="22"/>
                <w:szCs w:val="22"/>
                <w:u w:val="single"/>
              </w:rPr>
              <w:t xml:space="preserve">          </w:t>
            </w:r>
            <w:r>
              <w:rPr>
                <w:rFonts w:hint="eastAsia" w:hAnsi="宋体" w:cs="宋体"/>
                <w:sz w:val="22"/>
                <w:szCs w:val="22"/>
              </w:rPr>
              <w:t xml:space="preserve">元 </w:t>
            </w:r>
            <w:r>
              <w:rPr>
                <w:rFonts w:hAnsi="宋体" w:cs="宋体"/>
                <w:sz w:val="22"/>
                <w:szCs w:val="22"/>
              </w:rPr>
              <w:t xml:space="preserve"> </w:t>
            </w:r>
            <w:r>
              <w:rPr>
                <w:rFonts w:hint="eastAsia" w:hAnsi="宋体" w:cs="宋体"/>
                <w:sz w:val="22"/>
                <w:szCs w:val="22"/>
              </w:rPr>
              <w:t>大写：人民币</w:t>
            </w:r>
            <w:r>
              <w:rPr>
                <w:rFonts w:hint="eastAsia" w:hAnsi="宋体" w:cs="宋体"/>
                <w:sz w:val="22"/>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0" w:type="dxa"/>
            <w:vAlign w:val="center"/>
          </w:tcPr>
          <w:p>
            <w:pPr>
              <w:spacing w:line="360" w:lineRule="auto"/>
              <w:rPr>
                <w:rFonts w:hAnsi="宋体" w:cs="宋体"/>
                <w:sz w:val="22"/>
                <w:szCs w:val="22"/>
              </w:rPr>
            </w:pPr>
            <w:r>
              <w:rPr>
                <w:rFonts w:hint="eastAsia" w:hAnsi="宋体" w:cs="宋体"/>
                <w:sz w:val="22"/>
                <w:szCs w:val="22"/>
              </w:rPr>
              <w:t xml:space="preserve">供应商（盖章）：                 </w:t>
            </w:r>
          </w:p>
          <w:p>
            <w:pPr>
              <w:spacing w:line="360" w:lineRule="auto"/>
              <w:rPr>
                <w:rFonts w:hAnsi="宋体" w:cs="宋体"/>
                <w:sz w:val="22"/>
                <w:szCs w:val="22"/>
              </w:rPr>
            </w:pPr>
            <w:r>
              <w:rPr>
                <w:rFonts w:hint="eastAsia" w:hAnsi="宋体" w:cs="宋体"/>
                <w:sz w:val="22"/>
                <w:szCs w:val="22"/>
              </w:rPr>
              <w:t>法定代表人或其委托代理人：</w:t>
            </w:r>
          </w:p>
          <w:p>
            <w:pPr>
              <w:spacing w:line="360" w:lineRule="auto"/>
              <w:rPr>
                <w:rFonts w:hAnsi="宋体" w:cs="宋体"/>
                <w:sz w:val="22"/>
                <w:szCs w:val="22"/>
              </w:rPr>
            </w:pPr>
            <w:r>
              <w:rPr>
                <w:rFonts w:hint="eastAsia" w:hAnsi="宋体" w:cs="宋体"/>
                <w:sz w:val="22"/>
                <w:szCs w:val="22"/>
              </w:rPr>
              <w:t>日   期：</w:t>
            </w:r>
          </w:p>
        </w:tc>
      </w:tr>
    </w:tbl>
    <w:p>
      <w:pPr>
        <w:pStyle w:val="15"/>
        <w:spacing w:line="0" w:lineRule="atLeast"/>
        <w:rPr>
          <w:rFonts w:hAnsi="宋体"/>
          <w:b/>
          <w:sz w:val="24"/>
        </w:rPr>
      </w:pPr>
    </w:p>
    <w:p>
      <w:pPr>
        <w:pStyle w:val="15"/>
        <w:spacing w:line="0" w:lineRule="atLeast"/>
        <w:ind w:firstLine="120"/>
        <w:rPr>
          <w:rFonts w:hAnsi="宋体"/>
          <w:b/>
          <w:sz w:val="22"/>
          <w:szCs w:val="22"/>
        </w:rPr>
      </w:pPr>
      <w:r>
        <w:rPr>
          <w:rFonts w:hint="eastAsia" w:hAnsi="宋体"/>
          <w:b/>
          <w:sz w:val="22"/>
          <w:szCs w:val="22"/>
        </w:rPr>
        <w:t>注：此表不需装入响应文件中，请自备2-3份签字、盖章后带到磋商现场备用。</w:t>
      </w:r>
    </w:p>
    <w:sectPr>
      <w:headerReference r:id="rId3" w:type="default"/>
      <w:footerReference r:id="rId4" w:type="default"/>
      <w:pgSz w:w="11906" w:h="16838"/>
      <w:pgMar w:top="1985"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等线">
    <w:altName w:val="Arial Unicode MS"/>
    <w:panose1 w:val="02010600030101010101"/>
    <w:charset w:val="86"/>
    <w:family w:val="auto"/>
    <w:pitch w:val="default"/>
    <w:sig w:usb0="00000000" w:usb1="00000000" w:usb2="00000016" w:usb3="00000000" w:csb0="0004000F" w:csb1="00000000"/>
  </w:font>
  <w:font w:name="方正小标宋_GBK">
    <w:altName w:val="Arial Unicode MS"/>
    <w:panose1 w:val="00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宋体-18030">
    <w:altName w:val="Arial Unicode MS"/>
    <w:panose1 w:val="00000000000000000000"/>
    <w:charset w:val="00"/>
    <w:family w:val="modern"/>
    <w:pitch w:val="default"/>
    <w:sig w:usb0="00000000" w:usb1="00000000" w:usb2="000A005E"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rPr>
        <w:rFonts w:hint="eastAsia"/>
        <w:snapToGrid/>
      </w:rPr>
      <w:drawing>
        <wp:anchor distT="0" distB="0" distL="114300" distR="114300" simplePos="0" relativeHeight="251659264" behindDoc="0" locked="0" layoutInCell="1" allowOverlap="1">
          <wp:simplePos x="0" y="0"/>
          <wp:positionH relativeFrom="column">
            <wp:posOffset>3484245</wp:posOffset>
          </wp:positionH>
          <wp:positionV relativeFrom="paragraph">
            <wp:posOffset>130175</wp:posOffset>
          </wp:positionV>
          <wp:extent cx="2656205" cy="317500"/>
          <wp:effectExtent l="0" t="0" r="0" b="698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56031" cy="317435"/>
                  </a:xfrm>
                  <a:prstGeom prst="rect">
                    <a:avLst/>
                  </a:prstGeom>
                </pic:spPr>
              </pic:pic>
            </a:graphicData>
          </a:graphic>
        </wp:anchor>
      </w:drawing>
    </w:r>
    <w:r>
      <w:rPr>
        <w:rFonts w:hint="eastAsia"/>
      </w:rPr>
      <w:t>-</w:t>
    </w:r>
    <w:sdt>
      <w:sdtPr>
        <w:id w:val="-947616858"/>
        <w:docPartObj>
          <w:docPartGallery w:val="autotext"/>
        </w:docPartObj>
      </w:sdtPr>
      <w:sdtContent>
        <w:r>
          <w:fldChar w:fldCharType="begin"/>
        </w:r>
        <w:r>
          <w:instrText xml:space="preserve">PAGE   \* MERGEFORMAT</w:instrText>
        </w:r>
        <w:r>
          <w:fldChar w:fldCharType="separate"/>
        </w:r>
        <w:r>
          <w:rPr>
            <w:lang w:val="zh-CN"/>
          </w:rPr>
          <w:t>49</w:t>
        </w:r>
        <w:r>
          <w:fldChar w:fldCharType="end"/>
        </w:r>
        <w:r>
          <w:rPr>
            <w:rFonts w:hint="eastAsia"/>
          </w:rPr>
          <w:t>-</w:t>
        </w:r>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8306"/>
      </w:tabs>
    </w:pPr>
    <w:r>
      <w:rPr>
        <w:rFonts w:hint="eastAsia"/>
      </w:rPr>
      <w:t xml:space="preserve">政务服务中心数据平台建设 </w:t>
    </w:r>
    <w:r>
      <w:t xml:space="preserve">                                                             </w:t>
    </w:r>
    <w:r>
      <w:rPr>
        <w:rFonts w:hint="eastAsia"/>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0115BD"/>
    <w:multiLevelType w:val="singleLevel"/>
    <w:tmpl w:val="1C0115BD"/>
    <w:lvl w:ilvl="0" w:tentative="0">
      <w:start w:val="1"/>
      <w:numFmt w:val="decimal"/>
      <w:suff w:val="nothing"/>
      <w:lvlText w:val="（%1）"/>
      <w:lvlJc w:val="left"/>
    </w:lvl>
  </w:abstractNum>
  <w:abstractNum w:abstractNumId="1">
    <w:nsid w:val="31803A30"/>
    <w:multiLevelType w:val="multilevel"/>
    <w:tmpl w:val="31803A3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596C1DF1"/>
    <w:multiLevelType w:val="multilevel"/>
    <w:tmpl w:val="596C1DF1"/>
    <w:lvl w:ilvl="0" w:tentative="0">
      <w:start w:val="1"/>
      <w:numFmt w:val="bullet"/>
      <w:pStyle w:val="107"/>
      <w:lvlText w:val=""/>
      <w:lvlJc w:val="left"/>
      <w:pPr>
        <w:tabs>
          <w:tab w:val="left" w:pos="900"/>
        </w:tabs>
        <w:ind w:left="900" w:hanging="420"/>
      </w:pPr>
      <w:rPr>
        <w:rFonts w:hint="default" w:ascii="Wingdings" w:hAnsi="Wingdings" w:cs="Wingdings"/>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3">
    <w:nsid w:val="596C1DFC"/>
    <w:multiLevelType w:val="multilevel"/>
    <w:tmpl w:val="596C1DFC"/>
    <w:lvl w:ilvl="0" w:tentative="0">
      <w:start w:val="1"/>
      <w:numFmt w:val="bullet"/>
      <w:pStyle w:val="90"/>
      <w:lvlText w:val=""/>
      <w:lvlJc w:val="left"/>
      <w:pPr>
        <w:tabs>
          <w:tab w:val="left" w:pos="420"/>
        </w:tabs>
        <w:ind w:left="420" w:hanging="420"/>
      </w:pPr>
      <w:rPr>
        <w:rFonts w:hint="default" w:ascii="Wingdings" w:hAnsi="Wingdings" w:cs="Wingdings"/>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4">
    <w:nsid w:val="596C1E12"/>
    <w:multiLevelType w:val="multilevel"/>
    <w:tmpl w:val="596C1E12"/>
    <w:lvl w:ilvl="0" w:tentative="0">
      <w:start w:val="1"/>
      <w:numFmt w:val="decimal"/>
      <w:suff w:val="space"/>
      <w:lvlText w:val="%1"/>
      <w:lvlJc w:val="left"/>
      <w:pPr>
        <w:tabs>
          <w:tab w:val="left" w:pos="0"/>
        </w:tabs>
        <w:ind w:left="0" w:firstLine="0"/>
      </w:pPr>
      <w:rPr>
        <w:rFonts w:ascii="Arial" w:hAnsi="Arial" w:eastAsia="黑体" w:cs="Times New Roman"/>
        <w:b/>
        <w:iCs w:val="0"/>
        <w:caps w:val="0"/>
        <w:strike w:val="0"/>
        <w:dstrike w:val="0"/>
        <w:vanish w:val="0"/>
        <w:color w:val="000000"/>
        <w:spacing w:val="0"/>
        <w:kern w:val="0"/>
        <w:position w:val="0"/>
        <w:sz w:val="32"/>
        <w:szCs w:val="32"/>
        <w:u w:val="none"/>
      </w:rPr>
    </w:lvl>
    <w:lvl w:ilvl="1" w:tentative="0">
      <w:start w:val="1"/>
      <w:numFmt w:val="decimal"/>
      <w:suff w:val="space"/>
      <w:lvlText w:val="%1.%2"/>
      <w:lvlJc w:val="left"/>
      <w:pPr>
        <w:tabs>
          <w:tab w:val="left" w:pos="0"/>
        </w:tabs>
        <w:ind w:left="0" w:firstLine="0"/>
      </w:pPr>
      <w:rPr>
        <w:rFonts w:hint="default" w:ascii="Arial" w:hAnsi="Arial" w:eastAsia="黑体" w:cs="Times New Roman"/>
        <w:b/>
        <w:sz w:val="28"/>
        <w:szCs w:val="28"/>
      </w:rPr>
    </w:lvl>
    <w:lvl w:ilvl="2" w:tentative="0">
      <w:start w:val="1"/>
      <w:numFmt w:val="decimal"/>
      <w:suff w:val="space"/>
      <w:lvlText w:val="%1.%2.%3"/>
      <w:lvlJc w:val="left"/>
      <w:pPr>
        <w:tabs>
          <w:tab w:val="left" w:pos="0"/>
        </w:tabs>
        <w:ind w:left="0" w:firstLine="0"/>
      </w:pPr>
      <w:rPr>
        <w:rFonts w:hint="default" w:ascii="Arial" w:hAnsi="Arial" w:eastAsia="黑体" w:cs="Times New Roman"/>
        <w:b/>
        <w:sz w:val="28"/>
        <w:szCs w:val="28"/>
      </w:rPr>
    </w:lvl>
    <w:lvl w:ilvl="3" w:tentative="0">
      <w:start w:val="1"/>
      <w:numFmt w:val="decimal"/>
      <w:suff w:val="space"/>
      <w:lvlText w:val="%1.%2.%3.%4"/>
      <w:lvlJc w:val="left"/>
      <w:pPr>
        <w:tabs>
          <w:tab w:val="left" w:pos="0"/>
        </w:tabs>
        <w:ind w:left="0" w:firstLine="0"/>
      </w:pPr>
      <w:rPr>
        <w:rFonts w:hint="default" w:ascii="Arial" w:hAnsi="Arial" w:eastAsia="黑体" w:cs="Times New Roman"/>
        <w:b/>
        <w:sz w:val="30"/>
        <w:szCs w:val="30"/>
      </w:rPr>
    </w:lvl>
    <w:lvl w:ilvl="4" w:tentative="0">
      <w:start w:val="1"/>
      <w:numFmt w:val="decimal"/>
      <w:pStyle w:val="8"/>
      <w:suff w:val="space"/>
      <w:lvlText w:val="%1.%2.%3.%4.%5"/>
      <w:lvlJc w:val="left"/>
      <w:pPr>
        <w:tabs>
          <w:tab w:val="left" w:pos="0"/>
        </w:tabs>
        <w:ind w:left="0" w:firstLine="0"/>
      </w:pPr>
      <w:rPr>
        <w:rFonts w:hint="default" w:ascii="Arial" w:hAnsi="Arial" w:eastAsia="黑体" w:cs="Times New Roman"/>
        <w:b/>
        <w:sz w:val="28"/>
        <w:szCs w:val="28"/>
      </w:rPr>
    </w:lvl>
    <w:lvl w:ilvl="5" w:tentative="0">
      <w:start w:val="1"/>
      <w:numFmt w:val="decimal"/>
      <w:lvlText w:val="%1.%2.%3.%4.%5.%6"/>
      <w:lvlJc w:val="left"/>
      <w:pPr>
        <w:tabs>
          <w:tab w:val="left" w:pos="1152"/>
        </w:tabs>
        <w:ind w:left="0" w:firstLine="0"/>
      </w:pPr>
    </w:lvl>
    <w:lvl w:ilvl="6" w:tentative="0">
      <w:start w:val="1"/>
      <w:numFmt w:val="decimal"/>
      <w:lvlText w:val="%1.%2.%3.%4.%5.%6.%7"/>
      <w:lvlJc w:val="left"/>
      <w:pPr>
        <w:tabs>
          <w:tab w:val="left" w:pos="1296"/>
        </w:tabs>
        <w:ind w:left="0" w:firstLine="0"/>
      </w:pPr>
    </w:lvl>
    <w:lvl w:ilvl="7" w:tentative="0">
      <w:start w:val="1"/>
      <w:numFmt w:val="decimal"/>
      <w:lvlText w:val="%1.%2.%3.%4.%5.%6.%7.%8"/>
      <w:lvlJc w:val="left"/>
      <w:pPr>
        <w:tabs>
          <w:tab w:val="left" w:pos="1440"/>
        </w:tabs>
        <w:ind w:left="0" w:firstLine="0"/>
      </w:pPr>
    </w:lvl>
    <w:lvl w:ilvl="8" w:tentative="0">
      <w:start w:val="1"/>
      <w:numFmt w:val="decimal"/>
      <w:lvlText w:val="%1.%2.%3.%4.%5.%6.%7.%8.%9"/>
      <w:lvlJc w:val="left"/>
      <w:pPr>
        <w:tabs>
          <w:tab w:val="left" w:pos="1584"/>
        </w:tabs>
        <w:ind w:left="0" w:firstLine="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18"/>
    <w:rsid w:val="00001534"/>
    <w:rsid w:val="00001F16"/>
    <w:rsid w:val="00002186"/>
    <w:rsid w:val="000028FD"/>
    <w:rsid w:val="00004741"/>
    <w:rsid w:val="00005B16"/>
    <w:rsid w:val="0000747B"/>
    <w:rsid w:val="00011BA2"/>
    <w:rsid w:val="000121B7"/>
    <w:rsid w:val="00012821"/>
    <w:rsid w:val="00013102"/>
    <w:rsid w:val="000132F4"/>
    <w:rsid w:val="00013A0F"/>
    <w:rsid w:val="00013A6F"/>
    <w:rsid w:val="00013E18"/>
    <w:rsid w:val="00014025"/>
    <w:rsid w:val="00014989"/>
    <w:rsid w:val="00014E65"/>
    <w:rsid w:val="00014F19"/>
    <w:rsid w:val="00015C71"/>
    <w:rsid w:val="00015FFF"/>
    <w:rsid w:val="00016232"/>
    <w:rsid w:val="00016C93"/>
    <w:rsid w:val="000172FB"/>
    <w:rsid w:val="00017936"/>
    <w:rsid w:val="00017A47"/>
    <w:rsid w:val="00020CFA"/>
    <w:rsid w:val="00020E9B"/>
    <w:rsid w:val="00020E9F"/>
    <w:rsid w:val="00021464"/>
    <w:rsid w:val="00021D4E"/>
    <w:rsid w:val="00022154"/>
    <w:rsid w:val="0002215A"/>
    <w:rsid w:val="00022AC2"/>
    <w:rsid w:val="00022CE5"/>
    <w:rsid w:val="00022D41"/>
    <w:rsid w:val="00023954"/>
    <w:rsid w:val="00024184"/>
    <w:rsid w:val="00024194"/>
    <w:rsid w:val="000245EC"/>
    <w:rsid w:val="00024692"/>
    <w:rsid w:val="00025B7A"/>
    <w:rsid w:val="000269BF"/>
    <w:rsid w:val="00026C24"/>
    <w:rsid w:val="00027ACE"/>
    <w:rsid w:val="00030BDC"/>
    <w:rsid w:val="00030F99"/>
    <w:rsid w:val="00031F31"/>
    <w:rsid w:val="000322D2"/>
    <w:rsid w:val="00032706"/>
    <w:rsid w:val="000331D7"/>
    <w:rsid w:val="0003337E"/>
    <w:rsid w:val="00033C86"/>
    <w:rsid w:val="000345EB"/>
    <w:rsid w:val="00034FA7"/>
    <w:rsid w:val="000359C9"/>
    <w:rsid w:val="0003626C"/>
    <w:rsid w:val="00036872"/>
    <w:rsid w:val="00036A49"/>
    <w:rsid w:val="00037110"/>
    <w:rsid w:val="000375EF"/>
    <w:rsid w:val="000376FE"/>
    <w:rsid w:val="00037FE3"/>
    <w:rsid w:val="00040014"/>
    <w:rsid w:val="000401AC"/>
    <w:rsid w:val="000402EF"/>
    <w:rsid w:val="000407E1"/>
    <w:rsid w:val="00041260"/>
    <w:rsid w:val="0004133C"/>
    <w:rsid w:val="0004146E"/>
    <w:rsid w:val="000415E6"/>
    <w:rsid w:val="0004169F"/>
    <w:rsid w:val="00041A48"/>
    <w:rsid w:val="00043891"/>
    <w:rsid w:val="000438EF"/>
    <w:rsid w:val="00043B14"/>
    <w:rsid w:val="00043EE2"/>
    <w:rsid w:val="0004412F"/>
    <w:rsid w:val="00044642"/>
    <w:rsid w:val="0004475C"/>
    <w:rsid w:val="00044777"/>
    <w:rsid w:val="000451E0"/>
    <w:rsid w:val="00046BD4"/>
    <w:rsid w:val="00046CE8"/>
    <w:rsid w:val="000475E4"/>
    <w:rsid w:val="00047729"/>
    <w:rsid w:val="00050837"/>
    <w:rsid w:val="00051C5C"/>
    <w:rsid w:val="00052932"/>
    <w:rsid w:val="00053349"/>
    <w:rsid w:val="00053729"/>
    <w:rsid w:val="000543FF"/>
    <w:rsid w:val="00054897"/>
    <w:rsid w:val="00054D39"/>
    <w:rsid w:val="00054EA5"/>
    <w:rsid w:val="00055A06"/>
    <w:rsid w:val="00055D39"/>
    <w:rsid w:val="000564A3"/>
    <w:rsid w:val="00056855"/>
    <w:rsid w:val="00056BE9"/>
    <w:rsid w:val="00056C86"/>
    <w:rsid w:val="000577FA"/>
    <w:rsid w:val="00057947"/>
    <w:rsid w:val="000579F3"/>
    <w:rsid w:val="00057FF9"/>
    <w:rsid w:val="000603DF"/>
    <w:rsid w:val="0006190B"/>
    <w:rsid w:val="0006210C"/>
    <w:rsid w:val="000625F9"/>
    <w:rsid w:val="00062BF7"/>
    <w:rsid w:val="00063DBF"/>
    <w:rsid w:val="00063E5E"/>
    <w:rsid w:val="00064251"/>
    <w:rsid w:val="00065141"/>
    <w:rsid w:val="00065268"/>
    <w:rsid w:val="000653F8"/>
    <w:rsid w:val="000661EC"/>
    <w:rsid w:val="000666AE"/>
    <w:rsid w:val="000667B9"/>
    <w:rsid w:val="000670E1"/>
    <w:rsid w:val="00071066"/>
    <w:rsid w:val="000712A3"/>
    <w:rsid w:val="00071B81"/>
    <w:rsid w:val="00071C38"/>
    <w:rsid w:val="00072049"/>
    <w:rsid w:val="0007369B"/>
    <w:rsid w:val="0007425E"/>
    <w:rsid w:val="000744BA"/>
    <w:rsid w:val="00074A2C"/>
    <w:rsid w:val="000769B1"/>
    <w:rsid w:val="00076C7B"/>
    <w:rsid w:val="00077048"/>
    <w:rsid w:val="0007741F"/>
    <w:rsid w:val="00077A62"/>
    <w:rsid w:val="0008000C"/>
    <w:rsid w:val="00080122"/>
    <w:rsid w:val="000803DA"/>
    <w:rsid w:val="00080E97"/>
    <w:rsid w:val="00081163"/>
    <w:rsid w:val="0008121A"/>
    <w:rsid w:val="00081284"/>
    <w:rsid w:val="000814F5"/>
    <w:rsid w:val="00081C43"/>
    <w:rsid w:val="0008219C"/>
    <w:rsid w:val="000832F6"/>
    <w:rsid w:val="000835A9"/>
    <w:rsid w:val="000841CE"/>
    <w:rsid w:val="000849CC"/>
    <w:rsid w:val="00084C24"/>
    <w:rsid w:val="00085658"/>
    <w:rsid w:val="00085C05"/>
    <w:rsid w:val="0008641C"/>
    <w:rsid w:val="00086E9B"/>
    <w:rsid w:val="00087D51"/>
    <w:rsid w:val="00090642"/>
    <w:rsid w:val="000906DA"/>
    <w:rsid w:val="000922B5"/>
    <w:rsid w:val="000930BE"/>
    <w:rsid w:val="00093D1A"/>
    <w:rsid w:val="000973E7"/>
    <w:rsid w:val="000978FD"/>
    <w:rsid w:val="00097E9B"/>
    <w:rsid w:val="00097FAC"/>
    <w:rsid w:val="000A08B0"/>
    <w:rsid w:val="000A0F59"/>
    <w:rsid w:val="000A1B0E"/>
    <w:rsid w:val="000A1C96"/>
    <w:rsid w:val="000A20DD"/>
    <w:rsid w:val="000A2B21"/>
    <w:rsid w:val="000A303C"/>
    <w:rsid w:val="000A335F"/>
    <w:rsid w:val="000A43FE"/>
    <w:rsid w:val="000A451F"/>
    <w:rsid w:val="000A4DAD"/>
    <w:rsid w:val="000A5E0C"/>
    <w:rsid w:val="000A643F"/>
    <w:rsid w:val="000A761B"/>
    <w:rsid w:val="000B0062"/>
    <w:rsid w:val="000B0AA1"/>
    <w:rsid w:val="000B0D61"/>
    <w:rsid w:val="000B0DE1"/>
    <w:rsid w:val="000B14CE"/>
    <w:rsid w:val="000B18BC"/>
    <w:rsid w:val="000B191E"/>
    <w:rsid w:val="000B1C1F"/>
    <w:rsid w:val="000B3180"/>
    <w:rsid w:val="000B37ED"/>
    <w:rsid w:val="000B3887"/>
    <w:rsid w:val="000B398F"/>
    <w:rsid w:val="000B3999"/>
    <w:rsid w:val="000B486F"/>
    <w:rsid w:val="000B545A"/>
    <w:rsid w:val="000B5ADB"/>
    <w:rsid w:val="000B5BC7"/>
    <w:rsid w:val="000B5EF7"/>
    <w:rsid w:val="000B6E9B"/>
    <w:rsid w:val="000B7338"/>
    <w:rsid w:val="000B79D2"/>
    <w:rsid w:val="000B7F61"/>
    <w:rsid w:val="000C0C8E"/>
    <w:rsid w:val="000C34BA"/>
    <w:rsid w:val="000C355E"/>
    <w:rsid w:val="000C3B0D"/>
    <w:rsid w:val="000C47BC"/>
    <w:rsid w:val="000C4EF7"/>
    <w:rsid w:val="000C5587"/>
    <w:rsid w:val="000C5BC7"/>
    <w:rsid w:val="000C624E"/>
    <w:rsid w:val="000C63EB"/>
    <w:rsid w:val="000C6AAF"/>
    <w:rsid w:val="000C6CC5"/>
    <w:rsid w:val="000D0554"/>
    <w:rsid w:val="000D135A"/>
    <w:rsid w:val="000D19CC"/>
    <w:rsid w:val="000D1FEC"/>
    <w:rsid w:val="000D2877"/>
    <w:rsid w:val="000D2CEB"/>
    <w:rsid w:val="000D4700"/>
    <w:rsid w:val="000D4714"/>
    <w:rsid w:val="000D547C"/>
    <w:rsid w:val="000D676D"/>
    <w:rsid w:val="000D6D0F"/>
    <w:rsid w:val="000D7477"/>
    <w:rsid w:val="000D74E6"/>
    <w:rsid w:val="000E0635"/>
    <w:rsid w:val="000E222C"/>
    <w:rsid w:val="000E2427"/>
    <w:rsid w:val="000E244E"/>
    <w:rsid w:val="000E3445"/>
    <w:rsid w:val="000E3B3D"/>
    <w:rsid w:val="000E4324"/>
    <w:rsid w:val="000E43E9"/>
    <w:rsid w:val="000E4AB2"/>
    <w:rsid w:val="000E5E7E"/>
    <w:rsid w:val="000E6ED4"/>
    <w:rsid w:val="000E7A87"/>
    <w:rsid w:val="000F0065"/>
    <w:rsid w:val="000F090A"/>
    <w:rsid w:val="000F0E31"/>
    <w:rsid w:val="000F17D5"/>
    <w:rsid w:val="000F1EBF"/>
    <w:rsid w:val="000F2BB0"/>
    <w:rsid w:val="000F3382"/>
    <w:rsid w:val="000F3A47"/>
    <w:rsid w:val="000F3C71"/>
    <w:rsid w:val="000F4A35"/>
    <w:rsid w:val="000F4F52"/>
    <w:rsid w:val="000F61AB"/>
    <w:rsid w:val="000F6757"/>
    <w:rsid w:val="000F78A2"/>
    <w:rsid w:val="000F79C8"/>
    <w:rsid w:val="000F7FA2"/>
    <w:rsid w:val="000F7FB3"/>
    <w:rsid w:val="0010026C"/>
    <w:rsid w:val="00100418"/>
    <w:rsid w:val="00101DD6"/>
    <w:rsid w:val="0010270A"/>
    <w:rsid w:val="001033B7"/>
    <w:rsid w:val="00103439"/>
    <w:rsid w:val="0010392F"/>
    <w:rsid w:val="00103CD1"/>
    <w:rsid w:val="00104D72"/>
    <w:rsid w:val="00106104"/>
    <w:rsid w:val="00106814"/>
    <w:rsid w:val="00106E0C"/>
    <w:rsid w:val="0011043D"/>
    <w:rsid w:val="001107DB"/>
    <w:rsid w:val="00110E9E"/>
    <w:rsid w:val="0011101B"/>
    <w:rsid w:val="001117BF"/>
    <w:rsid w:val="00112375"/>
    <w:rsid w:val="00112610"/>
    <w:rsid w:val="0011278A"/>
    <w:rsid w:val="00112D74"/>
    <w:rsid w:val="0011327E"/>
    <w:rsid w:val="00113A04"/>
    <w:rsid w:val="00113D4F"/>
    <w:rsid w:val="00114415"/>
    <w:rsid w:val="0011458E"/>
    <w:rsid w:val="00114ECE"/>
    <w:rsid w:val="00114F3A"/>
    <w:rsid w:val="001153A0"/>
    <w:rsid w:val="001153D0"/>
    <w:rsid w:val="001157D2"/>
    <w:rsid w:val="00116AAB"/>
    <w:rsid w:val="00117696"/>
    <w:rsid w:val="00117911"/>
    <w:rsid w:val="001208AE"/>
    <w:rsid w:val="00120C12"/>
    <w:rsid w:val="001210C6"/>
    <w:rsid w:val="001216CE"/>
    <w:rsid w:val="0012262F"/>
    <w:rsid w:val="00123979"/>
    <w:rsid w:val="001249B6"/>
    <w:rsid w:val="00124D3D"/>
    <w:rsid w:val="00125B89"/>
    <w:rsid w:val="001279AB"/>
    <w:rsid w:val="0013211B"/>
    <w:rsid w:val="001321CB"/>
    <w:rsid w:val="00132994"/>
    <w:rsid w:val="00133548"/>
    <w:rsid w:val="001346C8"/>
    <w:rsid w:val="00134AF4"/>
    <w:rsid w:val="001366B1"/>
    <w:rsid w:val="00136FEF"/>
    <w:rsid w:val="0013776F"/>
    <w:rsid w:val="00140985"/>
    <w:rsid w:val="00141245"/>
    <w:rsid w:val="00141A17"/>
    <w:rsid w:val="00141D3C"/>
    <w:rsid w:val="00142067"/>
    <w:rsid w:val="001420B9"/>
    <w:rsid w:val="001425ED"/>
    <w:rsid w:val="001434AE"/>
    <w:rsid w:val="00143BCB"/>
    <w:rsid w:val="00144369"/>
    <w:rsid w:val="0014439F"/>
    <w:rsid w:val="00145028"/>
    <w:rsid w:val="00145B20"/>
    <w:rsid w:val="00145C13"/>
    <w:rsid w:val="001473BD"/>
    <w:rsid w:val="00147B41"/>
    <w:rsid w:val="00147CF2"/>
    <w:rsid w:val="00147F46"/>
    <w:rsid w:val="0015067A"/>
    <w:rsid w:val="0015072F"/>
    <w:rsid w:val="00150BDF"/>
    <w:rsid w:val="00152A3C"/>
    <w:rsid w:val="00152EC8"/>
    <w:rsid w:val="00152FA5"/>
    <w:rsid w:val="00153DE2"/>
    <w:rsid w:val="00153E3D"/>
    <w:rsid w:val="00154AEA"/>
    <w:rsid w:val="00155621"/>
    <w:rsid w:val="0015663B"/>
    <w:rsid w:val="00156694"/>
    <w:rsid w:val="00156B0A"/>
    <w:rsid w:val="00156E1F"/>
    <w:rsid w:val="0015752B"/>
    <w:rsid w:val="0015765F"/>
    <w:rsid w:val="00157BDF"/>
    <w:rsid w:val="00157EB5"/>
    <w:rsid w:val="0016046B"/>
    <w:rsid w:val="001607CA"/>
    <w:rsid w:val="00160AA7"/>
    <w:rsid w:val="001610B4"/>
    <w:rsid w:val="00162295"/>
    <w:rsid w:val="0016371E"/>
    <w:rsid w:val="00163BCF"/>
    <w:rsid w:val="00164174"/>
    <w:rsid w:val="00164739"/>
    <w:rsid w:val="00164CEA"/>
    <w:rsid w:val="001652FB"/>
    <w:rsid w:val="00165DAC"/>
    <w:rsid w:val="00166075"/>
    <w:rsid w:val="00167731"/>
    <w:rsid w:val="00167803"/>
    <w:rsid w:val="0016780D"/>
    <w:rsid w:val="00170372"/>
    <w:rsid w:val="00172148"/>
    <w:rsid w:val="00172A27"/>
    <w:rsid w:val="00173DE7"/>
    <w:rsid w:val="00173F48"/>
    <w:rsid w:val="001741C8"/>
    <w:rsid w:val="001756BE"/>
    <w:rsid w:val="001765DD"/>
    <w:rsid w:val="00177C74"/>
    <w:rsid w:val="00177E00"/>
    <w:rsid w:val="00177F2D"/>
    <w:rsid w:val="00180378"/>
    <w:rsid w:val="00180A36"/>
    <w:rsid w:val="00180C2F"/>
    <w:rsid w:val="00180F02"/>
    <w:rsid w:val="00182A83"/>
    <w:rsid w:val="001836DD"/>
    <w:rsid w:val="0018382E"/>
    <w:rsid w:val="00184106"/>
    <w:rsid w:val="001850E0"/>
    <w:rsid w:val="0018578B"/>
    <w:rsid w:val="00185CC4"/>
    <w:rsid w:val="001865C7"/>
    <w:rsid w:val="001866DF"/>
    <w:rsid w:val="0018704B"/>
    <w:rsid w:val="00187E21"/>
    <w:rsid w:val="00190115"/>
    <w:rsid w:val="001902D9"/>
    <w:rsid w:val="00190824"/>
    <w:rsid w:val="001910C9"/>
    <w:rsid w:val="001912D7"/>
    <w:rsid w:val="00192420"/>
    <w:rsid w:val="00192561"/>
    <w:rsid w:val="0019261F"/>
    <w:rsid w:val="00192DC8"/>
    <w:rsid w:val="00192F5C"/>
    <w:rsid w:val="00193229"/>
    <w:rsid w:val="0019323C"/>
    <w:rsid w:val="001942B0"/>
    <w:rsid w:val="0019458A"/>
    <w:rsid w:val="00194721"/>
    <w:rsid w:val="00194C34"/>
    <w:rsid w:val="001963F3"/>
    <w:rsid w:val="00196F3C"/>
    <w:rsid w:val="001A02DF"/>
    <w:rsid w:val="001A0475"/>
    <w:rsid w:val="001A0B04"/>
    <w:rsid w:val="001A0F18"/>
    <w:rsid w:val="001A0F73"/>
    <w:rsid w:val="001A1A1C"/>
    <w:rsid w:val="001A2683"/>
    <w:rsid w:val="001A2846"/>
    <w:rsid w:val="001A2A6E"/>
    <w:rsid w:val="001A2CE4"/>
    <w:rsid w:val="001A2FCC"/>
    <w:rsid w:val="001A43C5"/>
    <w:rsid w:val="001A448D"/>
    <w:rsid w:val="001A5540"/>
    <w:rsid w:val="001A5A85"/>
    <w:rsid w:val="001A631B"/>
    <w:rsid w:val="001A66D1"/>
    <w:rsid w:val="001A6BC1"/>
    <w:rsid w:val="001A7973"/>
    <w:rsid w:val="001B0276"/>
    <w:rsid w:val="001B03FB"/>
    <w:rsid w:val="001B0CEA"/>
    <w:rsid w:val="001B1103"/>
    <w:rsid w:val="001B2E55"/>
    <w:rsid w:val="001B386E"/>
    <w:rsid w:val="001B4F3E"/>
    <w:rsid w:val="001B5896"/>
    <w:rsid w:val="001B5A90"/>
    <w:rsid w:val="001B5EE8"/>
    <w:rsid w:val="001B649A"/>
    <w:rsid w:val="001B6EA7"/>
    <w:rsid w:val="001B74B1"/>
    <w:rsid w:val="001B7625"/>
    <w:rsid w:val="001B7DD9"/>
    <w:rsid w:val="001B7F7B"/>
    <w:rsid w:val="001C030C"/>
    <w:rsid w:val="001C0BCB"/>
    <w:rsid w:val="001C0E53"/>
    <w:rsid w:val="001C1C94"/>
    <w:rsid w:val="001C2191"/>
    <w:rsid w:val="001C2291"/>
    <w:rsid w:val="001C2337"/>
    <w:rsid w:val="001C2378"/>
    <w:rsid w:val="001C2BCB"/>
    <w:rsid w:val="001C2FD9"/>
    <w:rsid w:val="001C3110"/>
    <w:rsid w:val="001C3BC4"/>
    <w:rsid w:val="001C427C"/>
    <w:rsid w:val="001C49EF"/>
    <w:rsid w:val="001C5D40"/>
    <w:rsid w:val="001C66D0"/>
    <w:rsid w:val="001C6FFC"/>
    <w:rsid w:val="001D055B"/>
    <w:rsid w:val="001D10BA"/>
    <w:rsid w:val="001D225C"/>
    <w:rsid w:val="001D27C0"/>
    <w:rsid w:val="001D2B9B"/>
    <w:rsid w:val="001D2D31"/>
    <w:rsid w:val="001D30BA"/>
    <w:rsid w:val="001D3725"/>
    <w:rsid w:val="001D4034"/>
    <w:rsid w:val="001D4072"/>
    <w:rsid w:val="001D4D10"/>
    <w:rsid w:val="001D4D47"/>
    <w:rsid w:val="001D6454"/>
    <w:rsid w:val="001D704C"/>
    <w:rsid w:val="001D7212"/>
    <w:rsid w:val="001D765D"/>
    <w:rsid w:val="001E2825"/>
    <w:rsid w:val="001E301F"/>
    <w:rsid w:val="001E32C0"/>
    <w:rsid w:val="001E452A"/>
    <w:rsid w:val="001E4D83"/>
    <w:rsid w:val="001E5464"/>
    <w:rsid w:val="001E581D"/>
    <w:rsid w:val="001E701A"/>
    <w:rsid w:val="001E72E4"/>
    <w:rsid w:val="001E7CDF"/>
    <w:rsid w:val="001F01EE"/>
    <w:rsid w:val="001F057D"/>
    <w:rsid w:val="001F0CB6"/>
    <w:rsid w:val="001F0E32"/>
    <w:rsid w:val="001F10F0"/>
    <w:rsid w:val="001F2084"/>
    <w:rsid w:val="001F273C"/>
    <w:rsid w:val="001F2A43"/>
    <w:rsid w:val="001F2BED"/>
    <w:rsid w:val="001F2E49"/>
    <w:rsid w:val="001F3689"/>
    <w:rsid w:val="001F3864"/>
    <w:rsid w:val="001F48DF"/>
    <w:rsid w:val="001F4FC2"/>
    <w:rsid w:val="001F584F"/>
    <w:rsid w:val="001F5A39"/>
    <w:rsid w:val="001F5A7B"/>
    <w:rsid w:val="001F5A99"/>
    <w:rsid w:val="001F5CC6"/>
    <w:rsid w:val="001F71FF"/>
    <w:rsid w:val="00200054"/>
    <w:rsid w:val="00200882"/>
    <w:rsid w:val="002009CB"/>
    <w:rsid w:val="00200AB9"/>
    <w:rsid w:val="00201B37"/>
    <w:rsid w:val="00202DA7"/>
    <w:rsid w:val="00202F21"/>
    <w:rsid w:val="00202F95"/>
    <w:rsid w:val="00203678"/>
    <w:rsid w:val="00203FEF"/>
    <w:rsid w:val="002040BE"/>
    <w:rsid w:val="0020421E"/>
    <w:rsid w:val="00204EC4"/>
    <w:rsid w:val="00205377"/>
    <w:rsid w:val="0020562D"/>
    <w:rsid w:val="00205A84"/>
    <w:rsid w:val="00205E6F"/>
    <w:rsid w:val="002064EC"/>
    <w:rsid w:val="00207C57"/>
    <w:rsid w:val="00207FA9"/>
    <w:rsid w:val="00210069"/>
    <w:rsid w:val="002103E7"/>
    <w:rsid w:val="002105DF"/>
    <w:rsid w:val="00211121"/>
    <w:rsid w:val="00211208"/>
    <w:rsid w:val="00211786"/>
    <w:rsid w:val="00211864"/>
    <w:rsid w:val="00211C3D"/>
    <w:rsid w:val="002122B8"/>
    <w:rsid w:val="002127FD"/>
    <w:rsid w:val="00213B79"/>
    <w:rsid w:val="00214270"/>
    <w:rsid w:val="002142EC"/>
    <w:rsid w:val="00214FBC"/>
    <w:rsid w:val="00216061"/>
    <w:rsid w:val="00216585"/>
    <w:rsid w:val="00216B2B"/>
    <w:rsid w:val="00216DF6"/>
    <w:rsid w:val="00216E66"/>
    <w:rsid w:val="002174B5"/>
    <w:rsid w:val="00217B92"/>
    <w:rsid w:val="002200A7"/>
    <w:rsid w:val="00221FDF"/>
    <w:rsid w:val="002221B6"/>
    <w:rsid w:val="00224634"/>
    <w:rsid w:val="002249AD"/>
    <w:rsid w:val="002256F8"/>
    <w:rsid w:val="00226642"/>
    <w:rsid w:val="0023064D"/>
    <w:rsid w:val="00230AB1"/>
    <w:rsid w:val="00231063"/>
    <w:rsid w:val="00231618"/>
    <w:rsid w:val="00231D8D"/>
    <w:rsid w:val="00231F1A"/>
    <w:rsid w:val="0023243B"/>
    <w:rsid w:val="0023269A"/>
    <w:rsid w:val="00232C12"/>
    <w:rsid w:val="00233126"/>
    <w:rsid w:val="002332B6"/>
    <w:rsid w:val="0023394B"/>
    <w:rsid w:val="00234130"/>
    <w:rsid w:val="00234318"/>
    <w:rsid w:val="0023466D"/>
    <w:rsid w:val="00235938"/>
    <w:rsid w:val="00235C34"/>
    <w:rsid w:val="00235F1E"/>
    <w:rsid w:val="00236835"/>
    <w:rsid w:val="00236AC8"/>
    <w:rsid w:val="00237865"/>
    <w:rsid w:val="0024094F"/>
    <w:rsid w:val="00240A1C"/>
    <w:rsid w:val="00241C3C"/>
    <w:rsid w:val="00242CBF"/>
    <w:rsid w:val="00242D02"/>
    <w:rsid w:val="00243CA5"/>
    <w:rsid w:val="00243CDF"/>
    <w:rsid w:val="0024450C"/>
    <w:rsid w:val="00246EAE"/>
    <w:rsid w:val="002473F3"/>
    <w:rsid w:val="00247CF8"/>
    <w:rsid w:val="0025094A"/>
    <w:rsid w:val="00250B85"/>
    <w:rsid w:val="00251099"/>
    <w:rsid w:val="002510CA"/>
    <w:rsid w:val="00252A6A"/>
    <w:rsid w:val="002532D5"/>
    <w:rsid w:val="0025333D"/>
    <w:rsid w:val="00253481"/>
    <w:rsid w:val="00255501"/>
    <w:rsid w:val="0025586E"/>
    <w:rsid w:val="002566BF"/>
    <w:rsid w:val="00256AB3"/>
    <w:rsid w:val="00257356"/>
    <w:rsid w:val="0025750C"/>
    <w:rsid w:val="002575E8"/>
    <w:rsid w:val="00257971"/>
    <w:rsid w:val="00257F68"/>
    <w:rsid w:val="002607F9"/>
    <w:rsid w:val="0026266B"/>
    <w:rsid w:val="00264534"/>
    <w:rsid w:val="00264B35"/>
    <w:rsid w:val="002651D6"/>
    <w:rsid w:val="002657E0"/>
    <w:rsid w:val="00265987"/>
    <w:rsid w:val="002660CF"/>
    <w:rsid w:val="0026693B"/>
    <w:rsid w:val="00266E39"/>
    <w:rsid w:val="00267146"/>
    <w:rsid w:val="00267196"/>
    <w:rsid w:val="00267834"/>
    <w:rsid w:val="002704EA"/>
    <w:rsid w:val="00271176"/>
    <w:rsid w:val="0027275A"/>
    <w:rsid w:val="002747CE"/>
    <w:rsid w:val="0027481A"/>
    <w:rsid w:val="002749F1"/>
    <w:rsid w:val="00275121"/>
    <w:rsid w:val="00275E04"/>
    <w:rsid w:val="00276F3B"/>
    <w:rsid w:val="00277545"/>
    <w:rsid w:val="0028189C"/>
    <w:rsid w:val="00281B3A"/>
    <w:rsid w:val="0028239C"/>
    <w:rsid w:val="0028255B"/>
    <w:rsid w:val="00282D54"/>
    <w:rsid w:val="00283EFE"/>
    <w:rsid w:val="00283F06"/>
    <w:rsid w:val="00284187"/>
    <w:rsid w:val="00284228"/>
    <w:rsid w:val="00285B05"/>
    <w:rsid w:val="002860DF"/>
    <w:rsid w:val="002875CE"/>
    <w:rsid w:val="00287628"/>
    <w:rsid w:val="00287B64"/>
    <w:rsid w:val="00287CC7"/>
    <w:rsid w:val="00290CDD"/>
    <w:rsid w:val="002923BA"/>
    <w:rsid w:val="002923DA"/>
    <w:rsid w:val="00292B97"/>
    <w:rsid w:val="002942E5"/>
    <w:rsid w:val="0029455A"/>
    <w:rsid w:val="00296113"/>
    <w:rsid w:val="002968C6"/>
    <w:rsid w:val="0029790D"/>
    <w:rsid w:val="002A1517"/>
    <w:rsid w:val="002A1DB7"/>
    <w:rsid w:val="002A1ED7"/>
    <w:rsid w:val="002A300C"/>
    <w:rsid w:val="002A302C"/>
    <w:rsid w:val="002A30F4"/>
    <w:rsid w:val="002A3993"/>
    <w:rsid w:val="002A4281"/>
    <w:rsid w:val="002A43CE"/>
    <w:rsid w:val="002A451A"/>
    <w:rsid w:val="002A52C3"/>
    <w:rsid w:val="002A54C8"/>
    <w:rsid w:val="002A5FBE"/>
    <w:rsid w:val="002A60EB"/>
    <w:rsid w:val="002A6730"/>
    <w:rsid w:val="002A6A51"/>
    <w:rsid w:val="002A725E"/>
    <w:rsid w:val="002A757F"/>
    <w:rsid w:val="002A7A20"/>
    <w:rsid w:val="002A7E8F"/>
    <w:rsid w:val="002B0330"/>
    <w:rsid w:val="002B0502"/>
    <w:rsid w:val="002B0847"/>
    <w:rsid w:val="002B10DD"/>
    <w:rsid w:val="002B1DA2"/>
    <w:rsid w:val="002B2CFD"/>
    <w:rsid w:val="002B2E67"/>
    <w:rsid w:val="002B313D"/>
    <w:rsid w:val="002B31A3"/>
    <w:rsid w:val="002B389D"/>
    <w:rsid w:val="002B3B51"/>
    <w:rsid w:val="002B4868"/>
    <w:rsid w:val="002B4935"/>
    <w:rsid w:val="002B4AEE"/>
    <w:rsid w:val="002B4C90"/>
    <w:rsid w:val="002B4FA6"/>
    <w:rsid w:val="002B5684"/>
    <w:rsid w:val="002B5C8B"/>
    <w:rsid w:val="002B5D35"/>
    <w:rsid w:val="002B621A"/>
    <w:rsid w:val="002C0551"/>
    <w:rsid w:val="002C0941"/>
    <w:rsid w:val="002C09AA"/>
    <w:rsid w:val="002C0C60"/>
    <w:rsid w:val="002C10D5"/>
    <w:rsid w:val="002C1A87"/>
    <w:rsid w:val="002C1E71"/>
    <w:rsid w:val="002C2EDD"/>
    <w:rsid w:val="002C3205"/>
    <w:rsid w:val="002C35FA"/>
    <w:rsid w:val="002C4040"/>
    <w:rsid w:val="002C4466"/>
    <w:rsid w:val="002C476B"/>
    <w:rsid w:val="002C49DD"/>
    <w:rsid w:val="002C4DE3"/>
    <w:rsid w:val="002C677B"/>
    <w:rsid w:val="002C75A3"/>
    <w:rsid w:val="002C7ADC"/>
    <w:rsid w:val="002C7FDB"/>
    <w:rsid w:val="002D0434"/>
    <w:rsid w:val="002D0859"/>
    <w:rsid w:val="002D11FD"/>
    <w:rsid w:val="002D165C"/>
    <w:rsid w:val="002D19D7"/>
    <w:rsid w:val="002D2013"/>
    <w:rsid w:val="002D38AB"/>
    <w:rsid w:val="002D4587"/>
    <w:rsid w:val="002D4988"/>
    <w:rsid w:val="002D4BBE"/>
    <w:rsid w:val="002D4CCA"/>
    <w:rsid w:val="002D5048"/>
    <w:rsid w:val="002D591A"/>
    <w:rsid w:val="002D65D5"/>
    <w:rsid w:val="002D6D39"/>
    <w:rsid w:val="002D7A84"/>
    <w:rsid w:val="002E0725"/>
    <w:rsid w:val="002E0A39"/>
    <w:rsid w:val="002E0CB8"/>
    <w:rsid w:val="002E11B1"/>
    <w:rsid w:val="002E27BE"/>
    <w:rsid w:val="002E289B"/>
    <w:rsid w:val="002E3570"/>
    <w:rsid w:val="002E36FC"/>
    <w:rsid w:val="002E3DE2"/>
    <w:rsid w:val="002E449E"/>
    <w:rsid w:val="002E4ACE"/>
    <w:rsid w:val="002E50ED"/>
    <w:rsid w:val="002E62B1"/>
    <w:rsid w:val="002E70A0"/>
    <w:rsid w:val="002F02D9"/>
    <w:rsid w:val="002F0B98"/>
    <w:rsid w:val="002F1035"/>
    <w:rsid w:val="002F10E5"/>
    <w:rsid w:val="002F199C"/>
    <w:rsid w:val="002F1ABC"/>
    <w:rsid w:val="002F1CD5"/>
    <w:rsid w:val="002F1FC9"/>
    <w:rsid w:val="002F2564"/>
    <w:rsid w:val="002F3076"/>
    <w:rsid w:val="002F320C"/>
    <w:rsid w:val="002F4445"/>
    <w:rsid w:val="002F4B56"/>
    <w:rsid w:val="002F522E"/>
    <w:rsid w:val="002F5421"/>
    <w:rsid w:val="002F5A2B"/>
    <w:rsid w:val="002F5B63"/>
    <w:rsid w:val="002F62CC"/>
    <w:rsid w:val="002F778A"/>
    <w:rsid w:val="0030131A"/>
    <w:rsid w:val="00301589"/>
    <w:rsid w:val="00301DE0"/>
    <w:rsid w:val="00303EF1"/>
    <w:rsid w:val="003053AC"/>
    <w:rsid w:val="0030640D"/>
    <w:rsid w:val="00310466"/>
    <w:rsid w:val="00310E1F"/>
    <w:rsid w:val="003116C7"/>
    <w:rsid w:val="0031381E"/>
    <w:rsid w:val="00313921"/>
    <w:rsid w:val="00314E67"/>
    <w:rsid w:val="00315501"/>
    <w:rsid w:val="00315A98"/>
    <w:rsid w:val="00316268"/>
    <w:rsid w:val="003169D3"/>
    <w:rsid w:val="003169F3"/>
    <w:rsid w:val="00316A90"/>
    <w:rsid w:val="00316E98"/>
    <w:rsid w:val="00316EA0"/>
    <w:rsid w:val="0032035D"/>
    <w:rsid w:val="00320A83"/>
    <w:rsid w:val="00321539"/>
    <w:rsid w:val="00321A70"/>
    <w:rsid w:val="00321D2C"/>
    <w:rsid w:val="00321FBD"/>
    <w:rsid w:val="003229C0"/>
    <w:rsid w:val="00322C4A"/>
    <w:rsid w:val="00323CF9"/>
    <w:rsid w:val="00324631"/>
    <w:rsid w:val="0032493D"/>
    <w:rsid w:val="003259B2"/>
    <w:rsid w:val="0032601C"/>
    <w:rsid w:val="003265F4"/>
    <w:rsid w:val="00330E06"/>
    <w:rsid w:val="0033150D"/>
    <w:rsid w:val="0033203D"/>
    <w:rsid w:val="00332386"/>
    <w:rsid w:val="00333845"/>
    <w:rsid w:val="003344A1"/>
    <w:rsid w:val="003347C7"/>
    <w:rsid w:val="003350C4"/>
    <w:rsid w:val="00335932"/>
    <w:rsid w:val="00335E50"/>
    <w:rsid w:val="00336809"/>
    <w:rsid w:val="00336C45"/>
    <w:rsid w:val="00336D77"/>
    <w:rsid w:val="00337DA1"/>
    <w:rsid w:val="00340E36"/>
    <w:rsid w:val="003411A7"/>
    <w:rsid w:val="00342ACC"/>
    <w:rsid w:val="0034342B"/>
    <w:rsid w:val="00343669"/>
    <w:rsid w:val="0034385F"/>
    <w:rsid w:val="00344246"/>
    <w:rsid w:val="00344589"/>
    <w:rsid w:val="00344DBF"/>
    <w:rsid w:val="0034522A"/>
    <w:rsid w:val="00345EE7"/>
    <w:rsid w:val="00346371"/>
    <w:rsid w:val="003463AE"/>
    <w:rsid w:val="0034695A"/>
    <w:rsid w:val="003474B0"/>
    <w:rsid w:val="00347AEB"/>
    <w:rsid w:val="003502B4"/>
    <w:rsid w:val="00350720"/>
    <w:rsid w:val="003509B6"/>
    <w:rsid w:val="00350F8A"/>
    <w:rsid w:val="00351061"/>
    <w:rsid w:val="00351832"/>
    <w:rsid w:val="0035189E"/>
    <w:rsid w:val="003520E1"/>
    <w:rsid w:val="003537A1"/>
    <w:rsid w:val="003537C9"/>
    <w:rsid w:val="00353A8F"/>
    <w:rsid w:val="00354ED3"/>
    <w:rsid w:val="00355745"/>
    <w:rsid w:val="00355FAB"/>
    <w:rsid w:val="00356137"/>
    <w:rsid w:val="00356A91"/>
    <w:rsid w:val="0035700B"/>
    <w:rsid w:val="00357E27"/>
    <w:rsid w:val="00357E8C"/>
    <w:rsid w:val="003611A3"/>
    <w:rsid w:val="003617DD"/>
    <w:rsid w:val="00362A41"/>
    <w:rsid w:val="00362BAE"/>
    <w:rsid w:val="00363122"/>
    <w:rsid w:val="00364004"/>
    <w:rsid w:val="00364093"/>
    <w:rsid w:val="003640F6"/>
    <w:rsid w:val="003647B8"/>
    <w:rsid w:val="003647BF"/>
    <w:rsid w:val="00364EC9"/>
    <w:rsid w:val="0036577E"/>
    <w:rsid w:val="00365E3E"/>
    <w:rsid w:val="00365FCE"/>
    <w:rsid w:val="00366DA9"/>
    <w:rsid w:val="00367BCF"/>
    <w:rsid w:val="003702C8"/>
    <w:rsid w:val="00370883"/>
    <w:rsid w:val="00370932"/>
    <w:rsid w:val="00372B8E"/>
    <w:rsid w:val="00373000"/>
    <w:rsid w:val="0037397C"/>
    <w:rsid w:val="00373A25"/>
    <w:rsid w:val="00374213"/>
    <w:rsid w:val="0037483F"/>
    <w:rsid w:val="00374957"/>
    <w:rsid w:val="00375961"/>
    <w:rsid w:val="0037666E"/>
    <w:rsid w:val="00376837"/>
    <w:rsid w:val="00376F96"/>
    <w:rsid w:val="00380DF9"/>
    <w:rsid w:val="003814BF"/>
    <w:rsid w:val="003815A8"/>
    <w:rsid w:val="00381E55"/>
    <w:rsid w:val="00382C52"/>
    <w:rsid w:val="00383614"/>
    <w:rsid w:val="00383BC0"/>
    <w:rsid w:val="003843F6"/>
    <w:rsid w:val="00384C06"/>
    <w:rsid w:val="00384F6C"/>
    <w:rsid w:val="003851BA"/>
    <w:rsid w:val="00385F18"/>
    <w:rsid w:val="0038613C"/>
    <w:rsid w:val="00386A3E"/>
    <w:rsid w:val="003879F5"/>
    <w:rsid w:val="003901A6"/>
    <w:rsid w:val="00390586"/>
    <w:rsid w:val="00390816"/>
    <w:rsid w:val="00390C37"/>
    <w:rsid w:val="00391369"/>
    <w:rsid w:val="003915F3"/>
    <w:rsid w:val="00391960"/>
    <w:rsid w:val="003919E7"/>
    <w:rsid w:val="00391E77"/>
    <w:rsid w:val="00392448"/>
    <w:rsid w:val="0039354B"/>
    <w:rsid w:val="00393DD9"/>
    <w:rsid w:val="00393F89"/>
    <w:rsid w:val="00395922"/>
    <w:rsid w:val="003965B5"/>
    <w:rsid w:val="00396BE1"/>
    <w:rsid w:val="003971DE"/>
    <w:rsid w:val="00397418"/>
    <w:rsid w:val="003977CE"/>
    <w:rsid w:val="00397B18"/>
    <w:rsid w:val="003A0690"/>
    <w:rsid w:val="003A25D2"/>
    <w:rsid w:val="003A2F43"/>
    <w:rsid w:val="003A2FEA"/>
    <w:rsid w:val="003A45CC"/>
    <w:rsid w:val="003A50C2"/>
    <w:rsid w:val="003A59D1"/>
    <w:rsid w:val="003A626E"/>
    <w:rsid w:val="003A6F24"/>
    <w:rsid w:val="003A7011"/>
    <w:rsid w:val="003B16F2"/>
    <w:rsid w:val="003B1B85"/>
    <w:rsid w:val="003B1F4D"/>
    <w:rsid w:val="003B21D2"/>
    <w:rsid w:val="003B221B"/>
    <w:rsid w:val="003B30E7"/>
    <w:rsid w:val="003B33BA"/>
    <w:rsid w:val="003B3D05"/>
    <w:rsid w:val="003B4DC7"/>
    <w:rsid w:val="003B6757"/>
    <w:rsid w:val="003B67D4"/>
    <w:rsid w:val="003B70CD"/>
    <w:rsid w:val="003B7621"/>
    <w:rsid w:val="003B7B72"/>
    <w:rsid w:val="003C0E5B"/>
    <w:rsid w:val="003C1022"/>
    <w:rsid w:val="003C1292"/>
    <w:rsid w:val="003C15D4"/>
    <w:rsid w:val="003C2004"/>
    <w:rsid w:val="003C2174"/>
    <w:rsid w:val="003C2182"/>
    <w:rsid w:val="003C34EC"/>
    <w:rsid w:val="003C3EE2"/>
    <w:rsid w:val="003C4DB8"/>
    <w:rsid w:val="003C52DA"/>
    <w:rsid w:val="003C55A6"/>
    <w:rsid w:val="003C5DD6"/>
    <w:rsid w:val="003C6280"/>
    <w:rsid w:val="003C70F0"/>
    <w:rsid w:val="003D09BE"/>
    <w:rsid w:val="003D0EC4"/>
    <w:rsid w:val="003D122E"/>
    <w:rsid w:val="003D15B2"/>
    <w:rsid w:val="003D233C"/>
    <w:rsid w:val="003D26C0"/>
    <w:rsid w:val="003D2A15"/>
    <w:rsid w:val="003D38F5"/>
    <w:rsid w:val="003D39EA"/>
    <w:rsid w:val="003D3CCF"/>
    <w:rsid w:val="003D3D4C"/>
    <w:rsid w:val="003D4075"/>
    <w:rsid w:val="003D4665"/>
    <w:rsid w:val="003D6E1E"/>
    <w:rsid w:val="003D729A"/>
    <w:rsid w:val="003D72F3"/>
    <w:rsid w:val="003D7B87"/>
    <w:rsid w:val="003D7DD7"/>
    <w:rsid w:val="003E04D7"/>
    <w:rsid w:val="003E0AFB"/>
    <w:rsid w:val="003E0B87"/>
    <w:rsid w:val="003E1480"/>
    <w:rsid w:val="003E221F"/>
    <w:rsid w:val="003E3D31"/>
    <w:rsid w:val="003E47D4"/>
    <w:rsid w:val="003E5F0D"/>
    <w:rsid w:val="003E6179"/>
    <w:rsid w:val="003E6ED3"/>
    <w:rsid w:val="003F0527"/>
    <w:rsid w:val="003F0C7E"/>
    <w:rsid w:val="003F11B8"/>
    <w:rsid w:val="003F1826"/>
    <w:rsid w:val="003F1A25"/>
    <w:rsid w:val="003F2552"/>
    <w:rsid w:val="003F27AA"/>
    <w:rsid w:val="003F2CC1"/>
    <w:rsid w:val="003F4769"/>
    <w:rsid w:val="003F560C"/>
    <w:rsid w:val="003F5634"/>
    <w:rsid w:val="003F58D2"/>
    <w:rsid w:val="003F62B6"/>
    <w:rsid w:val="003F66D6"/>
    <w:rsid w:val="003F6849"/>
    <w:rsid w:val="003F70EF"/>
    <w:rsid w:val="003F7513"/>
    <w:rsid w:val="003F775B"/>
    <w:rsid w:val="003F7DEB"/>
    <w:rsid w:val="00400236"/>
    <w:rsid w:val="00400573"/>
    <w:rsid w:val="0040061B"/>
    <w:rsid w:val="00400D84"/>
    <w:rsid w:val="00402D3B"/>
    <w:rsid w:val="00402F90"/>
    <w:rsid w:val="00406FA8"/>
    <w:rsid w:val="00407F9A"/>
    <w:rsid w:val="004106F1"/>
    <w:rsid w:val="004114F4"/>
    <w:rsid w:val="0041321B"/>
    <w:rsid w:val="004139AF"/>
    <w:rsid w:val="00414B9B"/>
    <w:rsid w:val="004154D1"/>
    <w:rsid w:val="00415A29"/>
    <w:rsid w:val="00415CFE"/>
    <w:rsid w:val="00416485"/>
    <w:rsid w:val="00416690"/>
    <w:rsid w:val="004167EC"/>
    <w:rsid w:val="00416858"/>
    <w:rsid w:val="0041730C"/>
    <w:rsid w:val="004173FF"/>
    <w:rsid w:val="0041786C"/>
    <w:rsid w:val="00417CDA"/>
    <w:rsid w:val="0042071C"/>
    <w:rsid w:val="00420B8F"/>
    <w:rsid w:val="00422556"/>
    <w:rsid w:val="004227B4"/>
    <w:rsid w:val="0042294F"/>
    <w:rsid w:val="00424F52"/>
    <w:rsid w:val="004254CA"/>
    <w:rsid w:val="0042648D"/>
    <w:rsid w:val="00426510"/>
    <w:rsid w:val="004276F4"/>
    <w:rsid w:val="00427B1E"/>
    <w:rsid w:val="004306C9"/>
    <w:rsid w:val="0043142C"/>
    <w:rsid w:val="00431994"/>
    <w:rsid w:val="004323AA"/>
    <w:rsid w:val="00432694"/>
    <w:rsid w:val="00433381"/>
    <w:rsid w:val="00434174"/>
    <w:rsid w:val="00434B86"/>
    <w:rsid w:val="00435848"/>
    <w:rsid w:val="004361D3"/>
    <w:rsid w:val="004362F5"/>
    <w:rsid w:val="00436644"/>
    <w:rsid w:val="00437EA5"/>
    <w:rsid w:val="004401A3"/>
    <w:rsid w:val="004402FA"/>
    <w:rsid w:val="004404B4"/>
    <w:rsid w:val="00441111"/>
    <w:rsid w:val="00441F6D"/>
    <w:rsid w:val="004421AC"/>
    <w:rsid w:val="004421E4"/>
    <w:rsid w:val="00442AF2"/>
    <w:rsid w:val="004432C2"/>
    <w:rsid w:val="00443374"/>
    <w:rsid w:val="0044433D"/>
    <w:rsid w:val="004456F8"/>
    <w:rsid w:val="004462BE"/>
    <w:rsid w:val="00446A2C"/>
    <w:rsid w:val="004475FC"/>
    <w:rsid w:val="00447BDB"/>
    <w:rsid w:val="00450C21"/>
    <w:rsid w:val="0045133A"/>
    <w:rsid w:val="004513E6"/>
    <w:rsid w:val="004515A2"/>
    <w:rsid w:val="004527E3"/>
    <w:rsid w:val="004553A1"/>
    <w:rsid w:val="00455566"/>
    <w:rsid w:val="004562BB"/>
    <w:rsid w:val="00456BC6"/>
    <w:rsid w:val="00457C5F"/>
    <w:rsid w:val="00457D69"/>
    <w:rsid w:val="00457EFE"/>
    <w:rsid w:val="0046038D"/>
    <w:rsid w:val="00460BCF"/>
    <w:rsid w:val="004613C7"/>
    <w:rsid w:val="00461C72"/>
    <w:rsid w:val="00462051"/>
    <w:rsid w:val="00462AA9"/>
    <w:rsid w:val="00462B26"/>
    <w:rsid w:val="00463239"/>
    <w:rsid w:val="00463D1D"/>
    <w:rsid w:val="00466E59"/>
    <w:rsid w:val="00467193"/>
    <w:rsid w:val="004671DF"/>
    <w:rsid w:val="004674E1"/>
    <w:rsid w:val="00467BAD"/>
    <w:rsid w:val="00467CAB"/>
    <w:rsid w:val="00470AD2"/>
    <w:rsid w:val="00471438"/>
    <w:rsid w:val="0047166F"/>
    <w:rsid w:val="00473013"/>
    <w:rsid w:val="00473CFC"/>
    <w:rsid w:val="0047470E"/>
    <w:rsid w:val="00474BA1"/>
    <w:rsid w:val="00474C84"/>
    <w:rsid w:val="00475221"/>
    <w:rsid w:val="004757E8"/>
    <w:rsid w:val="004767AA"/>
    <w:rsid w:val="004768FE"/>
    <w:rsid w:val="004769A4"/>
    <w:rsid w:val="00477756"/>
    <w:rsid w:val="00477D26"/>
    <w:rsid w:val="004801DE"/>
    <w:rsid w:val="00480783"/>
    <w:rsid w:val="004809D6"/>
    <w:rsid w:val="00481BDB"/>
    <w:rsid w:val="00481E96"/>
    <w:rsid w:val="00482D3A"/>
    <w:rsid w:val="00482EDB"/>
    <w:rsid w:val="00483AB1"/>
    <w:rsid w:val="00483AD2"/>
    <w:rsid w:val="00483E27"/>
    <w:rsid w:val="00484F9B"/>
    <w:rsid w:val="00485490"/>
    <w:rsid w:val="004907B6"/>
    <w:rsid w:val="0049149E"/>
    <w:rsid w:val="0049153A"/>
    <w:rsid w:val="00491CCB"/>
    <w:rsid w:val="00492E4F"/>
    <w:rsid w:val="00493788"/>
    <w:rsid w:val="00494477"/>
    <w:rsid w:val="00494FA9"/>
    <w:rsid w:val="00495883"/>
    <w:rsid w:val="00496300"/>
    <w:rsid w:val="004963F3"/>
    <w:rsid w:val="00496912"/>
    <w:rsid w:val="00496B46"/>
    <w:rsid w:val="00497C6D"/>
    <w:rsid w:val="004A0516"/>
    <w:rsid w:val="004A0A42"/>
    <w:rsid w:val="004A245A"/>
    <w:rsid w:val="004A2CF8"/>
    <w:rsid w:val="004A2FEF"/>
    <w:rsid w:val="004A321A"/>
    <w:rsid w:val="004A3547"/>
    <w:rsid w:val="004A3F4E"/>
    <w:rsid w:val="004A435C"/>
    <w:rsid w:val="004A4779"/>
    <w:rsid w:val="004A47DE"/>
    <w:rsid w:val="004A4B28"/>
    <w:rsid w:val="004A534C"/>
    <w:rsid w:val="004A5C10"/>
    <w:rsid w:val="004A68D2"/>
    <w:rsid w:val="004A6C03"/>
    <w:rsid w:val="004A759B"/>
    <w:rsid w:val="004A7B0B"/>
    <w:rsid w:val="004A7FFB"/>
    <w:rsid w:val="004B05E2"/>
    <w:rsid w:val="004B1334"/>
    <w:rsid w:val="004B151A"/>
    <w:rsid w:val="004B1B52"/>
    <w:rsid w:val="004B1C7F"/>
    <w:rsid w:val="004B2466"/>
    <w:rsid w:val="004B2673"/>
    <w:rsid w:val="004B2B1E"/>
    <w:rsid w:val="004B3006"/>
    <w:rsid w:val="004B40AE"/>
    <w:rsid w:val="004B53B6"/>
    <w:rsid w:val="004B5CF0"/>
    <w:rsid w:val="004B6166"/>
    <w:rsid w:val="004B61DE"/>
    <w:rsid w:val="004B69D8"/>
    <w:rsid w:val="004B6A5F"/>
    <w:rsid w:val="004B7AD6"/>
    <w:rsid w:val="004C12F9"/>
    <w:rsid w:val="004C1621"/>
    <w:rsid w:val="004C220B"/>
    <w:rsid w:val="004C23BF"/>
    <w:rsid w:val="004C2D05"/>
    <w:rsid w:val="004C2D3C"/>
    <w:rsid w:val="004C4B9A"/>
    <w:rsid w:val="004C4D75"/>
    <w:rsid w:val="004C5527"/>
    <w:rsid w:val="004C568A"/>
    <w:rsid w:val="004C56E3"/>
    <w:rsid w:val="004C5761"/>
    <w:rsid w:val="004C5897"/>
    <w:rsid w:val="004C58AE"/>
    <w:rsid w:val="004C58C5"/>
    <w:rsid w:val="004C5A9C"/>
    <w:rsid w:val="004C5D21"/>
    <w:rsid w:val="004C6BC5"/>
    <w:rsid w:val="004C6FFB"/>
    <w:rsid w:val="004D12D3"/>
    <w:rsid w:val="004D1A47"/>
    <w:rsid w:val="004D2570"/>
    <w:rsid w:val="004D2909"/>
    <w:rsid w:val="004D341C"/>
    <w:rsid w:val="004D3557"/>
    <w:rsid w:val="004D43F5"/>
    <w:rsid w:val="004D4513"/>
    <w:rsid w:val="004D49EC"/>
    <w:rsid w:val="004D4B59"/>
    <w:rsid w:val="004D5392"/>
    <w:rsid w:val="004D5CC2"/>
    <w:rsid w:val="004D5F6F"/>
    <w:rsid w:val="004D6470"/>
    <w:rsid w:val="004D6753"/>
    <w:rsid w:val="004D678F"/>
    <w:rsid w:val="004D6981"/>
    <w:rsid w:val="004D6ECA"/>
    <w:rsid w:val="004D77C1"/>
    <w:rsid w:val="004E0ACA"/>
    <w:rsid w:val="004E2197"/>
    <w:rsid w:val="004E258E"/>
    <w:rsid w:val="004E273A"/>
    <w:rsid w:val="004E274B"/>
    <w:rsid w:val="004E3A4D"/>
    <w:rsid w:val="004E41B4"/>
    <w:rsid w:val="004E6601"/>
    <w:rsid w:val="004E6A3F"/>
    <w:rsid w:val="004E6DE1"/>
    <w:rsid w:val="004E75BA"/>
    <w:rsid w:val="004E7B42"/>
    <w:rsid w:val="004F01AB"/>
    <w:rsid w:val="004F0F46"/>
    <w:rsid w:val="004F102A"/>
    <w:rsid w:val="004F1B11"/>
    <w:rsid w:val="004F2084"/>
    <w:rsid w:val="004F2512"/>
    <w:rsid w:val="004F30A6"/>
    <w:rsid w:val="004F3864"/>
    <w:rsid w:val="004F39B4"/>
    <w:rsid w:val="004F40E3"/>
    <w:rsid w:val="004F42CC"/>
    <w:rsid w:val="004F5B23"/>
    <w:rsid w:val="004F5E07"/>
    <w:rsid w:val="004F5F02"/>
    <w:rsid w:val="004F641F"/>
    <w:rsid w:val="004F6700"/>
    <w:rsid w:val="00500F3F"/>
    <w:rsid w:val="00500F49"/>
    <w:rsid w:val="0050131A"/>
    <w:rsid w:val="005019D6"/>
    <w:rsid w:val="00501AAF"/>
    <w:rsid w:val="00502358"/>
    <w:rsid w:val="0050238F"/>
    <w:rsid w:val="005024ED"/>
    <w:rsid w:val="0050311D"/>
    <w:rsid w:val="005034A9"/>
    <w:rsid w:val="0050459D"/>
    <w:rsid w:val="00504769"/>
    <w:rsid w:val="00504A49"/>
    <w:rsid w:val="00504BA5"/>
    <w:rsid w:val="0050548B"/>
    <w:rsid w:val="005054F6"/>
    <w:rsid w:val="00506F69"/>
    <w:rsid w:val="00507A28"/>
    <w:rsid w:val="00510B15"/>
    <w:rsid w:val="00510E77"/>
    <w:rsid w:val="005136FC"/>
    <w:rsid w:val="0051489D"/>
    <w:rsid w:val="005149FE"/>
    <w:rsid w:val="0051595B"/>
    <w:rsid w:val="00515AFB"/>
    <w:rsid w:val="00515E45"/>
    <w:rsid w:val="005165B7"/>
    <w:rsid w:val="00517444"/>
    <w:rsid w:val="00520E96"/>
    <w:rsid w:val="005217D6"/>
    <w:rsid w:val="00521819"/>
    <w:rsid w:val="00521A20"/>
    <w:rsid w:val="00521E66"/>
    <w:rsid w:val="00522164"/>
    <w:rsid w:val="00522210"/>
    <w:rsid w:val="00522718"/>
    <w:rsid w:val="00522831"/>
    <w:rsid w:val="00522B6E"/>
    <w:rsid w:val="00522C3D"/>
    <w:rsid w:val="00524555"/>
    <w:rsid w:val="005246E0"/>
    <w:rsid w:val="00524D25"/>
    <w:rsid w:val="0052508C"/>
    <w:rsid w:val="005270DE"/>
    <w:rsid w:val="0052769E"/>
    <w:rsid w:val="00530AF2"/>
    <w:rsid w:val="00530DD1"/>
    <w:rsid w:val="00530F12"/>
    <w:rsid w:val="00531851"/>
    <w:rsid w:val="00531EC9"/>
    <w:rsid w:val="0053246F"/>
    <w:rsid w:val="00532DAA"/>
    <w:rsid w:val="00532E63"/>
    <w:rsid w:val="00533192"/>
    <w:rsid w:val="005331EC"/>
    <w:rsid w:val="00535768"/>
    <w:rsid w:val="005359F1"/>
    <w:rsid w:val="00535A69"/>
    <w:rsid w:val="00535F8E"/>
    <w:rsid w:val="0053622F"/>
    <w:rsid w:val="005363C7"/>
    <w:rsid w:val="005364A5"/>
    <w:rsid w:val="00536684"/>
    <w:rsid w:val="00536A23"/>
    <w:rsid w:val="005403F6"/>
    <w:rsid w:val="00540502"/>
    <w:rsid w:val="005405CE"/>
    <w:rsid w:val="00540846"/>
    <w:rsid w:val="00540935"/>
    <w:rsid w:val="00540C67"/>
    <w:rsid w:val="00541AEF"/>
    <w:rsid w:val="00541D41"/>
    <w:rsid w:val="00542C48"/>
    <w:rsid w:val="00543F28"/>
    <w:rsid w:val="00543F5F"/>
    <w:rsid w:val="00544B96"/>
    <w:rsid w:val="00544EF1"/>
    <w:rsid w:val="0054574F"/>
    <w:rsid w:val="005459C6"/>
    <w:rsid w:val="00545AAB"/>
    <w:rsid w:val="0054635D"/>
    <w:rsid w:val="00547509"/>
    <w:rsid w:val="00547897"/>
    <w:rsid w:val="00547E46"/>
    <w:rsid w:val="0055036D"/>
    <w:rsid w:val="0055041C"/>
    <w:rsid w:val="0055173D"/>
    <w:rsid w:val="00551871"/>
    <w:rsid w:val="005518E6"/>
    <w:rsid w:val="00551936"/>
    <w:rsid w:val="00552B52"/>
    <w:rsid w:val="00553575"/>
    <w:rsid w:val="005537A4"/>
    <w:rsid w:val="00553E6D"/>
    <w:rsid w:val="0055492C"/>
    <w:rsid w:val="00554D1A"/>
    <w:rsid w:val="00554D47"/>
    <w:rsid w:val="005559D2"/>
    <w:rsid w:val="00555E3D"/>
    <w:rsid w:val="00556407"/>
    <w:rsid w:val="005579F0"/>
    <w:rsid w:val="005605B9"/>
    <w:rsid w:val="00560AB2"/>
    <w:rsid w:val="00560C10"/>
    <w:rsid w:val="00560C56"/>
    <w:rsid w:val="00563479"/>
    <w:rsid w:val="0056490D"/>
    <w:rsid w:val="00565DFC"/>
    <w:rsid w:val="00565E0B"/>
    <w:rsid w:val="00566C48"/>
    <w:rsid w:val="0056755A"/>
    <w:rsid w:val="00570067"/>
    <w:rsid w:val="00570763"/>
    <w:rsid w:val="005709DC"/>
    <w:rsid w:val="005711AD"/>
    <w:rsid w:val="005716CD"/>
    <w:rsid w:val="00572AF4"/>
    <w:rsid w:val="00572C05"/>
    <w:rsid w:val="0057373F"/>
    <w:rsid w:val="00574425"/>
    <w:rsid w:val="005746EF"/>
    <w:rsid w:val="00575D59"/>
    <w:rsid w:val="00576856"/>
    <w:rsid w:val="005770BB"/>
    <w:rsid w:val="0057733C"/>
    <w:rsid w:val="0058023A"/>
    <w:rsid w:val="00580C77"/>
    <w:rsid w:val="00581DDD"/>
    <w:rsid w:val="00582A48"/>
    <w:rsid w:val="00583CE6"/>
    <w:rsid w:val="00583F6C"/>
    <w:rsid w:val="00584133"/>
    <w:rsid w:val="00584205"/>
    <w:rsid w:val="00584425"/>
    <w:rsid w:val="005848A1"/>
    <w:rsid w:val="00584F88"/>
    <w:rsid w:val="00585608"/>
    <w:rsid w:val="00586717"/>
    <w:rsid w:val="00586827"/>
    <w:rsid w:val="00587436"/>
    <w:rsid w:val="0059043C"/>
    <w:rsid w:val="0059106C"/>
    <w:rsid w:val="005919B5"/>
    <w:rsid w:val="00591CFF"/>
    <w:rsid w:val="00592677"/>
    <w:rsid w:val="00592D79"/>
    <w:rsid w:val="00593451"/>
    <w:rsid w:val="00593CA4"/>
    <w:rsid w:val="00594184"/>
    <w:rsid w:val="0059438F"/>
    <w:rsid w:val="00594A65"/>
    <w:rsid w:val="005955F1"/>
    <w:rsid w:val="005962A7"/>
    <w:rsid w:val="0059665C"/>
    <w:rsid w:val="00596C10"/>
    <w:rsid w:val="00597954"/>
    <w:rsid w:val="005A08B3"/>
    <w:rsid w:val="005A1C6E"/>
    <w:rsid w:val="005A2394"/>
    <w:rsid w:val="005A2D67"/>
    <w:rsid w:val="005A42A9"/>
    <w:rsid w:val="005A4AF8"/>
    <w:rsid w:val="005A4DEB"/>
    <w:rsid w:val="005A56A1"/>
    <w:rsid w:val="005A5929"/>
    <w:rsid w:val="005A5DC0"/>
    <w:rsid w:val="005A6AA6"/>
    <w:rsid w:val="005A6FFD"/>
    <w:rsid w:val="005A7D07"/>
    <w:rsid w:val="005B0617"/>
    <w:rsid w:val="005B332B"/>
    <w:rsid w:val="005B34B6"/>
    <w:rsid w:val="005B4686"/>
    <w:rsid w:val="005B694B"/>
    <w:rsid w:val="005B6B79"/>
    <w:rsid w:val="005B6F4B"/>
    <w:rsid w:val="005B71F5"/>
    <w:rsid w:val="005B765C"/>
    <w:rsid w:val="005C0AB9"/>
    <w:rsid w:val="005C15C6"/>
    <w:rsid w:val="005C2EA3"/>
    <w:rsid w:val="005C342A"/>
    <w:rsid w:val="005C53C6"/>
    <w:rsid w:val="005C5C04"/>
    <w:rsid w:val="005C63AC"/>
    <w:rsid w:val="005C64D6"/>
    <w:rsid w:val="005C6822"/>
    <w:rsid w:val="005C6874"/>
    <w:rsid w:val="005C694B"/>
    <w:rsid w:val="005C6BD7"/>
    <w:rsid w:val="005D1AAC"/>
    <w:rsid w:val="005D1D5A"/>
    <w:rsid w:val="005D1E96"/>
    <w:rsid w:val="005D2499"/>
    <w:rsid w:val="005D324C"/>
    <w:rsid w:val="005D45EC"/>
    <w:rsid w:val="005D46D9"/>
    <w:rsid w:val="005D48C2"/>
    <w:rsid w:val="005D6665"/>
    <w:rsid w:val="005D6B19"/>
    <w:rsid w:val="005D6B33"/>
    <w:rsid w:val="005D6D0F"/>
    <w:rsid w:val="005E0542"/>
    <w:rsid w:val="005E0549"/>
    <w:rsid w:val="005E12B1"/>
    <w:rsid w:val="005E2296"/>
    <w:rsid w:val="005E2801"/>
    <w:rsid w:val="005E321B"/>
    <w:rsid w:val="005E331D"/>
    <w:rsid w:val="005E3A27"/>
    <w:rsid w:val="005E45C4"/>
    <w:rsid w:val="005E4903"/>
    <w:rsid w:val="005E54D3"/>
    <w:rsid w:val="005E5A89"/>
    <w:rsid w:val="005E5E11"/>
    <w:rsid w:val="005E66A8"/>
    <w:rsid w:val="005E7343"/>
    <w:rsid w:val="005E773E"/>
    <w:rsid w:val="005F008B"/>
    <w:rsid w:val="005F024C"/>
    <w:rsid w:val="005F02E5"/>
    <w:rsid w:val="005F0E9F"/>
    <w:rsid w:val="005F1481"/>
    <w:rsid w:val="005F22E3"/>
    <w:rsid w:val="005F302B"/>
    <w:rsid w:val="005F4882"/>
    <w:rsid w:val="005F4F27"/>
    <w:rsid w:val="005F5656"/>
    <w:rsid w:val="005F5704"/>
    <w:rsid w:val="005F5746"/>
    <w:rsid w:val="005F575B"/>
    <w:rsid w:val="005F6D9F"/>
    <w:rsid w:val="005F793F"/>
    <w:rsid w:val="00600744"/>
    <w:rsid w:val="00600804"/>
    <w:rsid w:val="00601041"/>
    <w:rsid w:val="006017D8"/>
    <w:rsid w:val="0060279E"/>
    <w:rsid w:val="006029FA"/>
    <w:rsid w:val="0060389F"/>
    <w:rsid w:val="00603959"/>
    <w:rsid w:val="00605DD8"/>
    <w:rsid w:val="00606513"/>
    <w:rsid w:val="006069DD"/>
    <w:rsid w:val="00606DE0"/>
    <w:rsid w:val="00607056"/>
    <w:rsid w:val="00607C1F"/>
    <w:rsid w:val="00610588"/>
    <w:rsid w:val="00610827"/>
    <w:rsid w:val="00610B11"/>
    <w:rsid w:val="006112C9"/>
    <w:rsid w:val="00611B35"/>
    <w:rsid w:val="0061339A"/>
    <w:rsid w:val="0061371F"/>
    <w:rsid w:val="006147AC"/>
    <w:rsid w:val="00616A5B"/>
    <w:rsid w:val="006171F1"/>
    <w:rsid w:val="0061756F"/>
    <w:rsid w:val="00617B40"/>
    <w:rsid w:val="00617E57"/>
    <w:rsid w:val="00620339"/>
    <w:rsid w:val="006214CC"/>
    <w:rsid w:val="00622031"/>
    <w:rsid w:val="00622189"/>
    <w:rsid w:val="00622BBD"/>
    <w:rsid w:val="00623890"/>
    <w:rsid w:val="00623CCB"/>
    <w:rsid w:val="00623F56"/>
    <w:rsid w:val="0062498D"/>
    <w:rsid w:val="00624BF6"/>
    <w:rsid w:val="0062598C"/>
    <w:rsid w:val="00625B0E"/>
    <w:rsid w:val="00625F44"/>
    <w:rsid w:val="00626CF7"/>
    <w:rsid w:val="00627A17"/>
    <w:rsid w:val="00630403"/>
    <w:rsid w:val="00630871"/>
    <w:rsid w:val="00630B3F"/>
    <w:rsid w:val="00631647"/>
    <w:rsid w:val="006318D6"/>
    <w:rsid w:val="00631A30"/>
    <w:rsid w:val="00631CF0"/>
    <w:rsid w:val="0063209E"/>
    <w:rsid w:val="006333D5"/>
    <w:rsid w:val="00633521"/>
    <w:rsid w:val="0063359F"/>
    <w:rsid w:val="006335D8"/>
    <w:rsid w:val="00633791"/>
    <w:rsid w:val="00633AD2"/>
    <w:rsid w:val="00634205"/>
    <w:rsid w:val="00635550"/>
    <w:rsid w:val="006360E7"/>
    <w:rsid w:val="00636A57"/>
    <w:rsid w:val="00636BDE"/>
    <w:rsid w:val="006374F0"/>
    <w:rsid w:val="00637695"/>
    <w:rsid w:val="00637CC4"/>
    <w:rsid w:val="006409D1"/>
    <w:rsid w:val="00640BC5"/>
    <w:rsid w:val="00642346"/>
    <w:rsid w:val="00643D47"/>
    <w:rsid w:val="00643EDB"/>
    <w:rsid w:val="00645140"/>
    <w:rsid w:val="006459D4"/>
    <w:rsid w:val="006459FB"/>
    <w:rsid w:val="00646286"/>
    <w:rsid w:val="00646456"/>
    <w:rsid w:val="00646836"/>
    <w:rsid w:val="00646844"/>
    <w:rsid w:val="00646B11"/>
    <w:rsid w:val="0064731E"/>
    <w:rsid w:val="0064735C"/>
    <w:rsid w:val="00647943"/>
    <w:rsid w:val="00647CB0"/>
    <w:rsid w:val="00651818"/>
    <w:rsid w:val="00653D63"/>
    <w:rsid w:val="0065418F"/>
    <w:rsid w:val="006545EB"/>
    <w:rsid w:val="00654C12"/>
    <w:rsid w:val="0065521F"/>
    <w:rsid w:val="006553D2"/>
    <w:rsid w:val="006554EF"/>
    <w:rsid w:val="006568BD"/>
    <w:rsid w:val="00656A3B"/>
    <w:rsid w:val="00657011"/>
    <w:rsid w:val="00657693"/>
    <w:rsid w:val="00657AA6"/>
    <w:rsid w:val="00660444"/>
    <w:rsid w:val="006607D9"/>
    <w:rsid w:val="006611AF"/>
    <w:rsid w:val="0066170B"/>
    <w:rsid w:val="00662397"/>
    <w:rsid w:val="006628AD"/>
    <w:rsid w:val="00663C68"/>
    <w:rsid w:val="00663ED7"/>
    <w:rsid w:val="00664122"/>
    <w:rsid w:val="00664D22"/>
    <w:rsid w:val="00665766"/>
    <w:rsid w:val="0066584D"/>
    <w:rsid w:val="00666A60"/>
    <w:rsid w:val="00666B5D"/>
    <w:rsid w:val="00666D74"/>
    <w:rsid w:val="0067114E"/>
    <w:rsid w:val="006717C9"/>
    <w:rsid w:val="006717E9"/>
    <w:rsid w:val="006720BA"/>
    <w:rsid w:val="006721A4"/>
    <w:rsid w:val="00672396"/>
    <w:rsid w:val="00672A00"/>
    <w:rsid w:val="00672A75"/>
    <w:rsid w:val="00672F29"/>
    <w:rsid w:val="00674499"/>
    <w:rsid w:val="00675A67"/>
    <w:rsid w:val="00675F74"/>
    <w:rsid w:val="00676B2F"/>
    <w:rsid w:val="00676F24"/>
    <w:rsid w:val="0067776C"/>
    <w:rsid w:val="0068035A"/>
    <w:rsid w:val="00680B4F"/>
    <w:rsid w:val="00680D46"/>
    <w:rsid w:val="0068124A"/>
    <w:rsid w:val="006814B4"/>
    <w:rsid w:val="00682AF4"/>
    <w:rsid w:val="0068300A"/>
    <w:rsid w:val="006832A4"/>
    <w:rsid w:val="00683EFB"/>
    <w:rsid w:val="00684360"/>
    <w:rsid w:val="00684644"/>
    <w:rsid w:val="00684692"/>
    <w:rsid w:val="006856CD"/>
    <w:rsid w:val="00685AFE"/>
    <w:rsid w:val="006860D0"/>
    <w:rsid w:val="00686490"/>
    <w:rsid w:val="006869FE"/>
    <w:rsid w:val="00686B07"/>
    <w:rsid w:val="00686B36"/>
    <w:rsid w:val="00686D57"/>
    <w:rsid w:val="00687E92"/>
    <w:rsid w:val="006909CC"/>
    <w:rsid w:val="00691ABA"/>
    <w:rsid w:val="00691AFE"/>
    <w:rsid w:val="00691FFE"/>
    <w:rsid w:val="00692A32"/>
    <w:rsid w:val="00692A84"/>
    <w:rsid w:val="00694B4F"/>
    <w:rsid w:val="00695657"/>
    <w:rsid w:val="0069582A"/>
    <w:rsid w:val="00696175"/>
    <w:rsid w:val="006969E0"/>
    <w:rsid w:val="00697B62"/>
    <w:rsid w:val="00697C81"/>
    <w:rsid w:val="006A0068"/>
    <w:rsid w:val="006A0242"/>
    <w:rsid w:val="006A0776"/>
    <w:rsid w:val="006A2007"/>
    <w:rsid w:val="006A20E1"/>
    <w:rsid w:val="006A20E2"/>
    <w:rsid w:val="006A2B02"/>
    <w:rsid w:val="006A34A5"/>
    <w:rsid w:val="006A4C84"/>
    <w:rsid w:val="006A5AE1"/>
    <w:rsid w:val="006A7145"/>
    <w:rsid w:val="006B044E"/>
    <w:rsid w:val="006B0951"/>
    <w:rsid w:val="006B11D4"/>
    <w:rsid w:val="006B1985"/>
    <w:rsid w:val="006B2003"/>
    <w:rsid w:val="006B2EF2"/>
    <w:rsid w:val="006B3278"/>
    <w:rsid w:val="006B327B"/>
    <w:rsid w:val="006B34B6"/>
    <w:rsid w:val="006B3C61"/>
    <w:rsid w:val="006B3FDB"/>
    <w:rsid w:val="006B439D"/>
    <w:rsid w:val="006B59F5"/>
    <w:rsid w:val="006B5B70"/>
    <w:rsid w:val="006B5DD7"/>
    <w:rsid w:val="006B5EDE"/>
    <w:rsid w:val="006B65D8"/>
    <w:rsid w:val="006B6997"/>
    <w:rsid w:val="006B6B6E"/>
    <w:rsid w:val="006B71A5"/>
    <w:rsid w:val="006C103B"/>
    <w:rsid w:val="006C16E8"/>
    <w:rsid w:val="006C18EE"/>
    <w:rsid w:val="006C3612"/>
    <w:rsid w:val="006C3C4D"/>
    <w:rsid w:val="006C3F53"/>
    <w:rsid w:val="006C3F95"/>
    <w:rsid w:val="006C41A4"/>
    <w:rsid w:val="006C4826"/>
    <w:rsid w:val="006C586F"/>
    <w:rsid w:val="006C60A3"/>
    <w:rsid w:val="006C613C"/>
    <w:rsid w:val="006C67D5"/>
    <w:rsid w:val="006C6F79"/>
    <w:rsid w:val="006C70DC"/>
    <w:rsid w:val="006C7D9C"/>
    <w:rsid w:val="006D01DF"/>
    <w:rsid w:val="006D05AE"/>
    <w:rsid w:val="006D16C4"/>
    <w:rsid w:val="006D1B94"/>
    <w:rsid w:val="006D1BA2"/>
    <w:rsid w:val="006D1BDD"/>
    <w:rsid w:val="006D1D38"/>
    <w:rsid w:val="006D3127"/>
    <w:rsid w:val="006D3D08"/>
    <w:rsid w:val="006D4587"/>
    <w:rsid w:val="006D4B9F"/>
    <w:rsid w:val="006D51B7"/>
    <w:rsid w:val="006D560B"/>
    <w:rsid w:val="006D5DCF"/>
    <w:rsid w:val="006D6A2B"/>
    <w:rsid w:val="006D71D3"/>
    <w:rsid w:val="006E08C0"/>
    <w:rsid w:val="006E096E"/>
    <w:rsid w:val="006E0F38"/>
    <w:rsid w:val="006E0F83"/>
    <w:rsid w:val="006E1D94"/>
    <w:rsid w:val="006E3059"/>
    <w:rsid w:val="006E33CE"/>
    <w:rsid w:val="006E3B37"/>
    <w:rsid w:val="006E431B"/>
    <w:rsid w:val="006E441A"/>
    <w:rsid w:val="006E55D6"/>
    <w:rsid w:val="006E58C1"/>
    <w:rsid w:val="006E5A80"/>
    <w:rsid w:val="006E5B62"/>
    <w:rsid w:val="006E5B93"/>
    <w:rsid w:val="006E6580"/>
    <w:rsid w:val="006F1626"/>
    <w:rsid w:val="006F16CC"/>
    <w:rsid w:val="006F1904"/>
    <w:rsid w:val="006F256A"/>
    <w:rsid w:val="006F276A"/>
    <w:rsid w:val="006F60DB"/>
    <w:rsid w:val="006F627C"/>
    <w:rsid w:val="006F6920"/>
    <w:rsid w:val="006F6B4C"/>
    <w:rsid w:val="006F72AF"/>
    <w:rsid w:val="006F75E5"/>
    <w:rsid w:val="00700083"/>
    <w:rsid w:val="007004E1"/>
    <w:rsid w:val="00700B90"/>
    <w:rsid w:val="00701520"/>
    <w:rsid w:val="00701710"/>
    <w:rsid w:val="00701D4D"/>
    <w:rsid w:val="00701E99"/>
    <w:rsid w:val="00702034"/>
    <w:rsid w:val="0070225D"/>
    <w:rsid w:val="007023D0"/>
    <w:rsid w:val="007025C6"/>
    <w:rsid w:val="007035DF"/>
    <w:rsid w:val="00703915"/>
    <w:rsid w:val="00704509"/>
    <w:rsid w:val="00704A37"/>
    <w:rsid w:val="00704BA7"/>
    <w:rsid w:val="00704E03"/>
    <w:rsid w:val="00705165"/>
    <w:rsid w:val="00705417"/>
    <w:rsid w:val="00705E9B"/>
    <w:rsid w:val="0070659D"/>
    <w:rsid w:val="00706FF0"/>
    <w:rsid w:val="0070768B"/>
    <w:rsid w:val="00710085"/>
    <w:rsid w:val="007105D4"/>
    <w:rsid w:val="007112B4"/>
    <w:rsid w:val="0071137B"/>
    <w:rsid w:val="00711E1E"/>
    <w:rsid w:val="00711F18"/>
    <w:rsid w:val="007125E8"/>
    <w:rsid w:val="00712B82"/>
    <w:rsid w:val="00712C5D"/>
    <w:rsid w:val="0071368F"/>
    <w:rsid w:val="00713BA1"/>
    <w:rsid w:val="00713E1D"/>
    <w:rsid w:val="00714508"/>
    <w:rsid w:val="00714A10"/>
    <w:rsid w:val="0071683C"/>
    <w:rsid w:val="0071686B"/>
    <w:rsid w:val="00716898"/>
    <w:rsid w:val="007169C6"/>
    <w:rsid w:val="00716F83"/>
    <w:rsid w:val="00717514"/>
    <w:rsid w:val="00717F8D"/>
    <w:rsid w:val="00721966"/>
    <w:rsid w:val="00721A3D"/>
    <w:rsid w:val="007222BD"/>
    <w:rsid w:val="007225C5"/>
    <w:rsid w:val="00723056"/>
    <w:rsid w:val="00723500"/>
    <w:rsid w:val="007236BB"/>
    <w:rsid w:val="00723E3F"/>
    <w:rsid w:val="007242D7"/>
    <w:rsid w:val="00724430"/>
    <w:rsid w:val="00724C69"/>
    <w:rsid w:val="00724CCF"/>
    <w:rsid w:val="00724CEB"/>
    <w:rsid w:val="00725C4C"/>
    <w:rsid w:val="00726895"/>
    <w:rsid w:val="0072729C"/>
    <w:rsid w:val="007274BA"/>
    <w:rsid w:val="00730416"/>
    <w:rsid w:val="00730E40"/>
    <w:rsid w:val="00731374"/>
    <w:rsid w:val="00731449"/>
    <w:rsid w:val="00731677"/>
    <w:rsid w:val="00732FE7"/>
    <w:rsid w:val="007331A7"/>
    <w:rsid w:val="007333A3"/>
    <w:rsid w:val="00733821"/>
    <w:rsid w:val="0073511B"/>
    <w:rsid w:val="00736143"/>
    <w:rsid w:val="00737C26"/>
    <w:rsid w:val="00740060"/>
    <w:rsid w:val="00740806"/>
    <w:rsid w:val="0074108B"/>
    <w:rsid w:val="00741703"/>
    <w:rsid w:val="00742480"/>
    <w:rsid w:val="00742D49"/>
    <w:rsid w:val="00743FE7"/>
    <w:rsid w:val="00745551"/>
    <w:rsid w:val="00746343"/>
    <w:rsid w:val="00746856"/>
    <w:rsid w:val="00746B6C"/>
    <w:rsid w:val="00746E7D"/>
    <w:rsid w:val="0074731A"/>
    <w:rsid w:val="00747639"/>
    <w:rsid w:val="007477D9"/>
    <w:rsid w:val="00747CF0"/>
    <w:rsid w:val="00750140"/>
    <w:rsid w:val="00750833"/>
    <w:rsid w:val="00751CB3"/>
    <w:rsid w:val="00751EE1"/>
    <w:rsid w:val="00751EF8"/>
    <w:rsid w:val="007523DB"/>
    <w:rsid w:val="00752751"/>
    <w:rsid w:val="007545AF"/>
    <w:rsid w:val="00755413"/>
    <w:rsid w:val="007554D4"/>
    <w:rsid w:val="007556E3"/>
    <w:rsid w:val="00755F8E"/>
    <w:rsid w:val="00756138"/>
    <w:rsid w:val="00757009"/>
    <w:rsid w:val="0075782C"/>
    <w:rsid w:val="0076061A"/>
    <w:rsid w:val="00761021"/>
    <w:rsid w:val="00761DC1"/>
    <w:rsid w:val="0076275C"/>
    <w:rsid w:val="00762E42"/>
    <w:rsid w:val="0076413F"/>
    <w:rsid w:val="007641CC"/>
    <w:rsid w:val="0076452A"/>
    <w:rsid w:val="00764A71"/>
    <w:rsid w:val="00764FEF"/>
    <w:rsid w:val="00765669"/>
    <w:rsid w:val="007657AA"/>
    <w:rsid w:val="00765A3C"/>
    <w:rsid w:val="00765A4D"/>
    <w:rsid w:val="0076711A"/>
    <w:rsid w:val="0076768D"/>
    <w:rsid w:val="00767953"/>
    <w:rsid w:val="00770005"/>
    <w:rsid w:val="00770A1C"/>
    <w:rsid w:val="00770DE7"/>
    <w:rsid w:val="0077176D"/>
    <w:rsid w:val="00771A88"/>
    <w:rsid w:val="007725EE"/>
    <w:rsid w:val="00772C7A"/>
    <w:rsid w:val="00772EA8"/>
    <w:rsid w:val="00772FB5"/>
    <w:rsid w:val="00773F79"/>
    <w:rsid w:val="0077430A"/>
    <w:rsid w:val="0077437C"/>
    <w:rsid w:val="00774A9A"/>
    <w:rsid w:val="007750DF"/>
    <w:rsid w:val="00775EE2"/>
    <w:rsid w:val="00776D1A"/>
    <w:rsid w:val="007771F6"/>
    <w:rsid w:val="007809BE"/>
    <w:rsid w:val="00782C72"/>
    <w:rsid w:val="0078304E"/>
    <w:rsid w:val="00785B68"/>
    <w:rsid w:val="007864A0"/>
    <w:rsid w:val="007870F2"/>
    <w:rsid w:val="00787637"/>
    <w:rsid w:val="00787CE6"/>
    <w:rsid w:val="00790115"/>
    <w:rsid w:val="0079058A"/>
    <w:rsid w:val="00791CCC"/>
    <w:rsid w:val="00792244"/>
    <w:rsid w:val="00792C93"/>
    <w:rsid w:val="00792CC3"/>
    <w:rsid w:val="007933E9"/>
    <w:rsid w:val="00794AA6"/>
    <w:rsid w:val="00794D81"/>
    <w:rsid w:val="00795B7A"/>
    <w:rsid w:val="00795BBD"/>
    <w:rsid w:val="00796097"/>
    <w:rsid w:val="007965D7"/>
    <w:rsid w:val="00796732"/>
    <w:rsid w:val="00796B52"/>
    <w:rsid w:val="007971B7"/>
    <w:rsid w:val="007972BF"/>
    <w:rsid w:val="007A01EB"/>
    <w:rsid w:val="007A07BD"/>
    <w:rsid w:val="007A0B47"/>
    <w:rsid w:val="007A1A03"/>
    <w:rsid w:val="007A1DC8"/>
    <w:rsid w:val="007A2AD4"/>
    <w:rsid w:val="007A2C62"/>
    <w:rsid w:val="007A3A79"/>
    <w:rsid w:val="007A40DB"/>
    <w:rsid w:val="007A4D74"/>
    <w:rsid w:val="007A4F77"/>
    <w:rsid w:val="007A54D0"/>
    <w:rsid w:val="007A5A60"/>
    <w:rsid w:val="007A6550"/>
    <w:rsid w:val="007A680D"/>
    <w:rsid w:val="007A6B4D"/>
    <w:rsid w:val="007A731B"/>
    <w:rsid w:val="007A7CAA"/>
    <w:rsid w:val="007B00C8"/>
    <w:rsid w:val="007B01CD"/>
    <w:rsid w:val="007B1053"/>
    <w:rsid w:val="007B10C9"/>
    <w:rsid w:val="007B1A1B"/>
    <w:rsid w:val="007B22F4"/>
    <w:rsid w:val="007B2530"/>
    <w:rsid w:val="007B2646"/>
    <w:rsid w:val="007B2E0A"/>
    <w:rsid w:val="007B5D09"/>
    <w:rsid w:val="007B61D6"/>
    <w:rsid w:val="007B6637"/>
    <w:rsid w:val="007B66B2"/>
    <w:rsid w:val="007B6803"/>
    <w:rsid w:val="007B7837"/>
    <w:rsid w:val="007B7DC8"/>
    <w:rsid w:val="007C0063"/>
    <w:rsid w:val="007C1009"/>
    <w:rsid w:val="007C1DB2"/>
    <w:rsid w:val="007C210B"/>
    <w:rsid w:val="007C238A"/>
    <w:rsid w:val="007C33E0"/>
    <w:rsid w:val="007C395D"/>
    <w:rsid w:val="007C58C1"/>
    <w:rsid w:val="007C5BB7"/>
    <w:rsid w:val="007C66A3"/>
    <w:rsid w:val="007C6C88"/>
    <w:rsid w:val="007C6D4D"/>
    <w:rsid w:val="007D0570"/>
    <w:rsid w:val="007D0D65"/>
    <w:rsid w:val="007D0F5B"/>
    <w:rsid w:val="007D16B8"/>
    <w:rsid w:val="007D1BF8"/>
    <w:rsid w:val="007D2F79"/>
    <w:rsid w:val="007D4300"/>
    <w:rsid w:val="007D4D1D"/>
    <w:rsid w:val="007D5B03"/>
    <w:rsid w:val="007D62F3"/>
    <w:rsid w:val="007D6709"/>
    <w:rsid w:val="007D6857"/>
    <w:rsid w:val="007D69D0"/>
    <w:rsid w:val="007D6CB0"/>
    <w:rsid w:val="007D7FA8"/>
    <w:rsid w:val="007E06E4"/>
    <w:rsid w:val="007E15A3"/>
    <w:rsid w:val="007E1EAF"/>
    <w:rsid w:val="007E1EE9"/>
    <w:rsid w:val="007E21D3"/>
    <w:rsid w:val="007E2795"/>
    <w:rsid w:val="007E2DBF"/>
    <w:rsid w:val="007E2F3A"/>
    <w:rsid w:val="007E3448"/>
    <w:rsid w:val="007E36A7"/>
    <w:rsid w:val="007E431F"/>
    <w:rsid w:val="007E435E"/>
    <w:rsid w:val="007E61B5"/>
    <w:rsid w:val="007E6412"/>
    <w:rsid w:val="007E6FEE"/>
    <w:rsid w:val="007E70A7"/>
    <w:rsid w:val="007E7DA5"/>
    <w:rsid w:val="007F02C0"/>
    <w:rsid w:val="007F09BF"/>
    <w:rsid w:val="007F0AB8"/>
    <w:rsid w:val="007F0C1A"/>
    <w:rsid w:val="007F0CA3"/>
    <w:rsid w:val="007F33AA"/>
    <w:rsid w:val="007F3E46"/>
    <w:rsid w:val="007F3EF0"/>
    <w:rsid w:val="007F3F7B"/>
    <w:rsid w:val="007F423D"/>
    <w:rsid w:val="007F4546"/>
    <w:rsid w:val="007F48F0"/>
    <w:rsid w:val="007F5107"/>
    <w:rsid w:val="007F590F"/>
    <w:rsid w:val="007F5C9B"/>
    <w:rsid w:val="007F6676"/>
    <w:rsid w:val="007F689C"/>
    <w:rsid w:val="007F6981"/>
    <w:rsid w:val="007F69B8"/>
    <w:rsid w:val="00800624"/>
    <w:rsid w:val="00801A97"/>
    <w:rsid w:val="00802877"/>
    <w:rsid w:val="00802BBF"/>
    <w:rsid w:val="00804894"/>
    <w:rsid w:val="0080662E"/>
    <w:rsid w:val="00806D21"/>
    <w:rsid w:val="008076A6"/>
    <w:rsid w:val="008103B9"/>
    <w:rsid w:val="0081107E"/>
    <w:rsid w:val="0081147A"/>
    <w:rsid w:val="008115C4"/>
    <w:rsid w:val="00811BEE"/>
    <w:rsid w:val="008120B9"/>
    <w:rsid w:val="008127E5"/>
    <w:rsid w:val="008129B5"/>
    <w:rsid w:val="008129B9"/>
    <w:rsid w:val="00814410"/>
    <w:rsid w:val="008147E8"/>
    <w:rsid w:val="00814CC7"/>
    <w:rsid w:val="00815AB7"/>
    <w:rsid w:val="008167A7"/>
    <w:rsid w:val="00816FCD"/>
    <w:rsid w:val="00817119"/>
    <w:rsid w:val="008175BD"/>
    <w:rsid w:val="00817F03"/>
    <w:rsid w:val="00820A97"/>
    <w:rsid w:val="00820E6A"/>
    <w:rsid w:val="00820EC5"/>
    <w:rsid w:val="0082165A"/>
    <w:rsid w:val="00821E48"/>
    <w:rsid w:val="0082230F"/>
    <w:rsid w:val="0082268B"/>
    <w:rsid w:val="00822B7B"/>
    <w:rsid w:val="00822D03"/>
    <w:rsid w:val="00822E80"/>
    <w:rsid w:val="00822F9A"/>
    <w:rsid w:val="00824B0F"/>
    <w:rsid w:val="00824FDE"/>
    <w:rsid w:val="0082509B"/>
    <w:rsid w:val="00825FE4"/>
    <w:rsid w:val="008264D4"/>
    <w:rsid w:val="00826C84"/>
    <w:rsid w:val="008275E7"/>
    <w:rsid w:val="00830246"/>
    <w:rsid w:val="00831141"/>
    <w:rsid w:val="008325D6"/>
    <w:rsid w:val="00833A03"/>
    <w:rsid w:val="00833FE0"/>
    <w:rsid w:val="0083491E"/>
    <w:rsid w:val="00835399"/>
    <w:rsid w:val="00836E80"/>
    <w:rsid w:val="00836F50"/>
    <w:rsid w:val="00837C6E"/>
    <w:rsid w:val="008409B9"/>
    <w:rsid w:val="0084103C"/>
    <w:rsid w:val="008419DE"/>
    <w:rsid w:val="008429E5"/>
    <w:rsid w:val="00843136"/>
    <w:rsid w:val="008431FB"/>
    <w:rsid w:val="00843668"/>
    <w:rsid w:val="00845E20"/>
    <w:rsid w:val="008469A1"/>
    <w:rsid w:val="00850238"/>
    <w:rsid w:val="0085282D"/>
    <w:rsid w:val="00852B72"/>
    <w:rsid w:val="00853B09"/>
    <w:rsid w:val="00854E16"/>
    <w:rsid w:val="0085581A"/>
    <w:rsid w:val="00855C85"/>
    <w:rsid w:val="00856BB6"/>
    <w:rsid w:val="00856EF6"/>
    <w:rsid w:val="008570BA"/>
    <w:rsid w:val="00857842"/>
    <w:rsid w:val="00860427"/>
    <w:rsid w:val="00863065"/>
    <w:rsid w:val="00863CD6"/>
    <w:rsid w:val="00864605"/>
    <w:rsid w:val="008667C7"/>
    <w:rsid w:val="00866A72"/>
    <w:rsid w:val="008678D7"/>
    <w:rsid w:val="0086790E"/>
    <w:rsid w:val="00867C59"/>
    <w:rsid w:val="0087465B"/>
    <w:rsid w:val="008750E6"/>
    <w:rsid w:val="00875413"/>
    <w:rsid w:val="00875445"/>
    <w:rsid w:val="00875565"/>
    <w:rsid w:val="00875AF2"/>
    <w:rsid w:val="008765EE"/>
    <w:rsid w:val="008765FA"/>
    <w:rsid w:val="008765FB"/>
    <w:rsid w:val="0087742B"/>
    <w:rsid w:val="008826D2"/>
    <w:rsid w:val="008830D6"/>
    <w:rsid w:val="00883F97"/>
    <w:rsid w:val="00884A59"/>
    <w:rsid w:val="00885266"/>
    <w:rsid w:val="00885E63"/>
    <w:rsid w:val="00885F81"/>
    <w:rsid w:val="00886317"/>
    <w:rsid w:val="00886836"/>
    <w:rsid w:val="008875C4"/>
    <w:rsid w:val="0088769F"/>
    <w:rsid w:val="00887E15"/>
    <w:rsid w:val="008910CB"/>
    <w:rsid w:val="008910E5"/>
    <w:rsid w:val="008919C2"/>
    <w:rsid w:val="00891D43"/>
    <w:rsid w:val="00893893"/>
    <w:rsid w:val="008939CD"/>
    <w:rsid w:val="00893EB3"/>
    <w:rsid w:val="00894A02"/>
    <w:rsid w:val="00894E7F"/>
    <w:rsid w:val="0089543E"/>
    <w:rsid w:val="008A023D"/>
    <w:rsid w:val="008A0CE3"/>
    <w:rsid w:val="008A0DE6"/>
    <w:rsid w:val="008A1762"/>
    <w:rsid w:val="008A228D"/>
    <w:rsid w:val="008A2435"/>
    <w:rsid w:val="008A3190"/>
    <w:rsid w:val="008A44A8"/>
    <w:rsid w:val="008A4E90"/>
    <w:rsid w:val="008A5522"/>
    <w:rsid w:val="008A6459"/>
    <w:rsid w:val="008A6649"/>
    <w:rsid w:val="008A671D"/>
    <w:rsid w:val="008A6CB9"/>
    <w:rsid w:val="008A6ECD"/>
    <w:rsid w:val="008B005B"/>
    <w:rsid w:val="008B0D9D"/>
    <w:rsid w:val="008B0E50"/>
    <w:rsid w:val="008B1AC1"/>
    <w:rsid w:val="008B1B79"/>
    <w:rsid w:val="008B23F8"/>
    <w:rsid w:val="008B27D0"/>
    <w:rsid w:val="008B30B7"/>
    <w:rsid w:val="008B43F3"/>
    <w:rsid w:val="008B4746"/>
    <w:rsid w:val="008B490F"/>
    <w:rsid w:val="008B4E8A"/>
    <w:rsid w:val="008B59D4"/>
    <w:rsid w:val="008B5F34"/>
    <w:rsid w:val="008B6948"/>
    <w:rsid w:val="008B70EB"/>
    <w:rsid w:val="008B716D"/>
    <w:rsid w:val="008C10EF"/>
    <w:rsid w:val="008C1F71"/>
    <w:rsid w:val="008C246C"/>
    <w:rsid w:val="008C2E47"/>
    <w:rsid w:val="008C2FEE"/>
    <w:rsid w:val="008C308C"/>
    <w:rsid w:val="008C34FE"/>
    <w:rsid w:val="008C4043"/>
    <w:rsid w:val="008C4393"/>
    <w:rsid w:val="008C461B"/>
    <w:rsid w:val="008C4771"/>
    <w:rsid w:val="008C4F85"/>
    <w:rsid w:val="008C7416"/>
    <w:rsid w:val="008C7D8E"/>
    <w:rsid w:val="008D0454"/>
    <w:rsid w:val="008D0A42"/>
    <w:rsid w:val="008D0B06"/>
    <w:rsid w:val="008D16B9"/>
    <w:rsid w:val="008D1D3E"/>
    <w:rsid w:val="008D2118"/>
    <w:rsid w:val="008D2234"/>
    <w:rsid w:val="008D2563"/>
    <w:rsid w:val="008D2A5F"/>
    <w:rsid w:val="008D37DE"/>
    <w:rsid w:val="008D4E73"/>
    <w:rsid w:val="008D530C"/>
    <w:rsid w:val="008D55FB"/>
    <w:rsid w:val="008D5659"/>
    <w:rsid w:val="008D60E3"/>
    <w:rsid w:val="008D6F87"/>
    <w:rsid w:val="008D7E3D"/>
    <w:rsid w:val="008E0381"/>
    <w:rsid w:val="008E0E80"/>
    <w:rsid w:val="008E0ECD"/>
    <w:rsid w:val="008E1234"/>
    <w:rsid w:val="008E1382"/>
    <w:rsid w:val="008E188D"/>
    <w:rsid w:val="008E198B"/>
    <w:rsid w:val="008E2887"/>
    <w:rsid w:val="008E2B40"/>
    <w:rsid w:val="008E2D2A"/>
    <w:rsid w:val="008E3385"/>
    <w:rsid w:val="008E37A9"/>
    <w:rsid w:val="008E54F1"/>
    <w:rsid w:val="008E59E6"/>
    <w:rsid w:val="008E6593"/>
    <w:rsid w:val="008E674E"/>
    <w:rsid w:val="008E7BBE"/>
    <w:rsid w:val="008F0880"/>
    <w:rsid w:val="008F1825"/>
    <w:rsid w:val="008F1F06"/>
    <w:rsid w:val="008F315F"/>
    <w:rsid w:val="008F349E"/>
    <w:rsid w:val="008F3FF2"/>
    <w:rsid w:val="008F40C9"/>
    <w:rsid w:val="008F4D42"/>
    <w:rsid w:val="008F5622"/>
    <w:rsid w:val="008F56E7"/>
    <w:rsid w:val="008F5E5B"/>
    <w:rsid w:val="008F6311"/>
    <w:rsid w:val="008F6968"/>
    <w:rsid w:val="008F700A"/>
    <w:rsid w:val="008F773B"/>
    <w:rsid w:val="00900A56"/>
    <w:rsid w:val="00900E16"/>
    <w:rsid w:val="00901208"/>
    <w:rsid w:val="0090172E"/>
    <w:rsid w:val="00902454"/>
    <w:rsid w:val="009036B4"/>
    <w:rsid w:val="00904231"/>
    <w:rsid w:val="009053F1"/>
    <w:rsid w:val="00905575"/>
    <w:rsid w:val="00907B9A"/>
    <w:rsid w:val="00910496"/>
    <w:rsid w:val="00910F6D"/>
    <w:rsid w:val="00911543"/>
    <w:rsid w:val="00912F7A"/>
    <w:rsid w:val="00913464"/>
    <w:rsid w:val="00914033"/>
    <w:rsid w:val="009145A1"/>
    <w:rsid w:val="009148C3"/>
    <w:rsid w:val="009154A2"/>
    <w:rsid w:val="00915793"/>
    <w:rsid w:val="009164DD"/>
    <w:rsid w:val="009164FC"/>
    <w:rsid w:val="00916641"/>
    <w:rsid w:val="00916ACC"/>
    <w:rsid w:val="00917C53"/>
    <w:rsid w:val="00917DBE"/>
    <w:rsid w:val="009218BF"/>
    <w:rsid w:val="00923410"/>
    <w:rsid w:val="0092422E"/>
    <w:rsid w:val="0092462C"/>
    <w:rsid w:val="0092492E"/>
    <w:rsid w:val="009249DC"/>
    <w:rsid w:val="00924BB4"/>
    <w:rsid w:val="009251EF"/>
    <w:rsid w:val="00925411"/>
    <w:rsid w:val="009261DA"/>
    <w:rsid w:val="009264FD"/>
    <w:rsid w:val="00927EE1"/>
    <w:rsid w:val="00930398"/>
    <w:rsid w:val="00930419"/>
    <w:rsid w:val="009312E3"/>
    <w:rsid w:val="00932469"/>
    <w:rsid w:val="009326CA"/>
    <w:rsid w:val="00932BA5"/>
    <w:rsid w:val="00933682"/>
    <w:rsid w:val="00933C70"/>
    <w:rsid w:val="00933C8F"/>
    <w:rsid w:val="00933E10"/>
    <w:rsid w:val="00933F45"/>
    <w:rsid w:val="0093402C"/>
    <w:rsid w:val="00934785"/>
    <w:rsid w:val="009347D7"/>
    <w:rsid w:val="00935542"/>
    <w:rsid w:val="00935C9F"/>
    <w:rsid w:val="009365B7"/>
    <w:rsid w:val="009367DD"/>
    <w:rsid w:val="00937377"/>
    <w:rsid w:val="00937C3E"/>
    <w:rsid w:val="009402C6"/>
    <w:rsid w:val="0094158C"/>
    <w:rsid w:val="00942461"/>
    <w:rsid w:val="00942875"/>
    <w:rsid w:val="009433CA"/>
    <w:rsid w:val="00944501"/>
    <w:rsid w:val="00944C35"/>
    <w:rsid w:val="00945C1B"/>
    <w:rsid w:val="0094695A"/>
    <w:rsid w:val="00946B06"/>
    <w:rsid w:val="00946D86"/>
    <w:rsid w:val="0094725C"/>
    <w:rsid w:val="00947483"/>
    <w:rsid w:val="00950985"/>
    <w:rsid w:val="00950D75"/>
    <w:rsid w:val="00954A2A"/>
    <w:rsid w:val="00954F87"/>
    <w:rsid w:val="00954FA5"/>
    <w:rsid w:val="00955319"/>
    <w:rsid w:val="00956C63"/>
    <w:rsid w:val="00956FC9"/>
    <w:rsid w:val="00957DF4"/>
    <w:rsid w:val="0096009E"/>
    <w:rsid w:val="009601BA"/>
    <w:rsid w:val="00960836"/>
    <w:rsid w:val="00960863"/>
    <w:rsid w:val="00961433"/>
    <w:rsid w:val="00961B83"/>
    <w:rsid w:val="009623A9"/>
    <w:rsid w:val="00962E43"/>
    <w:rsid w:val="00962F37"/>
    <w:rsid w:val="00962FAF"/>
    <w:rsid w:val="009639B3"/>
    <w:rsid w:val="009641D8"/>
    <w:rsid w:val="00964897"/>
    <w:rsid w:val="00964F0D"/>
    <w:rsid w:val="00965741"/>
    <w:rsid w:val="00966655"/>
    <w:rsid w:val="0096674D"/>
    <w:rsid w:val="00967BE3"/>
    <w:rsid w:val="00967C4F"/>
    <w:rsid w:val="0097015F"/>
    <w:rsid w:val="00970206"/>
    <w:rsid w:val="009711E5"/>
    <w:rsid w:val="009712B7"/>
    <w:rsid w:val="00971AAF"/>
    <w:rsid w:val="00972881"/>
    <w:rsid w:val="00972BCC"/>
    <w:rsid w:val="00972EA5"/>
    <w:rsid w:val="00973462"/>
    <w:rsid w:val="00973BFF"/>
    <w:rsid w:val="009748CE"/>
    <w:rsid w:val="009751A5"/>
    <w:rsid w:val="009755A7"/>
    <w:rsid w:val="0097621C"/>
    <w:rsid w:val="009771B0"/>
    <w:rsid w:val="00977693"/>
    <w:rsid w:val="0098041A"/>
    <w:rsid w:val="009808E1"/>
    <w:rsid w:val="009809F2"/>
    <w:rsid w:val="009810D0"/>
    <w:rsid w:val="00981CC1"/>
    <w:rsid w:val="009823E2"/>
    <w:rsid w:val="0098257F"/>
    <w:rsid w:val="009827A0"/>
    <w:rsid w:val="0098347A"/>
    <w:rsid w:val="00983922"/>
    <w:rsid w:val="009839F1"/>
    <w:rsid w:val="00983EB9"/>
    <w:rsid w:val="009840FC"/>
    <w:rsid w:val="009847ED"/>
    <w:rsid w:val="009859C8"/>
    <w:rsid w:val="00985A0A"/>
    <w:rsid w:val="00985EFD"/>
    <w:rsid w:val="00986759"/>
    <w:rsid w:val="00987639"/>
    <w:rsid w:val="0099071F"/>
    <w:rsid w:val="00990734"/>
    <w:rsid w:val="0099148A"/>
    <w:rsid w:val="009919EE"/>
    <w:rsid w:val="009923C0"/>
    <w:rsid w:val="00992CC6"/>
    <w:rsid w:val="00994147"/>
    <w:rsid w:val="009942F9"/>
    <w:rsid w:val="00994C1A"/>
    <w:rsid w:val="009952FD"/>
    <w:rsid w:val="00995980"/>
    <w:rsid w:val="00995D6D"/>
    <w:rsid w:val="009966F1"/>
    <w:rsid w:val="00996883"/>
    <w:rsid w:val="00996C05"/>
    <w:rsid w:val="00997AC2"/>
    <w:rsid w:val="009A025A"/>
    <w:rsid w:val="009A093E"/>
    <w:rsid w:val="009A09C1"/>
    <w:rsid w:val="009A20C2"/>
    <w:rsid w:val="009A2376"/>
    <w:rsid w:val="009A26CD"/>
    <w:rsid w:val="009A26DE"/>
    <w:rsid w:val="009A26F8"/>
    <w:rsid w:val="009A2B58"/>
    <w:rsid w:val="009A2B6C"/>
    <w:rsid w:val="009A3C60"/>
    <w:rsid w:val="009A4FE4"/>
    <w:rsid w:val="009A5220"/>
    <w:rsid w:val="009A52D6"/>
    <w:rsid w:val="009A5728"/>
    <w:rsid w:val="009A5D79"/>
    <w:rsid w:val="009A614A"/>
    <w:rsid w:val="009A65F3"/>
    <w:rsid w:val="009B011C"/>
    <w:rsid w:val="009B0191"/>
    <w:rsid w:val="009B095F"/>
    <w:rsid w:val="009B0C76"/>
    <w:rsid w:val="009B127F"/>
    <w:rsid w:val="009B1350"/>
    <w:rsid w:val="009B13C6"/>
    <w:rsid w:val="009B1BB7"/>
    <w:rsid w:val="009B1E00"/>
    <w:rsid w:val="009B2577"/>
    <w:rsid w:val="009B2A65"/>
    <w:rsid w:val="009B2FCE"/>
    <w:rsid w:val="009B3464"/>
    <w:rsid w:val="009B3570"/>
    <w:rsid w:val="009B44C8"/>
    <w:rsid w:val="009B45AD"/>
    <w:rsid w:val="009B4851"/>
    <w:rsid w:val="009B5A56"/>
    <w:rsid w:val="009B5B9E"/>
    <w:rsid w:val="009B5DAF"/>
    <w:rsid w:val="009B728C"/>
    <w:rsid w:val="009C1278"/>
    <w:rsid w:val="009C1BAE"/>
    <w:rsid w:val="009C1CF3"/>
    <w:rsid w:val="009C2619"/>
    <w:rsid w:val="009C277D"/>
    <w:rsid w:val="009C34F1"/>
    <w:rsid w:val="009C3B0A"/>
    <w:rsid w:val="009C458C"/>
    <w:rsid w:val="009C52D1"/>
    <w:rsid w:val="009C6054"/>
    <w:rsid w:val="009C6094"/>
    <w:rsid w:val="009C623F"/>
    <w:rsid w:val="009C62A8"/>
    <w:rsid w:val="009C6F18"/>
    <w:rsid w:val="009D035E"/>
    <w:rsid w:val="009D0738"/>
    <w:rsid w:val="009D0FA6"/>
    <w:rsid w:val="009D2B25"/>
    <w:rsid w:val="009D2E17"/>
    <w:rsid w:val="009D39D5"/>
    <w:rsid w:val="009D3A8D"/>
    <w:rsid w:val="009D3E0B"/>
    <w:rsid w:val="009D4F0C"/>
    <w:rsid w:val="009D5072"/>
    <w:rsid w:val="009D5765"/>
    <w:rsid w:val="009D593A"/>
    <w:rsid w:val="009D7BD2"/>
    <w:rsid w:val="009E00CA"/>
    <w:rsid w:val="009E0199"/>
    <w:rsid w:val="009E0E82"/>
    <w:rsid w:val="009E2BFC"/>
    <w:rsid w:val="009E3BCF"/>
    <w:rsid w:val="009E402E"/>
    <w:rsid w:val="009E49D2"/>
    <w:rsid w:val="009E4B57"/>
    <w:rsid w:val="009E5085"/>
    <w:rsid w:val="009E6109"/>
    <w:rsid w:val="009E7C18"/>
    <w:rsid w:val="009F07ED"/>
    <w:rsid w:val="009F0998"/>
    <w:rsid w:val="009F136D"/>
    <w:rsid w:val="009F3481"/>
    <w:rsid w:val="009F3CAE"/>
    <w:rsid w:val="009F4F2A"/>
    <w:rsid w:val="009F50CC"/>
    <w:rsid w:val="009F523A"/>
    <w:rsid w:val="009F5283"/>
    <w:rsid w:val="009F55BD"/>
    <w:rsid w:val="009F5A9A"/>
    <w:rsid w:val="009F674F"/>
    <w:rsid w:val="009F6789"/>
    <w:rsid w:val="009F7720"/>
    <w:rsid w:val="009F7C21"/>
    <w:rsid w:val="00A00C37"/>
    <w:rsid w:val="00A01A32"/>
    <w:rsid w:val="00A0285D"/>
    <w:rsid w:val="00A035F2"/>
    <w:rsid w:val="00A04414"/>
    <w:rsid w:val="00A04F4E"/>
    <w:rsid w:val="00A05A4F"/>
    <w:rsid w:val="00A066A2"/>
    <w:rsid w:val="00A072BB"/>
    <w:rsid w:val="00A073F7"/>
    <w:rsid w:val="00A07AD0"/>
    <w:rsid w:val="00A114A4"/>
    <w:rsid w:val="00A119EE"/>
    <w:rsid w:val="00A13000"/>
    <w:rsid w:val="00A139FC"/>
    <w:rsid w:val="00A13A9D"/>
    <w:rsid w:val="00A13C3E"/>
    <w:rsid w:val="00A14EBE"/>
    <w:rsid w:val="00A15300"/>
    <w:rsid w:val="00A163BD"/>
    <w:rsid w:val="00A167EE"/>
    <w:rsid w:val="00A17436"/>
    <w:rsid w:val="00A17A75"/>
    <w:rsid w:val="00A2088B"/>
    <w:rsid w:val="00A21F64"/>
    <w:rsid w:val="00A21F68"/>
    <w:rsid w:val="00A2227D"/>
    <w:rsid w:val="00A2268B"/>
    <w:rsid w:val="00A238A7"/>
    <w:rsid w:val="00A2553A"/>
    <w:rsid w:val="00A25F78"/>
    <w:rsid w:val="00A267F0"/>
    <w:rsid w:val="00A26FC4"/>
    <w:rsid w:val="00A27D58"/>
    <w:rsid w:val="00A27D5B"/>
    <w:rsid w:val="00A30768"/>
    <w:rsid w:val="00A30836"/>
    <w:rsid w:val="00A31055"/>
    <w:rsid w:val="00A318D6"/>
    <w:rsid w:val="00A3221F"/>
    <w:rsid w:val="00A32408"/>
    <w:rsid w:val="00A33D5A"/>
    <w:rsid w:val="00A341FC"/>
    <w:rsid w:val="00A3644B"/>
    <w:rsid w:val="00A36AFD"/>
    <w:rsid w:val="00A37847"/>
    <w:rsid w:val="00A379F3"/>
    <w:rsid w:val="00A40B1A"/>
    <w:rsid w:val="00A41436"/>
    <w:rsid w:val="00A421DD"/>
    <w:rsid w:val="00A4276F"/>
    <w:rsid w:val="00A43CE8"/>
    <w:rsid w:val="00A448C7"/>
    <w:rsid w:val="00A45257"/>
    <w:rsid w:val="00A462D7"/>
    <w:rsid w:val="00A463AC"/>
    <w:rsid w:val="00A46459"/>
    <w:rsid w:val="00A46A61"/>
    <w:rsid w:val="00A5071B"/>
    <w:rsid w:val="00A50C12"/>
    <w:rsid w:val="00A51819"/>
    <w:rsid w:val="00A51EBF"/>
    <w:rsid w:val="00A52B91"/>
    <w:rsid w:val="00A5319A"/>
    <w:rsid w:val="00A531B5"/>
    <w:rsid w:val="00A5338D"/>
    <w:rsid w:val="00A53983"/>
    <w:rsid w:val="00A54F40"/>
    <w:rsid w:val="00A565EA"/>
    <w:rsid w:val="00A573AF"/>
    <w:rsid w:val="00A57612"/>
    <w:rsid w:val="00A57A21"/>
    <w:rsid w:val="00A60656"/>
    <w:rsid w:val="00A60715"/>
    <w:rsid w:val="00A623F1"/>
    <w:rsid w:val="00A6327B"/>
    <w:rsid w:val="00A6365A"/>
    <w:rsid w:val="00A6372D"/>
    <w:rsid w:val="00A64F35"/>
    <w:rsid w:val="00A678E8"/>
    <w:rsid w:val="00A70E72"/>
    <w:rsid w:val="00A71691"/>
    <w:rsid w:val="00A71F33"/>
    <w:rsid w:val="00A71F54"/>
    <w:rsid w:val="00A721DC"/>
    <w:rsid w:val="00A7284B"/>
    <w:rsid w:val="00A72885"/>
    <w:rsid w:val="00A7392C"/>
    <w:rsid w:val="00A740D6"/>
    <w:rsid w:val="00A75213"/>
    <w:rsid w:val="00A7529D"/>
    <w:rsid w:val="00A754CD"/>
    <w:rsid w:val="00A756D4"/>
    <w:rsid w:val="00A75D55"/>
    <w:rsid w:val="00A76359"/>
    <w:rsid w:val="00A7678E"/>
    <w:rsid w:val="00A77499"/>
    <w:rsid w:val="00A77657"/>
    <w:rsid w:val="00A7799C"/>
    <w:rsid w:val="00A77E8E"/>
    <w:rsid w:val="00A803DA"/>
    <w:rsid w:val="00A813C7"/>
    <w:rsid w:val="00A84899"/>
    <w:rsid w:val="00A85064"/>
    <w:rsid w:val="00A864C4"/>
    <w:rsid w:val="00A8717D"/>
    <w:rsid w:val="00A876C4"/>
    <w:rsid w:val="00A87725"/>
    <w:rsid w:val="00A90598"/>
    <w:rsid w:val="00A90725"/>
    <w:rsid w:val="00A908C6"/>
    <w:rsid w:val="00A92402"/>
    <w:rsid w:val="00A92D9F"/>
    <w:rsid w:val="00A9347D"/>
    <w:rsid w:val="00A93632"/>
    <w:rsid w:val="00A940C4"/>
    <w:rsid w:val="00A9576E"/>
    <w:rsid w:val="00A95831"/>
    <w:rsid w:val="00A97112"/>
    <w:rsid w:val="00A9752F"/>
    <w:rsid w:val="00A97667"/>
    <w:rsid w:val="00A979A2"/>
    <w:rsid w:val="00AA0141"/>
    <w:rsid w:val="00AA070E"/>
    <w:rsid w:val="00AA0B66"/>
    <w:rsid w:val="00AA125A"/>
    <w:rsid w:val="00AA1340"/>
    <w:rsid w:val="00AA195E"/>
    <w:rsid w:val="00AA1E70"/>
    <w:rsid w:val="00AA20AE"/>
    <w:rsid w:val="00AA2482"/>
    <w:rsid w:val="00AA278D"/>
    <w:rsid w:val="00AA3607"/>
    <w:rsid w:val="00AA535F"/>
    <w:rsid w:val="00AB0500"/>
    <w:rsid w:val="00AB05DA"/>
    <w:rsid w:val="00AB0868"/>
    <w:rsid w:val="00AB1166"/>
    <w:rsid w:val="00AB3728"/>
    <w:rsid w:val="00AB4126"/>
    <w:rsid w:val="00AB4F4F"/>
    <w:rsid w:val="00AB5768"/>
    <w:rsid w:val="00AB5DFB"/>
    <w:rsid w:val="00AB5F1C"/>
    <w:rsid w:val="00AB615F"/>
    <w:rsid w:val="00AB663E"/>
    <w:rsid w:val="00AB6FA8"/>
    <w:rsid w:val="00AB712D"/>
    <w:rsid w:val="00AB796B"/>
    <w:rsid w:val="00AB7CDF"/>
    <w:rsid w:val="00AC03AE"/>
    <w:rsid w:val="00AC0CB0"/>
    <w:rsid w:val="00AC0D58"/>
    <w:rsid w:val="00AC0F34"/>
    <w:rsid w:val="00AC1963"/>
    <w:rsid w:val="00AC20A8"/>
    <w:rsid w:val="00AC214C"/>
    <w:rsid w:val="00AC2624"/>
    <w:rsid w:val="00AC29D4"/>
    <w:rsid w:val="00AC2DBD"/>
    <w:rsid w:val="00AC3121"/>
    <w:rsid w:val="00AC32BF"/>
    <w:rsid w:val="00AC3462"/>
    <w:rsid w:val="00AC3558"/>
    <w:rsid w:val="00AC52F4"/>
    <w:rsid w:val="00AC5733"/>
    <w:rsid w:val="00AC5C8A"/>
    <w:rsid w:val="00AC6B01"/>
    <w:rsid w:val="00AC79B6"/>
    <w:rsid w:val="00AC7C97"/>
    <w:rsid w:val="00AC7FBE"/>
    <w:rsid w:val="00AD0D40"/>
    <w:rsid w:val="00AD0DE8"/>
    <w:rsid w:val="00AD1693"/>
    <w:rsid w:val="00AD2014"/>
    <w:rsid w:val="00AD3CCB"/>
    <w:rsid w:val="00AD42F2"/>
    <w:rsid w:val="00AD4F3F"/>
    <w:rsid w:val="00AD54A3"/>
    <w:rsid w:val="00AD56ED"/>
    <w:rsid w:val="00AD61E7"/>
    <w:rsid w:val="00AD6638"/>
    <w:rsid w:val="00AD7913"/>
    <w:rsid w:val="00AE0140"/>
    <w:rsid w:val="00AE078B"/>
    <w:rsid w:val="00AE081F"/>
    <w:rsid w:val="00AE0F0D"/>
    <w:rsid w:val="00AE1645"/>
    <w:rsid w:val="00AE1B79"/>
    <w:rsid w:val="00AE1F01"/>
    <w:rsid w:val="00AE2125"/>
    <w:rsid w:val="00AE29C1"/>
    <w:rsid w:val="00AE2B2B"/>
    <w:rsid w:val="00AE3418"/>
    <w:rsid w:val="00AE37CD"/>
    <w:rsid w:val="00AE3F1A"/>
    <w:rsid w:val="00AE4283"/>
    <w:rsid w:val="00AE5143"/>
    <w:rsid w:val="00AE51F9"/>
    <w:rsid w:val="00AE541B"/>
    <w:rsid w:val="00AE601E"/>
    <w:rsid w:val="00AE79CC"/>
    <w:rsid w:val="00AF0316"/>
    <w:rsid w:val="00AF0EAD"/>
    <w:rsid w:val="00AF102A"/>
    <w:rsid w:val="00AF1057"/>
    <w:rsid w:val="00AF17EF"/>
    <w:rsid w:val="00AF24AD"/>
    <w:rsid w:val="00AF2751"/>
    <w:rsid w:val="00AF4C5D"/>
    <w:rsid w:val="00AF62B9"/>
    <w:rsid w:val="00AF65A9"/>
    <w:rsid w:val="00AF65F7"/>
    <w:rsid w:val="00AF6CD7"/>
    <w:rsid w:val="00AF6F34"/>
    <w:rsid w:val="00AF70E2"/>
    <w:rsid w:val="00AF7F6A"/>
    <w:rsid w:val="00B03F37"/>
    <w:rsid w:val="00B04395"/>
    <w:rsid w:val="00B043D9"/>
    <w:rsid w:val="00B065A7"/>
    <w:rsid w:val="00B06CEB"/>
    <w:rsid w:val="00B06FF9"/>
    <w:rsid w:val="00B0749D"/>
    <w:rsid w:val="00B0758F"/>
    <w:rsid w:val="00B07D6B"/>
    <w:rsid w:val="00B112F8"/>
    <w:rsid w:val="00B122A0"/>
    <w:rsid w:val="00B122A6"/>
    <w:rsid w:val="00B12696"/>
    <w:rsid w:val="00B126DE"/>
    <w:rsid w:val="00B12843"/>
    <w:rsid w:val="00B1395D"/>
    <w:rsid w:val="00B13BD5"/>
    <w:rsid w:val="00B1403E"/>
    <w:rsid w:val="00B154E5"/>
    <w:rsid w:val="00B155DF"/>
    <w:rsid w:val="00B159AC"/>
    <w:rsid w:val="00B16298"/>
    <w:rsid w:val="00B163B3"/>
    <w:rsid w:val="00B16B2B"/>
    <w:rsid w:val="00B17005"/>
    <w:rsid w:val="00B2044F"/>
    <w:rsid w:val="00B20945"/>
    <w:rsid w:val="00B20E7D"/>
    <w:rsid w:val="00B211A5"/>
    <w:rsid w:val="00B21440"/>
    <w:rsid w:val="00B216DA"/>
    <w:rsid w:val="00B2359D"/>
    <w:rsid w:val="00B243B7"/>
    <w:rsid w:val="00B24FF9"/>
    <w:rsid w:val="00B250EA"/>
    <w:rsid w:val="00B2554A"/>
    <w:rsid w:val="00B25D4B"/>
    <w:rsid w:val="00B26973"/>
    <w:rsid w:val="00B278C2"/>
    <w:rsid w:val="00B31037"/>
    <w:rsid w:val="00B32811"/>
    <w:rsid w:val="00B328C2"/>
    <w:rsid w:val="00B32BF5"/>
    <w:rsid w:val="00B32FCA"/>
    <w:rsid w:val="00B32FFF"/>
    <w:rsid w:val="00B334AE"/>
    <w:rsid w:val="00B33BB9"/>
    <w:rsid w:val="00B347F9"/>
    <w:rsid w:val="00B35185"/>
    <w:rsid w:val="00B3526D"/>
    <w:rsid w:val="00B35C1D"/>
    <w:rsid w:val="00B36592"/>
    <w:rsid w:val="00B36C16"/>
    <w:rsid w:val="00B36CDF"/>
    <w:rsid w:val="00B37654"/>
    <w:rsid w:val="00B376E1"/>
    <w:rsid w:val="00B37DE2"/>
    <w:rsid w:val="00B42A04"/>
    <w:rsid w:val="00B436F5"/>
    <w:rsid w:val="00B45459"/>
    <w:rsid w:val="00B45CD6"/>
    <w:rsid w:val="00B45ED6"/>
    <w:rsid w:val="00B468C7"/>
    <w:rsid w:val="00B478E1"/>
    <w:rsid w:val="00B47C32"/>
    <w:rsid w:val="00B505D7"/>
    <w:rsid w:val="00B5080F"/>
    <w:rsid w:val="00B50FD3"/>
    <w:rsid w:val="00B5106D"/>
    <w:rsid w:val="00B51BAA"/>
    <w:rsid w:val="00B51F46"/>
    <w:rsid w:val="00B5263E"/>
    <w:rsid w:val="00B526AB"/>
    <w:rsid w:val="00B52E46"/>
    <w:rsid w:val="00B54322"/>
    <w:rsid w:val="00B54DD1"/>
    <w:rsid w:val="00B54FE6"/>
    <w:rsid w:val="00B553DC"/>
    <w:rsid w:val="00B55438"/>
    <w:rsid w:val="00B55ADA"/>
    <w:rsid w:val="00B56FE8"/>
    <w:rsid w:val="00B57E33"/>
    <w:rsid w:val="00B61922"/>
    <w:rsid w:val="00B6265B"/>
    <w:rsid w:val="00B6266F"/>
    <w:rsid w:val="00B6282A"/>
    <w:rsid w:val="00B62DEF"/>
    <w:rsid w:val="00B63223"/>
    <w:rsid w:val="00B63AB5"/>
    <w:rsid w:val="00B64380"/>
    <w:rsid w:val="00B644C7"/>
    <w:rsid w:val="00B64A78"/>
    <w:rsid w:val="00B64F49"/>
    <w:rsid w:val="00B665C6"/>
    <w:rsid w:val="00B66A63"/>
    <w:rsid w:val="00B67DD7"/>
    <w:rsid w:val="00B70AEA"/>
    <w:rsid w:val="00B70C0C"/>
    <w:rsid w:val="00B71593"/>
    <w:rsid w:val="00B723A3"/>
    <w:rsid w:val="00B732FB"/>
    <w:rsid w:val="00B7333F"/>
    <w:rsid w:val="00B74343"/>
    <w:rsid w:val="00B74C78"/>
    <w:rsid w:val="00B7559D"/>
    <w:rsid w:val="00B7559E"/>
    <w:rsid w:val="00B75658"/>
    <w:rsid w:val="00B76919"/>
    <w:rsid w:val="00B773BE"/>
    <w:rsid w:val="00B776E9"/>
    <w:rsid w:val="00B802F9"/>
    <w:rsid w:val="00B819F5"/>
    <w:rsid w:val="00B81DB4"/>
    <w:rsid w:val="00B82292"/>
    <w:rsid w:val="00B8245C"/>
    <w:rsid w:val="00B83F8D"/>
    <w:rsid w:val="00B850DA"/>
    <w:rsid w:val="00B87409"/>
    <w:rsid w:val="00B87A60"/>
    <w:rsid w:val="00B87EF7"/>
    <w:rsid w:val="00B90B28"/>
    <w:rsid w:val="00B9111A"/>
    <w:rsid w:val="00B91DF1"/>
    <w:rsid w:val="00B91F17"/>
    <w:rsid w:val="00B9285A"/>
    <w:rsid w:val="00B92CD7"/>
    <w:rsid w:val="00B9358D"/>
    <w:rsid w:val="00B93985"/>
    <w:rsid w:val="00B93C00"/>
    <w:rsid w:val="00B93C89"/>
    <w:rsid w:val="00B942AD"/>
    <w:rsid w:val="00B94CB9"/>
    <w:rsid w:val="00B961CC"/>
    <w:rsid w:val="00B969D9"/>
    <w:rsid w:val="00B96E0D"/>
    <w:rsid w:val="00B97773"/>
    <w:rsid w:val="00BA1834"/>
    <w:rsid w:val="00BA1ED4"/>
    <w:rsid w:val="00BA2B1F"/>
    <w:rsid w:val="00BA4816"/>
    <w:rsid w:val="00BA4C76"/>
    <w:rsid w:val="00BA4D43"/>
    <w:rsid w:val="00BA50CB"/>
    <w:rsid w:val="00BA60A1"/>
    <w:rsid w:val="00BA69BE"/>
    <w:rsid w:val="00BA6E41"/>
    <w:rsid w:val="00BA6EF5"/>
    <w:rsid w:val="00BA7878"/>
    <w:rsid w:val="00BA7B02"/>
    <w:rsid w:val="00BA7DB4"/>
    <w:rsid w:val="00BB076D"/>
    <w:rsid w:val="00BB11F6"/>
    <w:rsid w:val="00BB166E"/>
    <w:rsid w:val="00BB2652"/>
    <w:rsid w:val="00BB2787"/>
    <w:rsid w:val="00BB31B0"/>
    <w:rsid w:val="00BB4595"/>
    <w:rsid w:val="00BB5C6F"/>
    <w:rsid w:val="00BB636D"/>
    <w:rsid w:val="00BB63BA"/>
    <w:rsid w:val="00BC036B"/>
    <w:rsid w:val="00BC0445"/>
    <w:rsid w:val="00BC0DD6"/>
    <w:rsid w:val="00BC144A"/>
    <w:rsid w:val="00BC3988"/>
    <w:rsid w:val="00BC3C7F"/>
    <w:rsid w:val="00BC3EFB"/>
    <w:rsid w:val="00BC401A"/>
    <w:rsid w:val="00BC41E0"/>
    <w:rsid w:val="00BC4A9D"/>
    <w:rsid w:val="00BC5A53"/>
    <w:rsid w:val="00BC6A0A"/>
    <w:rsid w:val="00BC7028"/>
    <w:rsid w:val="00BC79EC"/>
    <w:rsid w:val="00BD01AA"/>
    <w:rsid w:val="00BD07AA"/>
    <w:rsid w:val="00BD1A9D"/>
    <w:rsid w:val="00BD27D1"/>
    <w:rsid w:val="00BD3D39"/>
    <w:rsid w:val="00BD4685"/>
    <w:rsid w:val="00BD4BE0"/>
    <w:rsid w:val="00BD54BE"/>
    <w:rsid w:val="00BD5B1A"/>
    <w:rsid w:val="00BD6AED"/>
    <w:rsid w:val="00BD6FEB"/>
    <w:rsid w:val="00BD7746"/>
    <w:rsid w:val="00BD7F9F"/>
    <w:rsid w:val="00BE0517"/>
    <w:rsid w:val="00BE0744"/>
    <w:rsid w:val="00BE175C"/>
    <w:rsid w:val="00BE1A41"/>
    <w:rsid w:val="00BE20AD"/>
    <w:rsid w:val="00BE2BD8"/>
    <w:rsid w:val="00BE367F"/>
    <w:rsid w:val="00BE378F"/>
    <w:rsid w:val="00BE3C89"/>
    <w:rsid w:val="00BE3D3F"/>
    <w:rsid w:val="00BE3E9F"/>
    <w:rsid w:val="00BE4D3F"/>
    <w:rsid w:val="00BE5D60"/>
    <w:rsid w:val="00BE5E88"/>
    <w:rsid w:val="00BE5F8F"/>
    <w:rsid w:val="00BE648B"/>
    <w:rsid w:val="00BE670D"/>
    <w:rsid w:val="00BE6AAF"/>
    <w:rsid w:val="00BE6F28"/>
    <w:rsid w:val="00BE71B4"/>
    <w:rsid w:val="00BE71B5"/>
    <w:rsid w:val="00BF04FF"/>
    <w:rsid w:val="00BF109B"/>
    <w:rsid w:val="00BF1B6D"/>
    <w:rsid w:val="00BF244C"/>
    <w:rsid w:val="00BF3352"/>
    <w:rsid w:val="00BF37BF"/>
    <w:rsid w:val="00BF414C"/>
    <w:rsid w:val="00BF4675"/>
    <w:rsid w:val="00BF4748"/>
    <w:rsid w:val="00BF4E9C"/>
    <w:rsid w:val="00BF6941"/>
    <w:rsid w:val="00BF70D3"/>
    <w:rsid w:val="00C01305"/>
    <w:rsid w:val="00C01DD1"/>
    <w:rsid w:val="00C02C40"/>
    <w:rsid w:val="00C02DC2"/>
    <w:rsid w:val="00C03090"/>
    <w:rsid w:val="00C03C3F"/>
    <w:rsid w:val="00C03DC0"/>
    <w:rsid w:val="00C03F72"/>
    <w:rsid w:val="00C0490B"/>
    <w:rsid w:val="00C04EE8"/>
    <w:rsid w:val="00C05217"/>
    <w:rsid w:val="00C0532D"/>
    <w:rsid w:val="00C0579D"/>
    <w:rsid w:val="00C06021"/>
    <w:rsid w:val="00C067FE"/>
    <w:rsid w:val="00C06B06"/>
    <w:rsid w:val="00C072C0"/>
    <w:rsid w:val="00C075DA"/>
    <w:rsid w:val="00C07D39"/>
    <w:rsid w:val="00C07D54"/>
    <w:rsid w:val="00C11DCE"/>
    <w:rsid w:val="00C12540"/>
    <w:rsid w:val="00C1337C"/>
    <w:rsid w:val="00C13843"/>
    <w:rsid w:val="00C14EEE"/>
    <w:rsid w:val="00C14F64"/>
    <w:rsid w:val="00C16B47"/>
    <w:rsid w:val="00C16D47"/>
    <w:rsid w:val="00C16F7D"/>
    <w:rsid w:val="00C17E81"/>
    <w:rsid w:val="00C2057B"/>
    <w:rsid w:val="00C21991"/>
    <w:rsid w:val="00C2213B"/>
    <w:rsid w:val="00C22276"/>
    <w:rsid w:val="00C225E4"/>
    <w:rsid w:val="00C22C5B"/>
    <w:rsid w:val="00C23BE8"/>
    <w:rsid w:val="00C23E83"/>
    <w:rsid w:val="00C24148"/>
    <w:rsid w:val="00C24320"/>
    <w:rsid w:val="00C243C3"/>
    <w:rsid w:val="00C2470D"/>
    <w:rsid w:val="00C24DCD"/>
    <w:rsid w:val="00C252B9"/>
    <w:rsid w:val="00C266E5"/>
    <w:rsid w:val="00C26C38"/>
    <w:rsid w:val="00C26CF3"/>
    <w:rsid w:val="00C27787"/>
    <w:rsid w:val="00C307D2"/>
    <w:rsid w:val="00C309A5"/>
    <w:rsid w:val="00C313C2"/>
    <w:rsid w:val="00C32A69"/>
    <w:rsid w:val="00C32E6A"/>
    <w:rsid w:val="00C33CAC"/>
    <w:rsid w:val="00C33FCA"/>
    <w:rsid w:val="00C349D5"/>
    <w:rsid w:val="00C34A19"/>
    <w:rsid w:val="00C34F13"/>
    <w:rsid w:val="00C35169"/>
    <w:rsid w:val="00C3572E"/>
    <w:rsid w:val="00C3671B"/>
    <w:rsid w:val="00C371CC"/>
    <w:rsid w:val="00C372C7"/>
    <w:rsid w:val="00C37B1D"/>
    <w:rsid w:val="00C408C6"/>
    <w:rsid w:val="00C420D8"/>
    <w:rsid w:val="00C4242B"/>
    <w:rsid w:val="00C4268C"/>
    <w:rsid w:val="00C42AD3"/>
    <w:rsid w:val="00C43776"/>
    <w:rsid w:val="00C43AFC"/>
    <w:rsid w:val="00C44301"/>
    <w:rsid w:val="00C44BDD"/>
    <w:rsid w:val="00C45C63"/>
    <w:rsid w:val="00C47080"/>
    <w:rsid w:val="00C47270"/>
    <w:rsid w:val="00C473E3"/>
    <w:rsid w:val="00C477DF"/>
    <w:rsid w:val="00C479F0"/>
    <w:rsid w:val="00C5007D"/>
    <w:rsid w:val="00C51BB2"/>
    <w:rsid w:val="00C52661"/>
    <w:rsid w:val="00C528E0"/>
    <w:rsid w:val="00C54741"/>
    <w:rsid w:val="00C54AA3"/>
    <w:rsid w:val="00C54B95"/>
    <w:rsid w:val="00C54C53"/>
    <w:rsid w:val="00C5502D"/>
    <w:rsid w:val="00C550F8"/>
    <w:rsid w:val="00C55B54"/>
    <w:rsid w:val="00C56ED6"/>
    <w:rsid w:val="00C56F75"/>
    <w:rsid w:val="00C57E25"/>
    <w:rsid w:val="00C60638"/>
    <w:rsid w:val="00C61D05"/>
    <w:rsid w:val="00C62336"/>
    <w:rsid w:val="00C63096"/>
    <w:rsid w:val="00C6314E"/>
    <w:rsid w:val="00C63354"/>
    <w:rsid w:val="00C64970"/>
    <w:rsid w:val="00C649C8"/>
    <w:rsid w:val="00C64E57"/>
    <w:rsid w:val="00C650A5"/>
    <w:rsid w:val="00C652B0"/>
    <w:rsid w:val="00C6666A"/>
    <w:rsid w:val="00C66FC2"/>
    <w:rsid w:val="00C6752D"/>
    <w:rsid w:val="00C677F7"/>
    <w:rsid w:val="00C70F1E"/>
    <w:rsid w:val="00C710ED"/>
    <w:rsid w:val="00C718D7"/>
    <w:rsid w:val="00C72905"/>
    <w:rsid w:val="00C729EE"/>
    <w:rsid w:val="00C72E4A"/>
    <w:rsid w:val="00C73400"/>
    <w:rsid w:val="00C75E8D"/>
    <w:rsid w:val="00C76FC3"/>
    <w:rsid w:val="00C77401"/>
    <w:rsid w:val="00C80160"/>
    <w:rsid w:val="00C81035"/>
    <w:rsid w:val="00C8183F"/>
    <w:rsid w:val="00C8218E"/>
    <w:rsid w:val="00C82484"/>
    <w:rsid w:val="00C82743"/>
    <w:rsid w:val="00C82812"/>
    <w:rsid w:val="00C834BE"/>
    <w:rsid w:val="00C83894"/>
    <w:rsid w:val="00C83A07"/>
    <w:rsid w:val="00C844AE"/>
    <w:rsid w:val="00C86A39"/>
    <w:rsid w:val="00C87584"/>
    <w:rsid w:val="00C87AB1"/>
    <w:rsid w:val="00C87D20"/>
    <w:rsid w:val="00C87EE9"/>
    <w:rsid w:val="00C913F7"/>
    <w:rsid w:val="00C916EA"/>
    <w:rsid w:val="00C91924"/>
    <w:rsid w:val="00C91AE4"/>
    <w:rsid w:val="00C921A8"/>
    <w:rsid w:val="00C928C8"/>
    <w:rsid w:val="00C93807"/>
    <w:rsid w:val="00C93D65"/>
    <w:rsid w:val="00C94F48"/>
    <w:rsid w:val="00C96FC5"/>
    <w:rsid w:val="00C97F4C"/>
    <w:rsid w:val="00CA11C0"/>
    <w:rsid w:val="00CA1CC0"/>
    <w:rsid w:val="00CA1CE6"/>
    <w:rsid w:val="00CA3BBD"/>
    <w:rsid w:val="00CA3D26"/>
    <w:rsid w:val="00CA42A1"/>
    <w:rsid w:val="00CA4D21"/>
    <w:rsid w:val="00CA5213"/>
    <w:rsid w:val="00CA57B2"/>
    <w:rsid w:val="00CA7FB5"/>
    <w:rsid w:val="00CB036A"/>
    <w:rsid w:val="00CB1677"/>
    <w:rsid w:val="00CB1CE1"/>
    <w:rsid w:val="00CB2114"/>
    <w:rsid w:val="00CB2B12"/>
    <w:rsid w:val="00CB2F4C"/>
    <w:rsid w:val="00CB337B"/>
    <w:rsid w:val="00CB3613"/>
    <w:rsid w:val="00CB3CEC"/>
    <w:rsid w:val="00CB3E98"/>
    <w:rsid w:val="00CB3EDE"/>
    <w:rsid w:val="00CB4E17"/>
    <w:rsid w:val="00CB54B3"/>
    <w:rsid w:val="00CB6909"/>
    <w:rsid w:val="00CB6D35"/>
    <w:rsid w:val="00CB7CDA"/>
    <w:rsid w:val="00CC06F9"/>
    <w:rsid w:val="00CC0A2C"/>
    <w:rsid w:val="00CC12C0"/>
    <w:rsid w:val="00CC1393"/>
    <w:rsid w:val="00CC1ED9"/>
    <w:rsid w:val="00CC2906"/>
    <w:rsid w:val="00CC2E86"/>
    <w:rsid w:val="00CC38BE"/>
    <w:rsid w:val="00CC458F"/>
    <w:rsid w:val="00CC4E62"/>
    <w:rsid w:val="00CC75CE"/>
    <w:rsid w:val="00CC7B69"/>
    <w:rsid w:val="00CD013C"/>
    <w:rsid w:val="00CD21F5"/>
    <w:rsid w:val="00CD22A2"/>
    <w:rsid w:val="00CD2C25"/>
    <w:rsid w:val="00CD335B"/>
    <w:rsid w:val="00CD48FF"/>
    <w:rsid w:val="00CD531A"/>
    <w:rsid w:val="00CD54E2"/>
    <w:rsid w:val="00CD5A7E"/>
    <w:rsid w:val="00CD678E"/>
    <w:rsid w:val="00CD7035"/>
    <w:rsid w:val="00CD79F0"/>
    <w:rsid w:val="00CD7E2B"/>
    <w:rsid w:val="00CE035C"/>
    <w:rsid w:val="00CE03B8"/>
    <w:rsid w:val="00CE0639"/>
    <w:rsid w:val="00CE0AE9"/>
    <w:rsid w:val="00CE0F2A"/>
    <w:rsid w:val="00CE1638"/>
    <w:rsid w:val="00CE2075"/>
    <w:rsid w:val="00CE3087"/>
    <w:rsid w:val="00CE43C7"/>
    <w:rsid w:val="00CE4541"/>
    <w:rsid w:val="00CE4948"/>
    <w:rsid w:val="00CE4B46"/>
    <w:rsid w:val="00CE5EF6"/>
    <w:rsid w:val="00CE6652"/>
    <w:rsid w:val="00CE7564"/>
    <w:rsid w:val="00CF0525"/>
    <w:rsid w:val="00CF18F0"/>
    <w:rsid w:val="00CF27F4"/>
    <w:rsid w:val="00CF29B8"/>
    <w:rsid w:val="00CF370F"/>
    <w:rsid w:val="00CF41FB"/>
    <w:rsid w:val="00CF47A2"/>
    <w:rsid w:val="00CF53A5"/>
    <w:rsid w:val="00CF6949"/>
    <w:rsid w:val="00CF6A25"/>
    <w:rsid w:val="00CF6C06"/>
    <w:rsid w:val="00CF6E66"/>
    <w:rsid w:val="00CF739D"/>
    <w:rsid w:val="00CF7689"/>
    <w:rsid w:val="00D0088C"/>
    <w:rsid w:val="00D00C92"/>
    <w:rsid w:val="00D01555"/>
    <w:rsid w:val="00D0170F"/>
    <w:rsid w:val="00D01740"/>
    <w:rsid w:val="00D01CA2"/>
    <w:rsid w:val="00D01DDF"/>
    <w:rsid w:val="00D035A6"/>
    <w:rsid w:val="00D03E34"/>
    <w:rsid w:val="00D0737A"/>
    <w:rsid w:val="00D07CC6"/>
    <w:rsid w:val="00D10E44"/>
    <w:rsid w:val="00D11ABB"/>
    <w:rsid w:val="00D1251E"/>
    <w:rsid w:val="00D1337A"/>
    <w:rsid w:val="00D1382C"/>
    <w:rsid w:val="00D14424"/>
    <w:rsid w:val="00D158B3"/>
    <w:rsid w:val="00D16447"/>
    <w:rsid w:val="00D17877"/>
    <w:rsid w:val="00D20BC1"/>
    <w:rsid w:val="00D20BDD"/>
    <w:rsid w:val="00D2183B"/>
    <w:rsid w:val="00D21FC0"/>
    <w:rsid w:val="00D22DA6"/>
    <w:rsid w:val="00D22E68"/>
    <w:rsid w:val="00D23055"/>
    <w:rsid w:val="00D2326C"/>
    <w:rsid w:val="00D242BE"/>
    <w:rsid w:val="00D245E7"/>
    <w:rsid w:val="00D24D88"/>
    <w:rsid w:val="00D24F63"/>
    <w:rsid w:val="00D26ACE"/>
    <w:rsid w:val="00D27090"/>
    <w:rsid w:val="00D30B02"/>
    <w:rsid w:val="00D30DB2"/>
    <w:rsid w:val="00D315E4"/>
    <w:rsid w:val="00D3177D"/>
    <w:rsid w:val="00D31963"/>
    <w:rsid w:val="00D31FB7"/>
    <w:rsid w:val="00D32122"/>
    <w:rsid w:val="00D3292F"/>
    <w:rsid w:val="00D33ED2"/>
    <w:rsid w:val="00D34157"/>
    <w:rsid w:val="00D34FE9"/>
    <w:rsid w:val="00D36472"/>
    <w:rsid w:val="00D36822"/>
    <w:rsid w:val="00D36E7B"/>
    <w:rsid w:val="00D401BB"/>
    <w:rsid w:val="00D424BA"/>
    <w:rsid w:val="00D43176"/>
    <w:rsid w:val="00D44215"/>
    <w:rsid w:val="00D458F3"/>
    <w:rsid w:val="00D45C79"/>
    <w:rsid w:val="00D45F57"/>
    <w:rsid w:val="00D461E8"/>
    <w:rsid w:val="00D473C3"/>
    <w:rsid w:val="00D47643"/>
    <w:rsid w:val="00D47ADA"/>
    <w:rsid w:val="00D47B1E"/>
    <w:rsid w:val="00D47F47"/>
    <w:rsid w:val="00D50BFA"/>
    <w:rsid w:val="00D52157"/>
    <w:rsid w:val="00D52F99"/>
    <w:rsid w:val="00D535F8"/>
    <w:rsid w:val="00D53A99"/>
    <w:rsid w:val="00D54440"/>
    <w:rsid w:val="00D54B1D"/>
    <w:rsid w:val="00D5509E"/>
    <w:rsid w:val="00D55544"/>
    <w:rsid w:val="00D55D06"/>
    <w:rsid w:val="00D56350"/>
    <w:rsid w:val="00D56903"/>
    <w:rsid w:val="00D56FEB"/>
    <w:rsid w:val="00D57532"/>
    <w:rsid w:val="00D57C9A"/>
    <w:rsid w:val="00D60EC8"/>
    <w:rsid w:val="00D60FF8"/>
    <w:rsid w:val="00D61982"/>
    <w:rsid w:val="00D61C43"/>
    <w:rsid w:val="00D627A2"/>
    <w:rsid w:val="00D63B5D"/>
    <w:rsid w:val="00D64167"/>
    <w:rsid w:val="00D64295"/>
    <w:rsid w:val="00D64828"/>
    <w:rsid w:val="00D6489A"/>
    <w:rsid w:val="00D64D3F"/>
    <w:rsid w:val="00D65F22"/>
    <w:rsid w:val="00D66785"/>
    <w:rsid w:val="00D67CD3"/>
    <w:rsid w:val="00D67E40"/>
    <w:rsid w:val="00D67EB3"/>
    <w:rsid w:val="00D715D3"/>
    <w:rsid w:val="00D71B9C"/>
    <w:rsid w:val="00D72AB5"/>
    <w:rsid w:val="00D73565"/>
    <w:rsid w:val="00D73A99"/>
    <w:rsid w:val="00D73E73"/>
    <w:rsid w:val="00D73ED5"/>
    <w:rsid w:val="00D74F4C"/>
    <w:rsid w:val="00D75DCD"/>
    <w:rsid w:val="00D76ED7"/>
    <w:rsid w:val="00D7784B"/>
    <w:rsid w:val="00D804C8"/>
    <w:rsid w:val="00D808D8"/>
    <w:rsid w:val="00D8119B"/>
    <w:rsid w:val="00D81543"/>
    <w:rsid w:val="00D817FE"/>
    <w:rsid w:val="00D84757"/>
    <w:rsid w:val="00D84919"/>
    <w:rsid w:val="00D857F1"/>
    <w:rsid w:val="00D85BD7"/>
    <w:rsid w:val="00D86DD4"/>
    <w:rsid w:val="00D8760C"/>
    <w:rsid w:val="00D91A3F"/>
    <w:rsid w:val="00D91B97"/>
    <w:rsid w:val="00D91DFD"/>
    <w:rsid w:val="00D92E02"/>
    <w:rsid w:val="00D92EFE"/>
    <w:rsid w:val="00D93589"/>
    <w:rsid w:val="00D938AB"/>
    <w:rsid w:val="00D94E1B"/>
    <w:rsid w:val="00D950E9"/>
    <w:rsid w:val="00D95F57"/>
    <w:rsid w:val="00D96069"/>
    <w:rsid w:val="00D96361"/>
    <w:rsid w:val="00D964AE"/>
    <w:rsid w:val="00D96C74"/>
    <w:rsid w:val="00DA00B9"/>
    <w:rsid w:val="00DA131B"/>
    <w:rsid w:val="00DA1E8E"/>
    <w:rsid w:val="00DA24F3"/>
    <w:rsid w:val="00DA36BC"/>
    <w:rsid w:val="00DA40A3"/>
    <w:rsid w:val="00DA5032"/>
    <w:rsid w:val="00DA519D"/>
    <w:rsid w:val="00DA5464"/>
    <w:rsid w:val="00DA59DF"/>
    <w:rsid w:val="00DA5BAE"/>
    <w:rsid w:val="00DA6F3A"/>
    <w:rsid w:val="00DA7217"/>
    <w:rsid w:val="00DA7292"/>
    <w:rsid w:val="00DB015C"/>
    <w:rsid w:val="00DB07AB"/>
    <w:rsid w:val="00DB0CA8"/>
    <w:rsid w:val="00DB1226"/>
    <w:rsid w:val="00DB2048"/>
    <w:rsid w:val="00DB222A"/>
    <w:rsid w:val="00DB38B7"/>
    <w:rsid w:val="00DB4F0A"/>
    <w:rsid w:val="00DB5460"/>
    <w:rsid w:val="00DB6133"/>
    <w:rsid w:val="00DB6E85"/>
    <w:rsid w:val="00DB7687"/>
    <w:rsid w:val="00DC04A8"/>
    <w:rsid w:val="00DC1972"/>
    <w:rsid w:val="00DC2049"/>
    <w:rsid w:val="00DC2739"/>
    <w:rsid w:val="00DC3BBC"/>
    <w:rsid w:val="00DC40D2"/>
    <w:rsid w:val="00DC43B3"/>
    <w:rsid w:val="00DC461F"/>
    <w:rsid w:val="00DC5D99"/>
    <w:rsid w:val="00DC5E3A"/>
    <w:rsid w:val="00DC74FC"/>
    <w:rsid w:val="00DD07C7"/>
    <w:rsid w:val="00DD2465"/>
    <w:rsid w:val="00DD3704"/>
    <w:rsid w:val="00DD3DA6"/>
    <w:rsid w:val="00DD4232"/>
    <w:rsid w:val="00DD454F"/>
    <w:rsid w:val="00DD46DF"/>
    <w:rsid w:val="00DD4BE6"/>
    <w:rsid w:val="00DD51CC"/>
    <w:rsid w:val="00DD5523"/>
    <w:rsid w:val="00DD59E4"/>
    <w:rsid w:val="00DD606A"/>
    <w:rsid w:val="00DD60D0"/>
    <w:rsid w:val="00DD696A"/>
    <w:rsid w:val="00DD6CAE"/>
    <w:rsid w:val="00DD7AA8"/>
    <w:rsid w:val="00DD7AEA"/>
    <w:rsid w:val="00DD7B75"/>
    <w:rsid w:val="00DE02E9"/>
    <w:rsid w:val="00DE093F"/>
    <w:rsid w:val="00DE0B41"/>
    <w:rsid w:val="00DE0EC5"/>
    <w:rsid w:val="00DE153D"/>
    <w:rsid w:val="00DE1B52"/>
    <w:rsid w:val="00DE21A9"/>
    <w:rsid w:val="00DE25FE"/>
    <w:rsid w:val="00DE2775"/>
    <w:rsid w:val="00DE294B"/>
    <w:rsid w:val="00DE2C4E"/>
    <w:rsid w:val="00DE337D"/>
    <w:rsid w:val="00DE389B"/>
    <w:rsid w:val="00DE3BFF"/>
    <w:rsid w:val="00DE476B"/>
    <w:rsid w:val="00DE5322"/>
    <w:rsid w:val="00DE60DF"/>
    <w:rsid w:val="00DE6719"/>
    <w:rsid w:val="00DE6902"/>
    <w:rsid w:val="00DE710B"/>
    <w:rsid w:val="00DE742E"/>
    <w:rsid w:val="00DF011F"/>
    <w:rsid w:val="00DF0C3C"/>
    <w:rsid w:val="00DF17D1"/>
    <w:rsid w:val="00DF19F7"/>
    <w:rsid w:val="00DF20AD"/>
    <w:rsid w:val="00DF2897"/>
    <w:rsid w:val="00DF2A18"/>
    <w:rsid w:val="00DF2D51"/>
    <w:rsid w:val="00DF3364"/>
    <w:rsid w:val="00DF387A"/>
    <w:rsid w:val="00DF4665"/>
    <w:rsid w:val="00DF5865"/>
    <w:rsid w:val="00E00169"/>
    <w:rsid w:val="00E010D5"/>
    <w:rsid w:val="00E016ED"/>
    <w:rsid w:val="00E01E64"/>
    <w:rsid w:val="00E01F08"/>
    <w:rsid w:val="00E01FFD"/>
    <w:rsid w:val="00E02A0A"/>
    <w:rsid w:val="00E02D63"/>
    <w:rsid w:val="00E02EA0"/>
    <w:rsid w:val="00E03D33"/>
    <w:rsid w:val="00E03EEE"/>
    <w:rsid w:val="00E04992"/>
    <w:rsid w:val="00E05DEB"/>
    <w:rsid w:val="00E07C66"/>
    <w:rsid w:val="00E07D18"/>
    <w:rsid w:val="00E07DEB"/>
    <w:rsid w:val="00E102D2"/>
    <w:rsid w:val="00E11598"/>
    <w:rsid w:val="00E13243"/>
    <w:rsid w:val="00E13828"/>
    <w:rsid w:val="00E146B8"/>
    <w:rsid w:val="00E14E93"/>
    <w:rsid w:val="00E154A6"/>
    <w:rsid w:val="00E1569E"/>
    <w:rsid w:val="00E15B15"/>
    <w:rsid w:val="00E161B8"/>
    <w:rsid w:val="00E164AF"/>
    <w:rsid w:val="00E17C20"/>
    <w:rsid w:val="00E17F6C"/>
    <w:rsid w:val="00E20249"/>
    <w:rsid w:val="00E2036B"/>
    <w:rsid w:val="00E2179E"/>
    <w:rsid w:val="00E21B64"/>
    <w:rsid w:val="00E22E3D"/>
    <w:rsid w:val="00E23949"/>
    <w:rsid w:val="00E2396C"/>
    <w:rsid w:val="00E24DC8"/>
    <w:rsid w:val="00E2535F"/>
    <w:rsid w:val="00E253BE"/>
    <w:rsid w:val="00E25B5E"/>
    <w:rsid w:val="00E25B92"/>
    <w:rsid w:val="00E27078"/>
    <w:rsid w:val="00E27CCB"/>
    <w:rsid w:val="00E27DCE"/>
    <w:rsid w:val="00E3234F"/>
    <w:rsid w:val="00E3308B"/>
    <w:rsid w:val="00E33108"/>
    <w:rsid w:val="00E33584"/>
    <w:rsid w:val="00E33C1F"/>
    <w:rsid w:val="00E34723"/>
    <w:rsid w:val="00E34748"/>
    <w:rsid w:val="00E35717"/>
    <w:rsid w:val="00E359F4"/>
    <w:rsid w:val="00E35A56"/>
    <w:rsid w:val="00E36099"/>
    <w:rsid w:val="00E365EA"/>
    <w:rsid w:val="00E36637"/>
    <w:rsid w:val="00E36697"/>
    <w:rsid w:val="00E36FDD"/>
    <w:rsid w:val="00E3742F"/>
    <w:rsid w:val="00E413EF"/>
    <w:rsid w:val="00E41DBC"/>
    <w:rsid w:val="00E4273C"/>
    <w:rsid w:val="00E42983"/>
    <w:rsid w:val="00E42D5E"/>
    <w:rsid w:val="00E44065"/>
    <w:rsid w:val="00E44C51"/>
    <w:rsid w:val="00E45472"/>
    <w:rsid w:val="00E45624"/>
    <w:rsid w:val="00E45BB2"/>
    <w:rsid w:val="00E45F34"/>
    <w:rsid w:val="00E4775F"/>
    <w:rsid w:val="00E500AE"/>
    <w:rsid w:val="00E50640"/>
    <w:rsid w:val="00E50D2D"/>
    <w:rsid w:val="00E50E1E"/>
    <w:rsid w:val="00E51689"/>
    <w:rsid w:val="00E52222"/>
    <w:rsid w:val="00E53ABF"/>
    <w:rsid w:val="00E5414A"/>
    <w:rsid w:val="00E55BE9"/>
    <w:rsid w:val="00E56368"/>
    <w:rsid w:val="00E56454"/>
    <w:rsid w:val="00E56D29"/>
    <w:rsid w:val="00E56D76"/>
    <w:rsid w:val="00E56E5B"/>
    <w:rsid w:val="00E57569"/>
    <w:rsid w:val="00E578D9"/>
    <w:rsid w:val="00E60434"/>
    <w:rsid w:val="00E60862"/>
    <w:rsid w:val="00E6094C"/>
    <w:rsid w:val="00E60B95"/>
    <w:rsid w:val="00E61502"/>
    <w:rsid w:val="00E62743"/>
    <w:rsid w:val="00E63968"/>
    <w:rsid w:val="00E63BA8"/>
    <w:rsid w:val="00E63DFD"/>
    <w:rsid w:val="00E6412F"/>
    <w:rsid w:val="00E64236"/>
    <w:rsid w:val="00E644B7"/>
    <w:rsid w:val="00E64FB8"/>
    <w:rsid w:val="00E6519F"/>
    <w:rsid w:val="00E6524B"/>
    <w:rsid w:val="00E65C85"/>
    <w:rsid w:val="00E65D0C"/>
    <w:rsid w:val="00E65D73"/>
    <w:rsid w:val="00E65E8C"/>
    <w:rsid w:val="00E670EE"/>
    <w:rsid w:val="00E67446"/>
    <w:rsid w:val="00E678BD"/>
    <w:rsid w:val="00E67E64"/>
    <w:rsid w:val="00E70819"/>
    <w:rsid w:val="00E70A9B"/>
    <w:rsid w:val="00E70B09"/>
    <w:rsid w:val="00E71D0F"/>
    <w:rsid w:val="00E733DF"/>
    <w:rsid w:val="00E73544"/>
    <w:rsid w:val="00E760C7"/>
    <w:rsid w:val="00E763C4"/>
    <w:rsid w:val="00E779D9"/>
    <w:rsid w:val="00E804B8"/>
    <w:rsid w:val="00E8139F"/>
    <w:rsid w:val="00E8184F"/>
    <w:rsid w:val="00E8292A"/>
    <w:rsid w:val="00E82E8B"/>
    <w:rsid w:val="00E835DA"/>
    <w:rsid w:val="00E83C51"/>
    <w:rsid w:val="00E848A3"/>
    <w:rsid w:val="00E84B1B"/>
    <w:rsid w:val="00E84E5E"/>
    <w:rsid w:val="00E85033"/>
    <w:rsid w:val="00E85565"/>
    <w:rsid w:val="00E8563B"/>
    <w:rsid w:val="00E85C46"/>
    <w:rsid w:val="00E8689B"/>
    <w:rsid w:val="00E87169"/>
    <w:rsid w:val="00E87291"/>
    <w:rsid w:val="00E876B1"/>
    <w:rsid w:val="00E87BBA"/>
    <w:rsid w:val="00E90827"/>
    <w:rsid w:val="00E914B3"/>
    <w:rsid w:val="00E9212B"/>
    <w:rsid w:val="00E923B3"/>
    <w:rsid w:val="00E92E1E"/>
    <w:rsid w:val="00E93E4A"/>
    <w:rsid w:val="00E95473"/>
    <w:rsid w:val="00E9571D"/>
    <w:rsid w:val="00E95B29"/>
    <w:rsid w:val="00E966BE"/>
    <w:rsid w:val="00E96E66"/>
    <w:rsid w:val="00E97D0A"/>
    <w:rsid w:val="00EA035F"/>
    <w:rsid w:val="00EA0E77"/>
    <w:rsid w:val="00EA27E0"/>
    <w:rsid w:val="00EA445E"/>
    <w:rsid w:val="00EA4704"/>
    <w:rsid w:val="00EA4B35"/>
    <w:rsid w:val="00EA5B16"/>
    <w:rsid w:val="00EA75A6"/>
    <w:rsid w:val="00EA7D93"/>
    <w:rsid w:val="00EB069C"/>
    <w:rsid w:val="00EB0D70"/>
    <w:rsid w:val="00EB1A96"/>
    <w:rsid w:val="00EB2017"/>
    <w:rsid w:val="00EB2E25"/>
    <w:rsid w:val="00EB321C"/>
    <w:rsid w:val="00EB3E5A"/>
    <w:rsid w:val="00EB474D"/>
    <w:rsid w:val="00EB4DDD"/>
    <w:rsid w:val="00EB684E"/>
    <w:rsid w:val="00EB6B0C"/>
    <w:rsid w:val="00EB6B6E"/>
    <w:rsid w:val="00EB7496"/>
    <w:rsid w:val="00EB7556"/>
    <w:rsid w:val="00EB78DC"/>
    <w:rsid w:val="00EB7D8E"/>
    <w:rsid w:val="00EC011B"/>
    <w:rsid w:val="00EC1532"/>
    <w:rsid w:val="00EC1D7B"/>
    <w:rsid w:val="00EC2716"/>
    <w:rsid w:val="00EC311C"/>
    <w:rsid w:val="00EC36EA"/>
    <w:rsid w:val="00EC3868"/>
    <w:rsid w:val="00EC63B2"/>
    <w:rsid w:val="00EC6703"/>
    <w:rsid w:val="00EC6B0C"/>
    <w:rsid w:val="00EC6EA4"/>
    <w:rsid w:val="00EC71BF"/>
    <w:rsid w:val="00EC7B55"/>
    <w:rsid w:val="00ED0FD4"/>
    <w:rsid w:val="00ED1102"/>
    <w:rsid w:val="00ED1349"/>
    <w:rsid w:val="00ED2374"/>
    <w:rsid w:val="00ED2DD3"/>
    <w:rsid w:val="00ED4589"/>
    <w:rsid w:val="00ED49B8"/>
    <w:rsid w:val="00ED4A6C"/>
    <w:rsid w:val="00ED4F08"/>
    <w:rsid w:val="00ED6173"/>
    <w:rsid w:val="00ED6BA9"/>
    <w:rsid w:val="00ED7F09"/>
    <w:rsid w:val="00EE01CC"/>
    <w:rsid w:val="00EE11B0"/>
    <w:rsid w:val="00EE2CA0"/>
    <w:rsid w:val="00EE3291"/>
    <w:rsid w:val="00EE348A"/>
    <w:rsid w:val="00EE3B70"/>
    <w:rsid w:val="00EE48F7"/>
    <w:rsid w:val="00EE4E76"/>
    <w:rsid w:val="00EE5637"/>
    <w:rsid w:val="00EE5BFD"/>
    <w:rsid w:val="00EE606C"/>
    <w:rsid w:val="00EE6185"/>
    <w:rsid w:val="00EE61B9"/>
    <w:rsid w:val="00EE63C9"/>
    <w:rsid w:val="00EF0808"/>
    <w:rsid w:val="00EF2638"/>
    <w:rsid w:val="00EF41C2"/>
    <w:rsid w:val="00EF46D7"/>
    <w:rsid w:val="00EF4AF1"/>
    <w:rsid w:val="00EF551D"/>
    <w:rsid w:val="00EF5B6C"/>
    <w:rsid w:val="00EF5C31"/>
    <w:rsid w:val="00EF6109"/>
    <w:rsid w:val="00EF6680"/>
    <w:rsid w:val="00EF6915"/>
    <w:rsid w:val="00EF7EFF"/>
    <w:rsid w:val="00F0049B"/>
    <w:rsid w:val="00F0069B"/>
    <w:rsid w:val="00F00940"/>
    <w:rsid w:val="00F00B83"/>
    <w:rsid w:val="00F01316"/>
    <w:rsid w:val="00F02707"/>
    <w:rsid w:val="00F02B11"/>
    <w:rsid w:val="00F02C0F"/>
    <w:rsid w:val="00F03399"/>
    <w:rsid w:val="00F04713"/>
    <w:rsid w:val="00F060D5"/>
    <w:rsid w:val="00F062A5"/>
    <w:rsid w:val="00F06757"/>
    <w:rsid w:val="00F06958"/>
    <w:rsid w:val="00F071EC"/>
    <w:rsid w:val="00F07330"/>
    <w:rsid w:val="00F07534"/>
    <w:rsid w:val="00F102D0"/>
    <w:rsid w:val="00F1063F"/>
    <w:rsid w:val="00F10A48"/>
    <w:rsid w:val="00F10D23"/>
    <w:rsid w:val="00F10F22"/>
    <w:rsid w:val="00F11B9B"/>
    <w:rsid w:val="00F12768"/>
    <w:rsid w:val="00F133D0"/>
    <w:rsid w:val="00F1344F"/>
    <w:rsid w:val="00F141FE"/>
    <w:rsid w:val="00F144DE"/>
    <w:rsid w:val="00F1477A"/>
    <w:rsid w:val="00F149E2"/>
    <w:rsid w:val="00F14DD6"/>
    <w:rsid w:val="00F14EAC"/>
    <w:rsid w:val="00F15E02"/>
    <w:rsid w:val="00F15EFA"/>
    <w:rsid w:val="00F16BEA"/>
    <w:rsid w:val="00F16EB0"/>
    <w:rsid w:val="00F17031"/>
    <w:rsid w:val="00F17D7C"/>
    <w:rsid w:val="00F204FD"/>
    <w:rsid w:val="00F20FA6"/>
    <w:rsid w:val="00F21008"/>
    <w:rsid w:val="00F213BE"/>
    <w:rsid w:val="00F21564"/>
    <w:rsid w:val="00F21A28"/>
    <w:rsid w:val="00F21BA0"/>
    <w:rsid w:val="00F232A8"/>
    <w:rsid w:val="00F23F10"/>
    <w:rsid w:val="00F25AFF"/>
    <w:rsid w:val="00F26544"/>
    <w:rsid w:val="00F269FE"/>
    <w:rsid w:val="00F27B4D"/>
    <w:rsid w:val="00F27B90"/>
    <w:rsid w:val="00F301C3"/>
    <w:rsid w:val="00F302FD"/>
    <w:rsid w:val="00F309C8"/>
    <w:rsid w:val="00F30B3D"/>
    <w:rsid w:val="00F30C8A"/>
    <w:rsid w:val="00F3242A"/>
    <w:rsid w:val="00F32624"/>
    <w:rsid w:val="00F327AB"/>
    <w:rsid w:val="00F328CC"/>
    <w:rsid w:val="00F32DCE"/>
    <w:rsid w:val="00F32EA5"/>
    <w:rsid w:val="00F341A0"/>
    <w:rsid w:val="00F345A2"/>
    <w:rsid w:val="00F34A34"/>
    <w:rsid w:val="00F34FAD"/>
    <w:rsid w:val="00F3513D"/>
    <w:rsid w:val="00F35420"/>
    <w:rsid w:val="00F3547A"/>
    <w:rsid w:val="00F35883"/>
    <w:rsid w:val="00F3628F"/>
    <w:rsid w:val="00F37F5D"/>
    <w:rsid w:val="00F40AB1"/>
    <w:rsid w:val="00F41426"/>
    <w:rsid w:val="00F41B54"/>
    <w:rsid w:val="00F41DE8"/>
    <w:rsid w:val="00F420A8"/>
    <w:rsid w:val="00F4221D"/>
    <w:rsid w:val="00F42821"/>
    <w:rsid w:val="00F42944"/>
    <w:rsid w:val="00F42C8D"/>
    <w:rsid w:val="00F42D03"/>
    <w:rsid w:val="00F43E70"/>
    <w:rsid w:val="00F445D5"/>
    <w:rsid w:val="00F45147"/>
    <w:rsid w:val="00F45DB0"/>
    <w:rsid w:val="00F4608D"/>
    <w:rsid w:val="00F47478"/>
    <w:rsid w:val="00F476D0"/>
    <w:rsid w:val="00F47C3F"/>
    <w:rsid w:val="00F5062F"/>
    <w:rsid w:val="00F5187F"/>
    <w:rsid w:val="00F51DED"/>
    <w:rsid w:val="00F522EE"/>
    <w:rsid w:val="00F5364D"/>
    <w:rsid w:val="00F5387B"/>
    <w:rsid w:val="00F54754"/>
    <w:rsid w:val="00F55C81"/>
    <w:rsid w:val="00F560DE"/>
    <w:rsid w:val="00F569B4"/>
    <w:rsid w:val="00F56B80"/>
    <w:rsid w:val="00F56C98"/>
    <w:rsid w:val="00F573DD"/>
    <w:rsid w:val="00F60853"/>
    <w:rsid w:val="00F61C64"/>
    <w:rsid w:val="00F634E2"/>
    <w:rsid w:val="00F647DB"/>
    <w:rsid w:val="00F649CE"/>
    <w:rsid w:val="00F64E7D"/>
    <w:rsid w:val="00F65940"/>
    <w:rsid w:val="00F65A39"/>
    <w:rsid w:val="00F65F42"/>
    <w:rsid w:val="00F6626F"/>
    <w:rsid w:val="00F66791"/>
    <w:rsid w:val="00F66BBC"/>
    <w:rsid w:val="00F67D76"/>
    <w:rsid w:val="00F701E2"/>
    <w:rsid w:val="00F7101E"/>
    <w:rsid w:val="00F711D4"/>
    <w:rsid w:val="00F71C0B"/>
    <w:rsid w:val="00F71DD9"/>
    <w:rsid w:val="00F72131"/>
    <w:rsid w:val="00F721DD"/>
    <w:rsid w:val="00F73080"/>
    <w:rsid w:val="00F73A4E"/>
    <w:rsid w:val="00F73EBA"/>
    <w:rsid w:val="00F74B18"/>
    <w:rsid w:val="00F75908"/>
    <w:rsid w:val="00F75F87"/>
    <w:rsid w:val="00F7675D"/>
    <w:rsid w:val="00F76E36"/>
    <w:rsid w:val="00F77267"/>
    <w:rsid w:val="00F80D41"/>
    <w:rsid w:val="00F80F32"/>
    <w:rsid w:val="00F81073"/>
    <w:rsid w:val="00F81561"/>
    <w:rsid w:val="00F82CD2"/>
    <w:rsid w:val="00F82F4A"/>
    <w:rsid w:val="00F82F8A"/>
    <w:rsid w:val="00F831F4"/>
    <w:rsid w:val="00F8366C"/>
    <w:rsid w:val="00F836FE"/>
    <w:rsid w:val="00F8384C"/>
    <w:rsid w:val="00F83E68"/>
    <w:rsid w:val="00F840A7"/>
    <w:rsid w:val="00F8479D"/>
    <w:rsid w:val="00F847F9"/>
    <w:rsid w:val="00F84E72"/>
    <w:rsid w:val="00F8515B"/>
    <w:rsid w:val="00F859AE"/>
    <w:rsid w:val="00F86375"/>
    <w:rsid w:val="00F86646"/>
    <w:rsid w:val="00F87B01"/>
    <w:rsid w:val="00F90F60"/>
    <w:rsid w:val="00F92432"/>
    <w:rsid w:val="00F925B9"/>
    <w:rsid w:val="00F92CD2"/>
    <w:rsid w:val="00F92DBA"/>
    <w:rsid w:val="00F931B8"/>
    <w:rsid w:val="00F93A2E"/>
    <w:rsid w:val="00F93BC9"/>
    <w:rsid w:val="00F94E75"/>
    <w:rsid w:val="00F9570D"/>
    <w:rsid w:val="00F95E4D"/>
    <w:rsid w:val="00F96221"/>
    <w:rsid w:val="00F97710"/>
    <w:rsid w:val="00F97BE3"/>
    <w:rsid w:val="00F97CF2"/>
    <w:rsid w:val="00FA014D"/>
    <w:rsid w:val="00FA0675"/>
    <w:rsid w:val="00FA1A47"/>
    <w:rsid w:val="00FA1BCF"/>
    <w:rsid w:val="00FA2F11"/>
    <w:rsid w:val="00FA2F46"/>
    <w:rsid w:val="00FA39B9"/>
    <w:rsid w:val="00FA3F62"/>
    <w:rsid w:val="00FA4666"/>
    <w:rsid w:val="00FA467E"/>
    <w:rsid w:val="00FA56FD"/>
    <w:rsid w:val="00FA5F54"/>
    <w:rsid w:val="00FA5F5B"/>
    <w:rsid w:val="00FA604D"/>
    <w:rsid w:val="00FA682E"/>
    <w:rsid w:val="00FA6BF8"/>
    <w:rsid w:val="00FA6EBE"/>
    <w:rsid w:val="00FA7204"/>
    <w:rsid w:val="00FA734A"/>
    <w:rsid w:val="00FA78EC"/>
    <w:rsid w:val="00FA7A67"/>
    <w:rsid w:val="00FB08C1"/>
    <w:rsid w:val="00FB163A"/>
    <w:rsid w:val="00FB1987"/>
    <w:rsid w:val="00FB3005"/>
    <w:rsid w:val="00FB348D"/>
    <w:rsid w:val="00FB3726"/>
    <w:rsid w:val="00FB398A"/>
    <w:rsid w:val="00FB473E"/>
    <w:rsid w:val="00FB5858"/>
    <w:rsid w:val="00FB597D"/>
    <w:rsid w:val="00FB59DA"/>
    <w:rsid w:val="00FB633C"/>
    <w:rsid w:val="00FB71E3"/>
    <w:rsid w:val="00FB7ACB"/>
    <w:rsid w:val="00FB7AF7"/>
    <w:rsid w:val="00FB7BC7"/>
    <w:rsid w:val="00FC1083"/>
    <w:rsid w:val="00FC1562"/>
    <w:rsid w:val="00FC25B1"/>
    <w:rsid w:val="00FC31AA"/>
    <w:rsid w:val="00FC4C03"/>
    <w:rsid w:val="00FC535C"/>
    <w:rsid w:val="00FC54F2"/>
    <w:rsid w:val="00FC5A97"/>
    <w:rsid w:val="00FC6EDA"/>
    <w:rsid w:val="00FC79AA"/>
    <w:rsid w:val="00FD01B4"/>
    <w:rsid w:val="00FD085E"/>
    <w:rsid w:val="00FD19F3"/>
    <w:rsid w:val="00FD3E26"/>
    <w:rsid w:val="00FD4C89"/>
    <w:rsid w:val="00FD525D"/>
    <w:rsid w:val="00FD580C"/>
    <w:rsid w:val="00FD64F4"/>
    <w:rsid w:val="00FD67CC"/>
    <w:rsid w:val="00FE0188"/>
    <w:rsid w:val="00FE0C44"/>
    <w:rsid w:val="00FE2B3C"/>
    <w:rsid w:val="00FE3E86"/>
    <w:rsid w:val="00FE3F87"/>
    <w:rsid w:val="00FE4779"/>
    <w:rsid w:val="00FE524E"/>
    <w:rsid w:val="00FE5390"/>
    <w:rsid w:val="00FE6378"/>
    <w:rsid w:val="00FE69C0"/>
    <w:rsid w:val="00FF06AE"/>
    <w:rsid w:val="00FF0C18"/>
    <w:rsid w:val="00FF158C"/>
    <w:rsid w:val="00FF18A8"/>
    <w:rsid w:val="00FF1980"/>
    <w:rsid w:val="00FF1D90"/>
    <w:rsid w:val="00FF1DF6"/>
    <w:rsid w:val="00FF2B39"/>
    <w:rsid w:val="00FF2CE8"/>
    <w:rsid w:val="00FF4BAC"/>
    <w:rsid w:val="00FF4DB6"/>
    <w:rsid w:val="00FF4E77"/>
    <w:rsid w:val="00FF557F"/>
    <w:rsid w:val="00FF5BF1"/>
    <w:rsid w:val="00FF6BAB"/>
    <w:rsid w:val="021421B7"/>
    <w:rsid w:val="022E180E"/>
    <w:rsid w:val="02346A1E"/>
    <w:rsid w:val="024C448D"/>
    <w:rsid w:val="028A583A"/>
    <w:rsid w:val="02A902E6"/>
    <w:rsid w:val="02AF74EF"/>
    <w:rsid w:val="045C2808"/>
    <w:rsid w:val="04774B03"/>
    <w:rsid w:val="04787AF8"/>
    <w:rsid w:val="04A36247"/>
    <w:rsid w:val="05341435"/>
    <w:rsid w:val="05AF6A7D"/>
    <w:rsid w:val="05B07149"/>
    <w:rsid w:val="06772F85"/>
    <w:rsid w:val="07CB7F20"/>
    <w:rsid w:val="08E077EE"/>
    <w:rsid w:val="093957DA"/>
    <w:rsid w:val="09BB5113"/>
    <w:rsid w:val="09C50588"/>
    <w:rsid w:val="09EF0154"/>
    <w:rsid w:val="09F97B6F"/>
    <w:rsid w:val="0A621F79"/>
    <w:rsid w:val="0A651CCA"/>
    <w:rsid w:val="0A7A49E8"/>
    <w:rsid w:val="0A8676CF"/>
    <w:rsid w:val="0B424C33"/>
    <w:rsid w:val="0BA91639"/>
    <w:rsid w:val="0D70498E"/>
    <w:rsid w:val="0DB54A44"/>
    <w:rsid w:val="0E191324"/>
    <w:rsid w:val="0E3552E5"/>
    <w:rsid w:val="0EC22162"/>
    <w:rsid w:val="0F4D5650"/>
    <w:rsid w:val="106C77E9"/>
    <w:rsid w:val="10E979C6"/>
    <w:rsid w:val="111371FF"/>
    <w:rsid w:val="11C00C40"/>
    <w:rsid w:val="11EB57F8"/>
    <w:rsid w:val="11FA7537"/>
    <w:rsid w:val="120A6839"/>
    <w:rsid w:val="12234D50"/>
    <w:rsid w:val="131D4D2F"/>
    <w:rsid w:val="13975A8E"/>
    <w:rsid w:val="13E51606"/>
    <w:rsid w:val="13EE098B"/>
    <w:rsid w:val="13F41E03"/>
    <w:rsid w:val="14005640"/>
    <w:rsid w:val="14065C9D"/>
    <w:rsid w:val="14071632"/>
    <w:rsid w:val="1417511F"/>
    <w:rsid w:val="144F6270"/>
    <w:rsid w:val="14634F22"/>
    <w:rsid w:val="147B333E"/>
    <w:rsid w:val="14956892"/>
    <w:rsid w:val="151917F5"/>
    <w:rsid w:val="15412F7D"/>
    <w:rsid w:val="159B1D4C"/>
    <w:rsid w:val="15B44C62"/>
    <w:rsid w:val="15C103A8"/>
    <w:rsid w:val="162157A5"/>
    <w:rsid w:val="16440397"/>
    <w:rsid w:val="169D6E6A"/>
    <w:rsid w:val="17C023C8"/>
    <w:rsid w:val="17D60114"/>
    <w:rsid w:val="185264E7"/>
    <w:rsid w:val="18C0755B"/>
    <w:rsid w:val="18E958C3"/>
    <w:rsid w:val="196B4410"/>
    <w:rsid w:val="19BB04F7"/>
    <w:rsid w:val="19FC720C"/>
    <w:rsid w:val="1AA44108"/>
    <w:rsid w:val="1AB15408"/>
    <w:rsid w:val="1B733D9D"/>
    <w:rsid w:val="1BA01BBF"/>
    <w:rsid w:val="1BCC0470"/>
    <w:rsid w:val="1BEC79D8"/>
    <w:rsid w:val="1C1607BC"/>
    <w:rsid w:val="1C43057C"/>
    <w:rsid w:val="1CB66CF7"/>
    <w:rsid w:val="1D473CA8"/>
    <w:rsid w:val="1D7B554A"/>
    <w:rsid w:val="1E5C53E3"/>
    <w:rsid w:val="1E6679C8"/>
    <w:rsid w:val="1E962A4E"/>
    <w:rsid w:val="1EED5126"/>
    <w:rsid w:val="1FAE259D"/>
    <w:rsid w:val="1FFB2EBA"/>
    <w:rsid w:val="20046C58"/>
    <w:rsid w:val="20202F8D"/>
    <w:rsid w:val="20794882"/>
    <w:rsid w:val="20AD2FE5"/>
    <w:rsid w:val="20EA6DC5"/>
    <w:rsid w:val="20F33EAE"/>
    <w:rsid w:val="20FB53FA"/>
    <w:rsid w:val="20FF6C23"/>
    <w:rsid w:val="213869D7"/>
    <w:rsid w:val="214D0A1F"/>
    <w:rsid w:val="217A1338"/>
    <w:rsid w:val="221D495B"/>
    <w:rsid w:val="22454013"/>
    <w:rsid w:val="22911351"/>
    <w:rsid w:val="22C26121"/>
    <w:rsid w:val="22D158FF"/>
    <w:rsid w:val="22EE1459"/>
    <w:rsid w:val="23302193"/>
    <w:rsid w:val="235F25AE"/>
    <w:rsid w:val="240E685D"/>
    <w:rsid w:val="25831E70"/>
    <w:rsid w:val="25A301D8"/>
    <w:rsid w:val="25D638E2"/>
    <w:rsid w:val="261A5CBA"/>
    <w:rsid w:val="265A40C1"/>
    <w:rsid w:val="267415D3"/>
    <w:rsid w:val="268E32ED"/>
    <w:rsid w:val="26B862C1"/>
    <w:rsid w:val="26F613A3"/>
    <w:rsid w:val="27A941DC"/>
    <w:rsid w:val="27EC49DC"/>
    <w:rsid w:val="287748DD"/>
    <w:rsid w:val="28A8735C"/>
    <w:rsid w:val="28A90B43"/>
    <w:rsid w:val="292334EB"/>
    <w:rsid w:val="297D2D81"/>
    <w:rsid w:val="298615FF"/>
    <w:rsid w:val="2A733A16"/>
    <w:rsid w:val="2A791B73"/>
    <w:rsid w:val="2A8F4557"/>
    <w:rsid w:val="2AB05BE8"/>
    <w:rsid w:val="2B6D59E3"/>
    <w:rsid w:val="2BC73317"/>
    <w:rsid w:val="2BD965DE"/>
    <w:rsid w:val="2BE57FA0"/>
    <w:rsid w:val="2BF74D12"/>
    <w:rsid w:val="2C2B48E1"/>
    <w:rsid w:val="2CA02085"/>
    <w:rsid w:val="2D26604E"/>
    <w:rsid w:val="2D752436"/>
    <w:rsid w:val="2E476356"/>
    <w:rsid w:val="2E4E3635"/>
    <w:rsid w:val="2E6351ED"/>
    <w:rsid w:val="2F124055"/>
    <w:rsid w:val="2F25216B"/>
    <w:rsid w:val="2F49301F"/>
    <w:rsid w:val="2F922706"/>
    <w:rsid w:val="2FDA6C9B"/>
    <w:rsid w:val="2FE02E8C"/>
    <w:rsid w:val="2FE631FB"/>
    <w:rsid w:val="2FEE73C3"/>
    <w:rsid w:val="30420E1E"/>
    <w:rsid w:val="30541150"/>
    <w:rsid w:val="30831646"/>
    <w:rsid w:val="30A33C48"/>
    <w:rsid w:val="30BD5CDE"/>
    <w:rsid w:val="30D058CB"/>
    <w:rsid w:val="30E46863"/>
    <w:rsid w:val="312A6CF4"/>
    <w:rsid w:val="312E7CD5"/>
    <w:rsid w:val="319465EF"/>
    <w:rsid w:val="325F5373"/>
    <w:rsid w:val="32795DDA"/>
    <w:rsid w:val="32F775DB"/>
    <w:rsid w:val="33733C71"/>
    <w:rsid w:val="3391719E"/>
    <w:rsid w:val="341F0B62"/>
    <w:rsid w:val="348D57A4"/>
    <w:rsid w:val="349671EF"/>
    <w:rsid w:val="34A37BE7"/>
    <w:rsid w:val="34F7434F"/>
    <w:rsid w:val="35800C23"/>
    <w:rsid w:val="35BE3872"/>
    <w:rsid w:val="35D744CB"/>
    <w:rsid w:val="35E57484"/>
    <w:rsid w:val="3667744A"/>
    <w:rsid w:val="367C0AD9"/>
    <w:rsid w:val="36DF2FF2"/>
    <w:rsid w:val="37232B2D"/>
    <w:rsid w:val="37262E4A"/>
    <w:rsid w:val="379B4CE8"/>
    <w:rsid w:val="38356BEE"/>
    <w:rsid w:val="393C0294"/>
    <w:rsid w:val="397A0941"/>
    <w:rsid w:val="397C48DA"/>
    <w:rsid w:val="39C57423"/>
    <w:rsid w:val="39C9711E"/>
    <w:rsid w:val="3A325B81"/>
    <w:rsid w:val="3A445391"/>
    <w:rsid w:val="3AAE68B3"/>
    <w:rsid w:val="3B4C444E"/>
    <w:rsid w:val="3B5F10FA"/>
    <w:rsid w:val="3B8C292B"/>
    <w:rsid w:val="3BC55FF2"/>
    <w:rsid w:val="3C1A3EC6"/>
    <w:rsid w:val="3C237593"/>
    <w:rsid w:val="3C9455DD"/>
    <w:rsid w:val="3CFB2B4B"/>
    <w:rsid w:val="3CFD2961"/>
    <w:rsid w:val="3D0C533B"/>
    <w:rsid w:val="3D214EAE"/>
    <w:rsid w:val="3D2471BC"/>
    <w:rsid w:val="3E183A06"/>
    <w:rsid w:val="3E1A1D44"/>
    <w:rsid w:val="3E424F53"/>
    <w:rsid w:val="3EB42F24"/>
    <w:rsid w:val="3EBC6924"/>
    <w:rsid w:val="3F0F7364"/>
    <w:rsid w:val="3F377E68"/>
    <w:rsid w:val="3F8C7DF0"/>
    <w:rsid w:val="3FB40AC1"/>
    <w:rsid w:val="3FE26424"/>
    <w:rsid w:val="402245A4"/>
    <w:rsid w:val="409822E4"/>
    <w:rsid w:val="40C83FB1"/>
    <w:rsid w:val="4103305F"/>
    <w:rsid w:val="410F6A8C"/>
    <w:rsid w:val="41111AC4"/>
    <w:rsid w:val="41211A7D"/>
    <w:rsid w:val="41CA268C"/>
    <w:rsid w:val="41D56A6C"/>
    <w:rsid w:val="421412D9"/>
    <w:rsid w:val="42684CC9"/>
    <w:rsid w:val="429A5DF0"/>
    <w:rsid w:val="42E50476"/>
    <w:rsid w:val="43156ABB"/>
    <w:rsid w:val="436754B3"/>
    <w:rsid w:val="438A1685"/>
    <w:rsid w:val="43B7334D"/>
    <w:rsid w:val="43D87EC1"/>
    <w:rsid w:val="43FC7317"/>
    <w:rsid w:val="443929D5"/>
    <w:rsid w:val="448A37DC"/>
    <w:rsid w:val="45513E1F"/>
    <w:rsid w:val="462233E2"/>
    <w:rsid w:val="464E438B"/>
    <w:rsid w:val="464F31E3"/>
    <w:rsid w:val="46552D3E"/>
    <w:rsid w:val="46686ED2"/>
    <w:rsid w:val="466F6BBE"/>
    <w:rsid w:val="47427A1F"/>
    <w:rsid w:val="475F7319"/>
    <w:rsid w:val="480E1877"/>
    <w:rsid w:val="484932D2"/>
    <w:rsid w:val="48575A22"/>
    <w:rsid w:val="485913F3"/>
    <w:rsid w:val="48715214"/>
    <w:rsid w:val="48993C10"/>
    <w:rsid w:val="48AB2F92"/>
    <w:rsid w:val="48E7171C"/>
    <w:rsid w:val="49141465"/>
    <w:rsid w:val="49B35903"/>
    <w:rsid w:val="49B94EAB"/>
    <w:rsid w:val="49C764B4"/>
    <w:rsid w:val="49D40979"/>
    <w:rsid w:val="49DF3059"/>
    <w:rsid w:val="49F375E7"/>
    <w:rsid w:val="4A0768CC"/>
    <w:rsid w:val="4A077E04"/>
    <w:rsid w:val="4A653ABB"/>
    <w:rsid w:val="4A6770EF"/>
    <w:rsid w:val="4AB2572B"/>
    <w:rsid w:val="4B8C4F9D"/>
    <w:rsid w:val="4BB93290"/>
    <w:rsid w:val="4BBA54C8"/>
    <w:rsid w:val="4C2D2E09"/>
    <w:rsid w:val="4C7164AE"/>
    <w:rsid w:val="4CA17400"/>
    <w:rsid w:val="4D140E3B"/>
    <w:rsid w:val="4D392D1E"/>
    <w:rsid w:val="4D5157B8"/>
    <w:rsid w:val="4D6E6472"/>
    <w:rsid w:val="4D841ECC"/>
    <w:rsid w:val="4D8F4889"/>
    <w:rsid w:val="4D9A39E9"/>
    <w:rsid w:val="4DAE3181"/>
    <w:rsid w:val="4DBF1C49"/>
    <w:rsid w:val="4DD91D5A"/>
    <w:rsid w:val="4DFA0334"/>
    <w:rsid w:val="4E3A454E"/>
    <w:rsid w:val="4EAF78E7"/>
    <w:rsid w:val="4ED76527"/>
    <w:rsid w:val="4F3C295E"/>
    <w:rsid w:val="4FC35BAA"/>
    <w:rsid w:val="4FCB4224"/>
    <w:rsid w:val="50056AF6"/>
    <w:rsid w:val="50A20980"/>
    <w:rsid w:val="5109198B"/>
    <w:rsid w:val="51244C19"/>
    <w:rsid w:val="51512AC4"/>
    <w:rsid w:val="516D3FB2"/>
    <w:rsid w:val="520027D7"/>
    <w:rsid w:val="52D7546B"/>
    <w:rsid w:val="52F20745"/>
    <w:rsid w:val="52FE58B2"/>
    <w:rsid w:val="53863DF3"/>
    <w:rsid w:val="53906E7C"/>
    <w:rsid w:val="53953C5E"/>
    <w:rsid w:val="53E45596"/>
    <w:rsid w:val="53E51E4A"/>
    <w:rsid w:val="5426281D"/>
    <w:rsid w:val="54346643"/>
    <w:rsid w:val="546B4E5D"/>
    <w:rsid w:val="547C55A8"/>
    <w:rsid w:val="54964C9A"/>
    <w:rsid w:val="549668C2"/>
    <w:rsid w:val="54B53499"/>
    <w:rsid w:val="54C1072E"/>
    <w:rsid w:val="55607283"/>
    <w:rsid w:val="55B22637"/>
    <w:rsid w:val="569727B1"/>
    <w:rsid w:val="57C54CFC"/>
    <w:rsid w:val="57E049E2"/>
    <w:rsid w:val="581B48EB"/>
    <w:rsid w:val="589E45F3"/>
    <w:rsid w:val="58B01BE2"/>
    <w:rsid w:val="58B47E2E"/>
    <w:rsid w:val="59AE0A0A"/>
    <w:rsid w:val="59E8019B"/>
    <w:rsid w:val="5A1921A2"/>
    <w:rsid w:val="5A9063A1"/>
    <w:rsid w:val="5B2F3391"/>
    <w:rsid w:val="5B6A2953"/>
    <w:rsid w:val="5C6C0AD6"/>
    <w:rsid w:val="5C891D80"/>
    <w:rsid w:val="5D3D48A2"/>
    <w:rsid w:val="5E1176F8"/>
    <w:rsid w:val="5E3717F6"/>
    <w:rsid w:val="5E4D3673"/>
    <w:rsid w:val="5E5C0FE8"/>
    <w:rsid w:val="5F056E05"/>
    <w:rsid w:val="5F2D127A"/>
    <w:rsid w:val="5F464FD5"/>
    <w:rsid w:val="5F5D1E40"/>
    <w:rsid w:val="5F6B3438"/>
    <w:rsid w:val="5FAB6DDC"/>
    <w:rsid w:val="5FAD59FB"/>
    <w:rsid w:val="5FE01A50"/>
    <w:rsid w:val="5FE47DA9"/>
    <w:rsid w:val="6026445F"/>
    <w:rsid w:val="60345FD4"/>
    <w:rsid w:val="603541C5"/>
    <w:rsid w:val="6088599D"/>
    <w:rsid w:val="609F0C73"/>
    <w:rsid w:val="61064B70"/>
    <w:rsid w:val="613939B8"/>
    <w:rsid w:val="61CF4783"/>
    <w:rsid w:val="621E3D0F"/>
    <w:rsid w:val="627A7ECE"/>
    <w:rsid w:val="63221729"/>
    <w:rsid w:val="63797316"/>
    <w:rsid w:val="63A46CCD"/>
    <w:rsid w:val="64034FEC"/>
    <w:rsid w:val="64A40D0D"/>
    <w:rsid w:val="64B22D78"/>
    <w:rsid w:val="64BF3499"/>
    <w:rsid w:val="65441B86"/>
    <w:rsid w:val="661428A8"/>
    <w:rsid w:val="66737235"/>
    <w:rsid w:val="668550D4"/>
    <w:rsid w:val="67304DE8"/>
    <w:rsid w:val="67520ADE"/>
    <w:rsid w:val="677E0AA5"/>
    <w:rsid w:val="67841D45"/>
    <w:rsid w:val="67970867"/>
    <w:rsid w:val="67D23B83"/>
    <w:rsid w:val="67D5462E"/>
    <w:rsid w:val="68087345"/>
    <w:rsid w:val="683D02B7"/>
    <w:rsid w:val="68BC4798"/>
    <w:rsid w:val="68E8233E"/>
    <w:rsid w:val="69935559"/>
    <w:rsid w:val="69A818B8"/>
    <w:rsid w:val="69BE6882"/>
    <w:rsid w:val="6A381C6E"/>
    <w:rsid w:val="6A832F1E"/>
    <w:rsid w:val="6AC16F10"/>
    <w:rsid w:val="6B8D40C6"/>
    <w:rsid w:val="6C2041B2"/>
    <w:rsid w:val="6C230EFC"/>
    <w:rsid w:val="6C495C4F"/>
    <w:rsid w:val="6C4D0229"/>
    <w:rsid w:val="6C533862"/>
    <w:rsid w:val="6C847393"/>
    <w:rsid w:val="6CD342EE"/>
    <w:rsid w:val="6DAC71C5"/>
    <w:rsid w:val="6DB14E8C"/>
    <w:rsid w:val="6E5F6ED9"/>
    <w:rsid w:val="6E690143"/>
    <w:rsid w:val="6ECD27E4"/>
    <w:rsid w:val="6EE0708B"/>
    <w:rsid w:val="6EED2216"/>
    <w:rsid w:val="6F226A87"/>
    <w:rsid w:val="6F4E106A"/>
    <w:rsid w:val="6F507981"/>
    <w:rsid w:val="6FE65AD4"/>
    <w:rsid w:val="70C25496"/>
    <w:rsid w:val="70F14CD2"/>
    <w:rsid w:val="710106F9"/>
    <w:rsid w:val="71827990"/>
    <w:rsid w:val="71B37149"/>
    <w:rsid w:val="72FE2A45"/>
    <w:rsid w:val="73037114"/>
    <w:rsid w:val="7306363B"/>
    <w:rsid w:val="73215A18"/>
    <w:rsid w:val="738A6454"/>
    <w:rsid w:val="74300237"/>
    <w:rsid w:val="75361E1D"/>
    <w:rsid w:val="753D051B"/>
    <w:rsid w:val="75677502"/>
    <w:rsid w:val="757D5F6B"/>
    <w:rsid w:val="764A3D25"/>
    <w:rsid w:val="76575288"/>
    <w:rsid w:val="765963E4"/>
    <w:rsid w:val="76636FC7"/>
    <w:rsid w:val="76C3034B"/>
    <w:rsid w:val="76C87A23"/>
    <w:rsid w:val="76D80321"/>
    <w:rsid w:val="76EF4063"/>
    <w:rsid w:val="772A181A"/>
    <w:rsid w:val="772A401B"/>
    <w:rsid w:val="77895D73"/>
    <w:rsid w:val="782F59E4"/>
    <w:rsid w:val="787D6203"/>
    <w:rsid w:val="78940298"/>
    <w:rsid w:val="78B86983"/>
    <w:rsid w:val="792E60FD"/>
    <w:rsid w:val="794032F2"/>
    <w:rsid w:val="79574FAC"/>
    <w:rsid w:val="79644654"/>
    <w:rsid w:val="79DC259C"/>
    <w:rsid w:val="7A5C6715"/>
    <w:rsid w:val="7A5F59C6"/>
    <w:rsid w:val="7A8F4705"/>
    <w:rsid w:val="7A9F25EC"/>
    <w:rsid w:val="7AA13C19"/>
    <w:rsid w:val="7AF579AC"/>
    <w:rsid w:val="7B073F6F"/>
    <w:rsid w:val="7B1103B0"/>
    <w:rsid w:val="7B6D14C6"/>
    <w:rsid w:val="7B86663B"/>
    <w:rsid w:val="7BB70A0F"/>
    <w:rsid w:val="7C1521E0"/>
    <w:rsid w:val="7C29136C"/>
    <w:rsid w:val="7CA651F0"/>
    <w:rsid w:val="7D090966"/>
    <w:rsid w:val="7D4516AB"/>
    <w:rsid w:val="7D837ADF"/>
    <w:rsid w:val="7DE32582"/>
    <w:rsid w:val="7DE742BC"/>
    <w:rsid w:val="7E0B3D29"/>
    <w:rsid w:val="7E592A6D"/>
    <w:rsid w:val="7E991E2F"/>
    <w:rsid w:val="7F095DB4"/>
    <w:rsid w:val="7F190778"/>
    <w:rsid w:val="7F335352"/>
    <w:rsid w:val="7F451F8F"/>
    <w:rsid w:val="7F663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name="toc 4"/>
    <w:lsdException w:unhideWhenUsed="0" w:uiPriority="0" w:name="toc 5"/>
    <w:lsdException w:unhideWhenUsed="0" w:uiPriority="0" w:name="toc 6"/>
    <w:lsdException w:unhideWhenUsed="0" w:uiPriority="0" w:name="toc 7"/>
    <w:lsdException w:qFormat="1" w:unhideWhenUsed="0" w:uiPriority="0" w:name="toc 8"/>
    <w:lsdException w:unhideWhenUsed="0" w:uiPriority="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99" w:semiHidden="0" w:name="FollowedHyperlink"/>
    <w:lsdException w:qFormat="1" w:unhideWhenUsed="0" w:uiPriority="22" w:semiHidden="0" w:name="Strong"/>
    <w:lsdException w:qFormat="1" w:unhideWhenUsed="0" w:uiPriority="0" w:semiHidden="0" w:name="Emphasis"/>
    <w:lsdException w:unhideWhenUsed="0" w:uiPriority="99"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alibri" w:eastAsia="宋体" w:cs="Times New Roman"/>
      <w:snapToGrid w:val="0"/>
      <w:kern w:val="21"/>
      <w:sz w:val="21"/>
      <w:szCs w:val="24"/>
      <w:lang w:val="en-US" w:eastAsia="zh-CN" w:bidi="ar-SA"/>
    </w:rPr>
  </w:style>
  <w:style w:type="paragraph" w:styleId="3">
    <w:name w:val="heading 1"/>
    <w:basedOn w:val="1"/>
    <w:next w:val="1"/>
    <w:link w:val="63"/>
    <w:qFormat/>
    <w:uiPriority w:val="0"/>
    <w:pPr>
      <w:keepNext/>
      <w:keepLines/>
      <w:spacing w:before="120" w:after="120" w:line="360" w:lineRule="auto"/>
      <w:jc w:val="center"/>
      <w:outlineLvl w:val="0"/>
    </w:pPr>
    <w:rPr>
      <w:rFonts w:ascii="Calibri"/>
      <w:b/>
      <w:bCs/>
      <w:snapToGrid/>
      <w:kern w:val="44"/>
      <w:sz w:val="30"/>
      <w:szCs w:val="44"/>
    </w:rPr>
  </w:style>
  <w:style w:type="paragraph" w:styleId="4">
    <w:name w:val="heading 2"/>
    <w:basedOn w:val="1"/>
    <w:next w:val="5"/>
    <w:link w:val="65"/>
    <w:qFormat/>
    <w:uiPriority w:val="0"/>
    <w:pPr>
      <w:keepNext/>
      <w:keepLines/>
      <w:spacing w:before="260" w:after="260" w:line="416" w:lineRule="auto"/>
      <w:outlineLvl w:val="1"/>
    </w:pPr>
    <w:rPr>
      <w:rFonts w:hint="eastAsia" w:ascii="黑体" w:hAnsi="宋体" w:eastAsia="黑体"/>
      <w:bCs/>
      <w:snapToGrid/>
      <w:kern w:val="2"/>
      <w:sz w:val="32"/>
      <w:szCs w:val="36"/>
      <w:lang w:val="zh-CN" w:eastAsia="zh-CN"/>
    </w:rPr>
  </w:style>
  <w:style w:type="paragraph" w:styleId="6">
    <w:name w:val="heading 3"/>
    <w:basedOn w:val="1"/>
    <w:next w:val="1"/>
    <w:link w:val="66"/>
    <w:qFormat/>
    <w:uiPriority w:val="0"/>
    <w:pPr>
      <w:keepNext/>
      <w:keepLines/>
      <w:spacing w:before="60" w:after="60" w:line="400" w:lineRule="exact"/>
      <w:ind w:firstLine="510"/>
      <w:outlineLvl w:val="2"/>
    </w:pPr>
    <w:rPr>
      <w:rFonts w:hint="eastAsia" w:ascii="黑体" w:hAnsi="宋体" w:eastAsia="黑体"/>
      <w:bCs/>
      <w:snapToGrid/>
      <w:kern w:val="2"/>
      <w:sz w:val="30"/>
      <w:szCs w:val="20"/>
      <w:lang w:val="zh-CN" w:eastAsia="zh-CN"/>
    </w:rPr>
  </w:style>
  <w:style w:type="paragraph" w:styleId="7">
    <w:name w:val="heading 4"/>
    <w:basedOn w:val="1"/>
    <w:next w:val="1"/>
    <w:link w:val="50"/>
    <w:qFormat/>
    <w:uiPriority w:val="0"/>
    <w:pPr>
      <w:keepNext/>
      <w:keepLines/>
      <w:spacing w:before="280" w:after="290" w:line="376" w:lineRule="auto"/>
      <w:outlineLvl w:val="3"/>
    </w:pPr>
    <w:rPr>
      <w:rFonts w:ascii="Cambria" w:hAnsi="Cambria"/>
      <w:b/>
      <w:bCs/>
      <w:sz w:val="28"/>
      <w:szCs w:val="28"/>
      <w:lang w:val="zh-CN" w:eastAsia="zh-CN"/>
    </w:rPr>
  </w:style>
  <w:style w:type="paragraph" w:styleId="8">
    <w:name w:val="heading 5"/>
    <w:basedOn w:val="1"/>
    <w:next w:val="1"/>
    <w:qFormat/>
    <w:uiPriority w:val="0"/>
    <w:pPr>
      <w:keepNext/>
      <w:keepLines/>
      <w:numPr>
        <w:ilvl w:val="4"/>
        <w:numId w:val="1"/>
      </w:numPr>
      <w:snapToGrid w:val="0"/>
      <w:spacing w:line="360" w:lineRule="auto"/>
      <w:jc w:val="left"/>
      <w:outlineLvl w:val="4"/>
    </w:pPr>
    <w:rPr>
      <w:rFonts w:ascii="Arial" w:hAnsi="Arial" w:eastAsia="黑体"/>
      <w:b/>
      <w:kern w:val="2"/>
      <w:sz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58"/>
    <w:semiHidden/>
    <w:uiPriority w:val="99"/>
    <w:pPr>
      <w:shd w:val="clear" w:color="auto" w:fill="000080"/>
    </w:pPr>
  </w:style>
  <w:style w:type="paragraph" w:styleId="5">
    <w:name w:val="Normal Indent"/>
    <w:basedOn w:val="1"/>
    <w:link w:val="64"/>
    <w:qFormat/>
    <w:uiPriority w:val="0"/>
    <w:pPr>
      <w:ind w:firstLine="420"/>
    </w:pPr>
    <w:rPr>
      <w:rFonts w:ascii="Calibri"/>
      <w:snapToGrid/>
      <w:kern w:val="2"/>
      <w:szCs w:val="20"/>
      <w:lang w:val="zh-CN" w:eastAsia="zh-CN"/>
    </w:rPr>
  </w:style>
  <w:style w:type="paragraph" w:styleId="9">
    <w:name w:val="caption"/>
    <w:basedOn w:val="1"/>
    <w:next w:val="1"/>
    <w:qFormat/>
    <w:uiPriority w:val="0"/>
    <w:rPr>
      <w:rFonts w:ascii="Cambria" w:hAnsi="Cambria" w:eastAsia="黑体"/>
      <w:snapToGrid/>
      <w:kern w:val="2"/>
      <w:sz w:val="20"/>
      <w:szCs w:val="20"/>
    </w:rPr>
  </w:style>
  <w:style w:type="paragraph" w:styleId="10">
    <w:name w:val="annotation text"/>
    <w:basedOn w:val="1"/>
    <w:link w:val="62"/>
    <w:qFormat/>
    <w:uiPriority w:val="0"/>
    <w:pPr>
      <w:jc w:val="left"/>
    </w:pPr>
    <w:rPr>
      <w:rFonts w:ascii="Calibri"/>
      <w:snapToGrid/>
      <w:kern w:val="2"/>
      <w:szCs w:val="20"/>
      <w:lang w:val="zh-CN" w:eastAsia="zh-CN"/>
    </w:rPr>
  </w:style>
  <w:style w:type="paragraph" w:styleId="11">
    <w:name w:val="Body Text 3"/>
    <w:basedOn w:val="1"/>
    <w:uiPriority w:val="0"/>
    <w:pPr>
      <w:spacing w:after="120"/>
    </w:pPr>
    <w:rPr>
      <w:rFonts w:ascii="Times New Roman"/>
      <w:snapToGrid/>
      <w:kern w:val="2"/>
      <w:sz w:val="16"/>
      <w:szCs w:val="16"/>
    </w:rPr>
  </w:style>
  <w:style w:type="paragraph" w:styleId="12">
    <w:name w:val="Body Text"/>
    <w:basedOn w:val="1"/>
    <w:uiPriority w:val="0"/>
    <w:pPr>
      <w:spacing w:after="120"/>
    </w:pPr>
  </w:style>
  <w:style w:type="paragraph" w:styleId="13">
    <w:name w:val="Body Text Indent"/>
    <w:basedOn w:val="1"/>
    <w:link w:val="72"/>
    <w:qFormat/>
    <w:uiPriority w:val="0"/>
    <w:pPr>
      <w:spacing w:line="460" w:lineRule="exact"/>
      <w:ind w:firstLine="510"/>
    </w:pPr>
    <w:rPr>
      <w:lang w:val="zh-CN" w:eastAsia="zh-CN"/>
    </w:rPr>
  </w:style>
  <w:style w:type="paragraph" w:styleId="14">
    <w:name w:val="toc 3"/>
    <w:basedOn w:val="1"/>
    <w:next w:val="1"/>
    <w:uiPriority w:val="39"/>
    <w:pPr>
      <w:ind w:left="840" w:leftChars="400"/>
    </w:pPr>
  </w:style>
  <w:style w:type="paragraph" w:styleId="15">
    <w:name w:val="Plain Text"/>
    <w:basedOn w:val="1"/>
    <w:next w:val="1"/>
    <w:link w:val="39"/>
    <w:qFormat/>
    <w:uiPriority w:val="99"/>
    <w:rPr>
      <w:snapToGrid/>
      <w:kern w:val="2"/>
      <w:szCs w:val="20"/>
    </w:rPr>
  </w:style>
  <w:style w:type="paragraph" w:styleId="16">
    <w:name w:val="Date"/>
    <w:basedOn w:val="1"/>
    <w:next w:val="1"/>
    <w:uiPriority w:val="0"/>
    <w:rPr>
      <w:rFonts w:ascii="Times New Roman"/>
      <w:snapToGrid/>
      <w:kern w:val="0"/>
      <w:sz w:val="28"/>
      <w:szCs w:val="20"/>
    </w:rPr>
  </w:style>
  <w:style w:type="paragraph" w:styleId="17">
    <w:name w:val="Body Text Indent 2"/>
    <w:basedOn w:val="1"/>
    <w:link w:val="57"/>
    <w:uiPriority w:val="0"/>
    <w:pPr>
      <w:spacing w:line="500" w:lineRule="exact"/>
      <w:ind w:firstLine="510"/>
    </w:pPr>
    <w:rPr>
      <w:snapToGrid/>
      <w:kern w:val="2"/>
      <w:sz w:val="24"/>
      <w:szCs w:val="20"/>
      <w:lang w:val="zh-CN" w:eastAsia="zh-CN"/>
    </w:rPr>
  </w:style>
  <w:style w:type="paragraph" w:styleId="18">
    <w:name w:val="Balloon Text"/>
    <w:basedOn w:val="1"/>
    <w:semiHidden/>
    <w:uiPriority w:val="0"/>
    <w:rPr>
      <w:sz w:val="18"/>
      <w:szCs w:val="18"/>
    </w:rPr>
  </w:style>
  <w:style w:type="paragraph" w:styleId="19">
    <w:name w:val="footer"/>
    <w:basedOn w:val="1"/>
    <w:link w:val="41"/>
    <w:uiPriority w:val="99"/>
    <w:pPr>
      <w:tabs>
        <w:tab w:val="center" w:pos="4153"/>
        <w:tab w:val="right" w:pos="8306"/>
      </w:tabs>
      <w:snapToGrid w:val="0"/>
      <w:jc w:val="left"/>
    </w:pPr>
    <w:rPr>
      <w:sz w:val="18"/>
      <w:szCs w:val="18"/>
    </w:rPr>
  </w:style>
  <w:style w:type="paragraph" w:styleId="20">
    <w:name w:val="header"/>
    <w:basedOn w:val="1"/>
    <w:link w:val="38"/>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uiPriority w:val="39"/>
    <w:pPr>
      <w:tabs>
        <w:tab w:val="right" w:leader="dot" w:pos="9060"/>
      </w:tabs>
      <w:spacing w:line="360" w:lineRule="auto"/>
    </w:pPr>
    <w:rPr>
      <w:rFonts w:hAnsi="宋体"/>
      <w:b/>
      <w:bCs/>
      <w:szCs w:val="21"/>
      <w:lang w:val="zh-CN" w:eastAsia="zh-CN"/>
    </w:rPr>
  </w:style>
  <w:style w:type="paragraph" w:styleId="22">
    <w:name w:val="Body Text Indent 3"/>
    <w:basedOn w:val="1"/>
    <w:uiPriority w:val="0"/>
    <w:pPr>
      <w:spacing w:line="500" w:lineRule="exact"/>
      <w:ind w:firstLine="840" w:firstLineChars="300"/>
    </w:pPr>
    <w:rPr>
      <w:rFonts w:hAnsi="宋体"/>
      <w:snapToGrid/>
      <w:color w:val="0000FF"/>
      <w:kern w:val="2"/>
      <w:sz w:val="28"/>
    </w:rPr>
  </w:style>
  <w:style w:type="paragraph" w:styleId="23">
    <w:name w:val="table of figures"/>
    <w:basedOn w:val="1"/>
    <w:next w:val="1"/>
    <w:uiPriority w:val="0"/>
    <w:pPr>
      <w:ind w:left="840" w:hanging="420"/>
    </w:pPr>
    <w:rPr>
      <w:rFonts w:ascii="Times New Roman"/>
      <w:snapToGrid/>
      <w:kern w:val="2"/>
      <w:szCs w:val="20"/>
    </w:rPr>
  </w:style>
  <w:style w:type="paragraph" w:styleId="24">
    <w:name w:val="toc 2"/>
    <w:basedOn w:val="1"/>
    <w:next w:val="1"/>
    <w:uiPriority w:val="39"/>
    <w:pPr>
      <w:ind w:left="420" w:leftChars="200"/>
    </w:pPr>
  </w:style>
  <w:style w:type="paragraph" w:styleId="25">
    <w:name w:val="Body Text 2"/>
    <w:basedOn w:val="1"/>
    <w:link w:val="46"/>
    <w:uiPriority w:val="0"/>
    <w:pPr>
      <w:spacing w:after="120" w:line="480" w:lineRule="auto"/>
    </w:pPr>
    <w:rPr>
      <w:lang w:val="zh-CN" w:eastAsia="zh-CN"/>
    </w:rPr>
  </w:style>
  <w:style w:type="paragraph" w:styleId="26">
    <w:name w:val="Normal (Web)"/>
    <w:basedOn w:val="1"/>
    <w:qFormat/>
    <w:uiPriority w:val="99"/>
    <w:pPr>
      <w:widowControl/>
      <w:spacing w:before="100" w:beforeAutospacing="1" w:after="100" w:afterAutospacing="1"/>
      <w:jc w:val="left"/>
    </w:pPr>
    <w:rPr>
      <w:rFonts w:hAnsi="宋体"/>
      <w:snapToGrid/>
      <w:kern w:val="0"/>
      <w:sz w:val="24"/>
    </w:rPr>
  </w:style>
  <w:style w:type="paragraph" w:styleId="27">
    <w:name w:val="annotation subject"/>
    <w:basedOn w:val="10"/>
    <w:next w:val="10"/>
    <w:semiHidden/>
    <w:uiPriority w:val="0"/>
    <w:rPr>
      <w:rFonts w:ascii="宋体"/>
      <w:b/>
      <w:bCs/>
      <w:snapToGrid w:val="0"/>
      <w:kern w:val="21"/>
      <w:szCs w:val="24"/>
    </w:rPr>
  </w:style>
  <w:style w:type="table" w:styleId="29">
    <w:name w:val="Table Grid"/>
    <w:basedOn w:val="28"/>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basedOn w:val="30"/>
    <w:qFormat/>
    <w:uiPriority w:val="0"/>
  </w:style>
  <w:style w:type="character" w:styleId="33">
    <w:name w:val="Hyperlink"/>
    <w:qFormat/>
    <w:uiPriority w:val="99"/>
    <w:rPr>
      <w:rFonts w:ascii="微软雅黑" w:hAnsi="微软雅黑" w:eastAsia="微软雅黑" w:cs="微软雅黑"/>
      <w:color w:val="02396F"/>
      <w:u w:val="single"/>
    </w:rPr>
  </w:style>
  <w:style w:type="character" w:styleId="34">
    <w:name w:val="annotation reference"/>
    <w:qFormat/>
    <w:uiPriority w:val="0"/>
    <w:rPr>
      <w:sz w:val="21"/>
      <w:szCs w:val="21"/>
    </w:rPr>
  </w:style>
  <w:style w:type="character" w:customStyle="1" w:styleId="35">
    <w:name w:val="已访问的超链接1"/>
    <w:qFormat/>
    <w:uiPriority w:val="99"/>
    <w:rPr>
      <w:rFonts w:hint="eastAsia" w:ascii="微软雅黑" w:hAnsi="微软雅黑" w:eastAsia="微软雅黑" w:cs="微软雅黑"/>
      <w:color w:val="02396F"/>
      <w:u w:val="single"/>
    </w:rPr>
  </w:style>
  <w:style w:type="character" w:customStyle="1" w:styleId="36">
    <w:name w:val="列出段落 Char"/>
    <w:link w:val="37"/>
    <w:qFormat/>
    <w:uiPriority w:val="0"/>
    <w:rPr>
      <w:kern w:val="2"/>
      <w:sz w:val="21"/>
      <w:szCs w:val="24"/>
    </w:rPr>
  </w:style>
  <w:style w:type="paragraph" w:customStyle="1" w:styleId="37">
    <w:name w:val="列出段落1"/>
    <w:basedOn w:val="1"/>
    <w:link w:val="36"/>
    <w:qFormat/>
    <w:uiPriority w:val="0"/>
    <w:pPr>
      <w:ind w:firstLine="420" w:firstLineChars="200"/>
    </w:pPr>
    <w:rPr>
      <w:rFonts w:ascii="Calibri"/>
      <w:snapToGrid/>
      <w:kern w:val="2"/>
      <w:lang w:val="zh-CN" w:eastAsia="zh-CN"/>
    </w:rPr>
  </w:style>
  <w:style w:type="character" w:customStyle="1" w:styleId="38">
    <w:name w:val="页眉 字符"/>
    <w:link w:val="20"/>
    <w:qFormat/>
    <w:locked/>
    <w:uiPriority w:val="0"/>
    <w:rPr>
      <w:rFonts w:ascii="宋体" w:eastAsia="宋体"/>
      <w:snapToGrid w:val="0"/>
      <w:kern w:val="21"/>
      <w:sz w:val="18"/>
      <w:szCs w:val="18"/>
      <w:lang w:val="en-US" w:eastAsia="zh-CN" w:bidi="ar-SA"/>
    </w:rPr>
  </w:style>
  <w:style w:type="character" w:customStyle="1" w:styleId="39">
    <w:name w:val="纯文本 字符2"/>
    <w:link w:val="15"/>
    <w:qFormat/>
    <w:uiPriority w:val="99"/>
    <w:rPr>
      <w:rFonts w:ascii="宋体" w:eastAsia="宋体"/>
      <w:kern w:val="2"/>
      <w:sz w:val="21"/>
      <w:lang w:val="en-US" w:eastAsia="zh-CN" w:bidi="ar-SA"/>
    </w:rPr>
  </w:style>
  <w:style w:type="character" w:customStyle="1" w:styleId="40">
    <w:name w:val="font71"/>
    <w:uiPriority w:val="0"/>
    <w:rPr>
      <w:rFonts w:hint="default" w:ascii="Times New Roman" w:hAnsi="Times New Roman" w:cs="Times New Roman"/>
      <w:color w:val="000000"/>
      <w:sz w:val="22"/>
      <w:szCs w:val="22"/>
      <w:u w:val="none"/>
    </w:rPr>
  </w:style>
  <w:style w:type="character" w:customStyle="1" w:styleId="41">
    <w:name w:val="页脚 字符"/>
    <w:link w:val="19"/>
    <w:locked/>
    <w:uiPriority w:val="99"/>
    <w:rPr>
      <w:rFonts w:ascii="宋体" w:eastAsia="宋体"/>
      <w:snapToGrid w:val="0"/>
      <w:kern w:val="21"/>
      <w:sz w:val="18"/>
      <w:szCs w:val="18"/>
      <w:lang w:val="en-US" w:eastAsia="zh-CN" w:bidi="ar-SA"/>
    </w:rPr>
  </w:style>
  <w:style w:type="character" w:customStyle="1" w:styleId="42">
    <w:name w:val="displayarti"/>
    <w:uiPriority w:val="0"/>
    <w:rPr>
      <w:color w:val="FFFFFF"/>
      <w:shd w:val="clear" w:color="auto" w:fill="A00000"/>
    </w:rPr>
  </w:style>
  <w:style w:type="character" w:customStyle="1" w:styleId="43">
    <w:name w:val="grame"/>
    <w:basedOn w:val="30"/>
    <w:qFormat/>
    <w:uiPriority w:val="0"/>
  </w:style>
  <w:style w:type="character" w:customStyle="1" w:styleId="44">
    <w:name w:val="招标5 Char Char"/>
    <w:link w:val="45"/>
    <w:uiPriority w:val="0"/>
    <w:rPr>
      <w:rFonts w:eastAsia="宋体"/>
      <w:kern w:val="2"/>
      <w:sz w:val="18"/>
      <w:szCs w:val="18"/>
      <w:lang w:val="en-US" w:eastAsia="zh-CN" w:bidi="ar-SA"/>
    </w:rPr>
  </w:style>
  <w:style w:type="paragraph" w:customStyle="1" w:styleId="45">
    <w:name w:val="招标5"/>
    <w:basedOn w:val="1"/>
    <w:link w:val="44"/>
    <w:qFormat/>
    <w:uiPriority w:val="0"/>
    <w:pPr>
      <w:spacing w:line="300" w:lineRule="auto"/>
    </w:pPr>
    <w:rPr>
      <w:rFonts w:ascii="Calibri"/>
      <w:snapToGrid/>
      <w:kern w:val="2"/>
      <w:sz w:val="18"/>
      <w:szCs w:val="18"/>
    </w:rPr>
  </w:style>
  <w:style w:type="character" w:customStyle="1" w:styleId="46">
    <w:name w:val="正文文本 2 字符"/>
    <w:link w:val="25"/>
    <w:uiPriority w:val="0"/>
    <w:rPr>
      <w:rFonts w:ascii="宋体"/>
      <w:snapToGrid w:val="0"/>
      <w:kern w:val="21"/>
      <w:sz w:val="21"/>
      <w:szCs w:val="24"/>
    </w:rPr>
  </w:style>
  <w:style w:type="character" w:customStyle="1" w:styleId="47">
    <w:name w:val="redfilenumber"/>
    <w:uiPriority w:val="0"/>
    <w:rPr>
      <w:color w:val="BA2636"/>
      <w:sz w:val="18"/>
      <w:szCs w:val="18"/>
    </w:rPr>
  </w:style>
  <w:style w:type="character" w:customStyle="1" w:styleId="48">
    <w:name w:val="表格正文 Char"/>
    <w:link w:val="49"/>
    <w:uiPriority w:val="0"/>
    <w:rPr>
      <w:rFonts w:ascii="宋体" w:hAnsi="宋体"/>
      <w:kern w:val="2"/>
      <w:sz w:val="21"/>
      <w:szCs w:val="21"/>
      <w:lang w:val="zh-CN"/>
    </w:rPr>
  </w:style>
  <w:style w:type="paragraph" w:customStyle="1" w:styleId="49">
    <w:name w:val="表格正文"/>
    <w:basedOn w:val="5"/>
    <w:link w:val="48"/>
    <w:qFormat/>
    <w:uiPriority w:val="0"/>
    <w:pPr>
      <w:adjustRightInd w:val="0"/>
      <w:snapToGrid w:val="0"/>
      <w:spacing w:before="156" w:beforeLines="50" w:after="156" w:afterLines="50"/>
      <w:ind w:firstLine="0"/>
    </w:pPr>
    <w:rPr>
      <w:rFonts w:ascii="宋体" w:hAnsi="宋体"/>
      <w:szCs w:val="21"/>
      <w:lang w:val="zh-CN"/>
    </w:rPr>
  </w:style>
  <w:style w:type="character" w:customStyle="1" w:styleId="50">
    <w:name w:val="标题 4 字符"/>
    <w:link w:val="7"/>
    <w:semiHidden/>
    <w:uiPriority w:val="0"/>
    <w:rPr>
      <w:rFonts w:ascii="Cambria" w:hAnsi="Cambria" w:eastAsia="宋体" w:cs="Times New Roman"/>
      <w:b/>
      <w:bCs/>
      <w:snapToGrid w:val="0"/>
      <w:kern w:val="21"/>
      <w:sz w:val="28"/>
      <w:szCs w:val="28"/>
    </w:rPr>
  </w:style>
  <w:style w:type="character" w:customStyle="1" w:styleId="51">
    <w:name w:val="批注文字 Char1"/>
    <w:qFormat/>
    <w:uiPriority w:val="0"/>
    <w:rPr>
      <w:kern w:val="2"/>
      <w:sz w:val="21"/>
      <w:szCs w:val="24"/>
    </w:rPr>
  </w:style>
  <w:style w:type="character" w:customStyle="1" w:styleId="52">
    <w:name w:val="gjfg"/>
    <w:basedOn w:val="30"/>
    <w:uiPriority w:val="0"/>
  </w:style>
  <w:style w:type="character" w:customStyle="1" w:styleId="53">
    <w:name w:val="招标2 Char Char"/>
    <w:basedOn w:val="54"/>
    <w:link w:val="56"/>
    <w:uiPriority w:val="0"/>
    <w:rPr>
      <w:rFonts w:hAnsi="宋体" w:eastAsia="宋体"/>
      <w:sz w:val="24"/>
      <w:szCs w:val="24"/>
      <w:lang w:val="en-US" w:eastAsia="zh-CN" w:bidi="ar-SA"/>
    </w:rPr>
  </w:style>
  <w:style w:type="character" w:customStyle="1" w:styleId="54">
    <w:name w:val="招标 Char Char"/>
    <w:link w:val="55"/>
    <w:uiPriority w:val="0"/>
    <w:rPr>
      <w:rFonts w:hAnsi="宋体" w:eastAsia="宋体"/>
      <w:sz w:val="24"/>
      <w:szCs w:val="24"/>
      <w:lang w:val="en-US" w:eastAsia="zh-CN" w:bidi="ar-SA"/>
    </w:rPr>
  </w:style>
  <w:style w:type="paragraph" w:customStyle="1" w:styleId="55">
    <w:name w:val="招标"/>
    <w:basedOn w:val="15"/>
    <w:link w:val="54"/>
    <w:uiPriority w:val="0"/>
    <w:pPr>
      <w:spacing w:line="276" w:lineRule="auto"/>
    </w:pPr>
    <w:rPr>
      <w:rFonts w:ascii="Calibri" w:hAnsi="宋体"/>
      <w:kern w:val="0"/>
      <w:sz w:val="24"/>
      <w:szCs w:val="24"/>
    </w:rPr>
  </w:style>
  <w:style w:type="paragraph" w:customStyle="1" w:styleId="56">
    <w:name w:val="招标2"/>
    <w:basedOn w:val="55"/>
    <w:link w:val="53"/>
    <w:qFormat/>
    <w:uiPriority w:val="0"/>
    <w:pPr>
      <w:spacing w:line="300" w:lineRule="auto"/>
      <w:ind w:left="851"/>
    </w:pPr>
  </w:style>
  <w:style w:type="character" w:customStyle="1" w:styleId="57">
    <w:name w:val="正文文本缩进 2 字符"/>
    <w:link w:val="17"/>
    <w:uiPriority w:val="0"/>
    <w:rPr>
      <w:rFonts w:ascii="宋体"/>
      <w:kern w:val="2"/>
      <w:sz w:val="24"/>
    </w:rPr>
  </w:style>
  <w:style w:type="character" w:customStyle="1" w:styleId="58">
    <w:name w:val="文档结构图 字符"/>
    <w:link w:val="2"/>
    <w:semiHidden/>
    <w:uiPriority w:val="99"/>
    <w:rPr>
      <w:rFonts w:ascii="宋体"/>
      <w:snapToGrid w:val="0"/>
      <w:kern w:val="21"/>
      <w:sz w:val="21"/>
      <w:szCs w:val="24"/>
      <w:shd w:val="clear" w:color="auto" w:fill="000080"/>
    </w:rPr>
  </w:style>
  <w:style w:type="character" w:customStyle="1" w:styleId="59">
    <w:name w:val="redfilefwwh"/>
    <w:uiPriority w:val="0"/>
    <w:rPr>
      <w:color w:val="BA2636"/>
      <w:sz w:val="18"/>
      <w:szCs w:val="18"/>
    </w:rPr>
  </w:style>
  <w:style w:type="character" w:customStyle="1" w:styleId="60">
    <w:name w:val="font51"/>
    <w:uiPriority w:val="0"/>
    <w:rPr>
      <w:rFonts w:hint="eastAsia" w:ascii="宋体" w:hAnsi="宋体" w:eastAsia="宋体" w:cs="宋体"/>
      <w:color w:val="000000"/>
      <w:sz w:val="22"/>
      <w:szCs w:val="22"/>
      <w:u w:val="none"/>
    </w:rPr>
  </w:style>
  <w:style w:type="character" w:customStyle="1" w:styleId="61">
    <w:name w:val="font61"/>
    <w:uiPriority w:val="0"/>
    <w:rPr>
      <w:rFonts w:hint="default" w:ascii="Tahoma" w:hAnsi="Tahoma" w:eastAsia="Tahoma" w:cs="Tahoma"/>
      <w:color w:val="000000"/>
      <w:sz w:val="22"/>
      <w:szCs w:val="22"/>
      <w:u w:val="none"/>
    </w:rPr>
  </w:style>
  <w:style w:type="character" w:customStyle="1" w:styleId="62">
    <w:name w:val="批注文字 字符"/>
    <w:link w:val="10"/>
    <w:qFormat/>
    <w:uiPriority w:val="0"/>
    <w:rPr>
      <w:kern w:val="2"/>
      <w:sz w:val="21"/>
    </w:rPr>
  </w:style>
  <w:style w:type="character" w:customStyle="1" w:styleId="63">
    <w:name w:val="标题 1 字符1"/>
    <w:link w:val="3"/>
    <w:locked/>
    <w:uiPriority w:val="0"/>
    <w:rPr>
      <w:rFonts w:eastAsia="宋体"/>
      <w:b/>
      <w:bCs/>
      <w:kern w:val="44"/>
      <w:sz w:val="30"/>
      <w:szCs w:val="44"/>
      <w:lang w:val="en-US" w:eastAsia="zh-CN" w:bidi="ar-SA"/>
    </w:rPr>
  </w:style>
  <w:style w:type="character" w:customStyle="1" w:styleId="64">
    <w:name w:val="正文缩进 字符"/>
    <w:link w:val="5"/>
    <w:qFormat/>
    <w:uiPriority w:val="0"/>
    <w:rPr>
      <w:kern w:val="2"/>
      <w:sz w:val="21"/>
    </w:rPr>
  </w:style>
  <w:style w:type="character" w:customStyle="1" w:styleId="65">
    <w:name w:val="标题 2 字符1"/>
    <w:link w:val="4"/>
    <w:uiPriority w:val="0"/>
    <w:rPr>
      <w:rFonts w:hint="eastAsia" w:ascii="黑体" w:hAnsi="宋体" w:eastAsia="黑体" w:cs="黑体"/>
      <w:bCs/>
      <w:kern w:val="2"/>
      <w:sz w:val="32"/>
      <w:szCs w:val="36"/>
    </w:rPr>
  </w:style>
  <w:style w:type="character" w:customStyle="1" w:styleId="66">
    <w:name w:val="标题 3 字符"/>
    <w:link w:val="6"/>
    <w:qFormat/>
    <w:uiPriority w:val="0"/>
    <w:rPr>
      <w:rFonts w:hint="eastAsia" w:ascii="黑体" w:hAnsi="宋体" w:eastAsia="黑体" w:cs="黑体"/>
      <w:bCs/>
      <w:kern w:val="2"/>
      <w:sz w:val="30"/>
    </w:rPr>
  </w:style>
  <w:style w:type="character" w:customStyle="1" w:styleId="67">
    <w:name w:val="纯文本 Char1"/>
    <w:qFormat/>
    <w:uiPriority w:val="0"/>
    <w:rPr>
      <w:rFonts w:ascii="宋体" w:eastAsia="宋体"/>
    </w:rPr>
  </w:style>
  <w:style w:type="character" w:customStyle="1" w:styleId="68">
    <w:name w:val="qxdate"/>
    <w:uiPriority w:val="0"/>
    <w:rPr>
      <w:color w:val="333333"/>
      <w:sz w:val="18"/>
      <w:szCs w:val="18"/>
    </w:rPr>
  </w:style>
  <w:style w:type="character" w:customStyle="1" w:styleId="69">
    <w:name w:val="font121"/>
    <w:qFormat/>
    <w:uiPriority w:val="0"/>
    <w:rPr>
      <w:rFonts w:hint="eastAsia" w:ascii="宋体" w:hAnsi="宋体" w:eastAsia="宋体" w:cs="宋体"/>
      <w:color w:val="000000"/>
      <w:sz w:val="22"/>
      <w:szCs w:val="22"/>
      <w:u w:val="none"/>
    </w:rPr>
  </w:style>
  <w:style w:type="character" w:customStyle="1" w:styleId="70">
    <w:name w:val="cfdate"/>
    <w:uiPriority w:val="0"/>
    <w:rPr>
      <w:color w:val="333333"/>
      <w:sz w:val="18"/>
      <w:szCs w:val="18"/>
    </w:rPr>
  </w:style>
  <w:style w:type="character" w:customStyle="1" w:styleId="71">
    <w:name w:val="apple-converted-space"/>
    <w:basedOn w:val="30"/>
    <w:uiPriority w:val="0"/>
  </w:style>
  <w:style w:type="character" w:customStyle="1" w:styleId="72">
    <w:name w:val="正文文本缩进 字符"/>
    <w:link w:val="13"/>
    <w:uiPriority w:val="0"/>
    <w:rPr>
      <w:rFonts w:ascii="宋体"/>
      <w:snapToGrid w:val="0"/>
      <w:kern w:val="21"/>
      <w:sz w:val="21"/>
      <w:szCs w:val="24"/>
    </w:rPr>
  </w:style>
  <w:style w:type="character" w:customStyle="1" w:styleId="73">
    <w:name w:val="apple-style-span"/>
    <w:basedOn w:val="30"/>
    <w:uiPriority w:val="0"/>
  </w:style>
  <w:style w:type="paragraph" w:customStyle="1" w:styleId="74">
    <w:name w:val="目录 71"/>
    <w:basedOn w:val="1"/>
    <w:next w:val="1"/>
    <w:semiHidden/>
    <w:uiPriority w:val="0"/>
    <w:pPr>
      <w:ind w:left="1260"/>
      <w:jc w:val="left"/>
    </w:pPr>
    <w:rPr>
      <w:rFonts w:ascii="Times New Roman"/>
      <w:sz w:val="18"/>
      <w:szCs w:val="18"/>
    </w:rPr>
  </w:style>
  <w:style w:type="paragraph" w:customStyle="1" w:styleId="75">
    <w:name w:val="目录 91"/>
    <w:basedOn w:val="1"/>
    <w:next w:val="1"/>
    <w:semiHidden/>
    <w:uiPriority w:val="0"/>
    <w:pPr>
      <w:ind w:left="1680"/>
      <w:jc w:val="left"/>
    </w:pPr>
    <w:rPr>
      <w:rFonts w:ascii="Times New Roman"/>
      <w:sz w:val="18"/>
      <w:szCs w:val="18"/>
    </w:rPr>
  </w:style>
  <w:style w:type="paragraph" w:customStyle="1" w:styleId="76">
    <w:name w:val="目录 21"/>
    <w:basedOn w:val="1"/>
    <w:next w:val="1"/>
    <w:uiPriority w:val="39"/>
    <w:pPr>
      <w:ind w:left="210"/>
      <w:jc w:val="left"/>
    </w:pPr>
    <w:rPr>
      <w:rFonts w:ascii="Times New Roman"/>
      <w:smallCaps/>
      <w:sz w:val="20"/>
      <w:szCs w:val="20"/>
    </w:rPr>
  </w:style>
  <w:style w:type="paragraph" w:customStyle="1" w:styleId="77">
    <w:name w:val="目录 81"/>
    <w:basedOn w:val="1"/>
    <w:next w:val="1"/>
    <w:semiHidden/>
    <w:qFormat/>
    <w:uiPriority w:val="0"/>
    <w:pPr>
      <w:ind w:left="1470"/>
      <w:jc w:val="left"/>
    </w:pPr>
    <w:rPr>
      <w:rFonts w:ascii="Times New Roman"/>
      <w:sz w:val="18"/>
      <w:szCs w:val="18"/>
    </w:rPr>
  </w:style>
  <w:style w:type="paragraph" w:customStyle="1" w:styleId="78">
    <w:name w:val="目录 11"/>
    <w:basedOn w:val="1"/>
    <w:next w:val="1"/>
    <w:uiPriority w:val="39"/>
    <w:pPr>
      <w:tabs>
        <w:tab w:val="left" w:pos="840"/>
        <w:tab w:val="right" w:leader="dot" w:pos="9170"/>
      </w:tabs>
      <w:spacing w:before="120" w:after="120" w:line="600" w:lineRule="auto"/>
      <w:jc w:val="center"/>
    </w:pPr>
    <w:rPr>
      <w:rFonts w:ascii="Times New Roman"/>
      <w:bCs/>
      <w:caps/>
      <w:sz w:val="32"/>
      <w:szCs w:val="32"/>
    </w:rPr>
  </w:style>
  <w:style w:type="paragraph" w:customStyle="1" w:styleId="79">
    <w:name w:val="目录 41"/>
    <w:basedOn w:val="1"/>
    <w:next w:val="1"/>
    <w:semiHidden/>
    <w:uiPriority w:val="0"/>
    <w:pPr>
      <w:ind w:left="630"/>
      <w:jc w:val="left"/>
    </w:pPr>
    <w:rPr>
      <w:rFonts w:ascii="Times New Roman"/>
      <w:sz w:val="18"/>
      <w:szCs w:val="18"/>
    </w:rPr>
  </w:style>
  <w:style w:type="paragraph" w:customStyle="1" w:styleId="80">
    <w:name w:val="目录 31"/>
    <w:basedOn w:val="1"/>
    <w:next w:val="1"/>
    <w:uiPriority w:val="39"/>
    <w:pPr>
      <w:ind w:left="420"/>
      <w:jc w:val="left"/>
    </w:pPr>
    <w:rPr>
      <w:rFonts w:ascii="Times New Roman"/>
      <w:i/>
      <w:iCs/>
      <w:sz w:val="20"/>
      <w:szCs w:val="20"/>
    </w:rPr>
  </w:style>
  <w:style w:type="paragraph" w:customStyle="1" w:styleId="81">
    <w:name w:val="目录 51"/>
    <w:basedOn w:val="1"/>
    <w:next w:val="1"/>
    <w:semiHidden/>
    <w:uiPriority w:val="0"/>
    <w:pPr>
      <w:ind w:left="840"/>
      <w:jc w:val="left"/>
    </w:pPr>
    <w:rPr>
      <w:rFonts w:ascii="Times New Roman"/>
      <w:sz w:val="18"/>
      <w:szCs w:val="18"/>
    </w:rPr>
  </w:style>
  <w:style w:type="paragraph" w:customStyle="1" w:styleId="82">
    <w:name w:val="目录 61"/>
    <w:basedOn w:val="1"/>
    <w:next w:val="1"/>
    <w:semiHidden/>
    <w:uiPriority w:val="0"/>
    <w:pPr>
      <w:ind w:left="1050"/>
      <w:jc w:val="left"/>
    </w:pPr>
    <w:rPr>
      <w:rFonts w:ascii="Times New Roman"/>
      <w:sz w:val="18"/>
      <w:szCs w:val="18"/>
    </w:rPr>
  </w:style>
  <w:style w:type="paragraph" w:customStyle="1" w:styleId="83">
    <w:name w:val="Char"/>
    <w:basedOn w:val="1"/>
    <w:semiHidden/>
    <w:uiPriority w:val="0"/>
    <w:pPr>
      <w:widowControl/>
      <w:spacing w:line="400" w:lineRule="exact"/>
      <w:jc w:val="center"/>
    </w:pPr>
    <w:rPr>
      <w:rFonts w:ascii="Verdana" w:hAnsi="Verdana"/>
      <w:snapToGrid/>
      <w:kern w:val="0"/>
      <w:szCs w:val="20"/>
      <w:lang w:eastAsia="en-US"/>
    </w:rPr>
  </w:style>
  <w:style w:type="paragraph" w:customStyle="1" w:styleId="84">
    <w:name w:val="正文五号"/>
    <w:basedOn w:val="1"/>
    <w:uiPriority w:val="0"/>
    <w:rPr>
      <w:rFonts w:hint="eastAsia" w:eastAsia="仿宋_GB2312"/>
      <w:snapToGrid/>
      <w:kern w:val="2"/>
      <w:szCs w:val="20"/>
    </w:rPr>
  </w:style>
  <w:style w:type="paragraph" w:customStyle="1" w:styleId="85">
    <w:name w:val="Char Char Char Char"/>
    <w:basedOn w:val="1"/>
    <w:uiPriority w:val="0"/>
    <w:rPr>
      <w:rFonts w:ascii="Times New Roman"/>
      <w:snapToGrid/>
      <w:kern w:val="2"/>
    </w:rPr>
  </w:style>
  <w:style w:type="paragraph" w:customStyle="1" w:styleId="86">
    <w:name w:val="默认段落字体 Para Char"/>
    <w:basedOn w:val="1"/>
    <w:uiPriority w:val="0"/>
    <w:rPr>
      <w:rFonts w:ascii="Times New Roman"/>
      <w:snapToGrid/>
      <w:kern w:val="2"/>
      <w:szCs w:val="20"/>
    </w:rPr>
  </w:style>
  <w:style w:type="paragraph" w:customStyle="1" w:styleId="87">
    <w:name w:val="Char Char Char Char Char Char1 Char"/>
    <w:basedOn w:val="1"/>
    <w:uiPriority w:val="0"/>
    <w:pPr>
      <w:widowControl/>
      <w:spacing w:after="160" w:line="240" w:lineRule="exact"/>
      <w:jc w:val="left"/>
    </w:pPr>
    <w:rPr>
      <w:rFonts w:ascii="Verdana" w:hAnsi="Verdana"/>
      <w:snapToGrid/>
      <w:kern w:val="0"/>
      <w:szCs w:val="20"/>
      <w:lang w:eastAsia="en-US"/>
    </w:rPr>
  </w:style>
  <w:style w:type="paragraph" w:customStyle="1" w:styleId="88">
    <w:name w:val="目录"/>
    <w:basedOn w:val="1"/>
    <w:uiPriority w:val="0"/>
    <w:pPr>
      <w:widowControl/>
      <w:jc w:val="center"/>
    </w:pPr>
    <w:rPr>
      <w:b/>
      <w:snapToGrid/>
      <w:kern w:val="0"/>
      <w:sz w:val="36"/>
      <w:szCs w:val="20"/>
    </w:rPr>
  </w:style>
  <w:style w:type="paragraph" w:customStyle="1" w:styleId="89">
    <w:name w:val="Char Char2 Char Char"/>
    <w:basedOn w:val="1"/>
    <w:uiPriority w:val="0"/>
    <w:rPr>
      <w:rFonts w:ascii="Times New Roman"/>
      <w:snapToGrid/>
      <w:kern w:val="2"/>
      <w:szCs w:val="20"/>
    </w:rPr>
  </w:style>
  <w:style w:type="paragraph" w:customStyle="1" w:styleId="90">
    <w:name w:val="小标题"/>
    <w:basedOn w:val="1"/>
    <w:uiPriority w:val="0"/>
    <w:pPr>
      <w:numPr>
        <w:ilvl w:val="0"/>
        <w:numId w:val="2"/>
      </w:numPr>
      <w:spacing w:beforeLines="25"/>
      <w:ind w:firstLine="0"/>
    </w:pPr>
    <w:rPr>
      <w:rFonts w:ascii="Arial" w:hAnsi="Arial" w:eastAsia="黑体"/>
      <w:b/>
      <w:kern w:val="2"/>
      <w:sz w:val="24"/>
      <w:szCs w:val="20"/>
    </w:rPr>
  </w:style>
  <w:style w:type="paragraph" w:customStyle="1" w:styleId="91">
    <w:name w:val="Char Char2 Char Char1"/>
    <w:basedOn w:val="1"/>
    <w:uiPriority w:val="0"/>
    <w:rPr>
      <w:rFonts w:ascii="Times New Roman"/>
      <w:snapToGrid/>
      <w:kern w:val="2"/>
      <w:szCs w:val="20"/>
    </w:rPr>
  </w:style>
  <w:style w:type="paragraph" w:customStyle="1" w:styleId="92">
    <w:name w:val="p39"/>
    <w:basedOn w:val="1"/>
    <w:uiPriority w:val="0"/>
    <w:pPr>
      <w:tabs>
        <w:tab w:val="left" w:pos="1100"/>
      </w:tabs>
      <w:spacing w:line="240" w:lineRule="atLeast"/>
      <w:ind w:left="288" w:hanging="1152"/>
    </w:pPr>
    <w:rPr>
      <w:rFonts w:ascii="Times New Roman"/>
      <w:kern w:val="0"/>
      <w:sz w:val="24"/>
      <w:szCs w:val="20"/>
      <w:lang w:val="en-GB" w:eastAsia="en-US"/>
    </w:rPr>
  </w:style>
  <w:style w:type="paragraph" w:customStyle="1" w:styleId="93">
    <w:name w:val="样式1"/>
    <w:basedOn w:val="4"/>
    <w:uiPriority w:val="0"/>
    <w:pPr>
      <w:adjustRightInd w:val="0"/>
      <w:spacing w:before="240" w:after="0" w:line="416" w:lineRule="atLeast"/>
      <w:jc w:val="left"/>
      <w:textAlignment w:val="baseline"/>
    </w:pPr>
    <w:rPr>
      <w:bCs w:val="0"/>
      <w:color w:val="000000"/>
      <w:kern w:val="0"/>
      <w:sz w:val="30"/>
      <w:szCs w:val="20"/>
    </w:rPr>
  </w:style>
  <w:style w:type="paragraph" w:customStyle="1" w:styleId="94">
    <w:name w:val="抬头"/>
    <w:basedOn w:val="1"/>
    <w:qFormat/>
    <w:uiPriority w:val="0"/>
    <w:pPr>
      <w:spacing w:before="156" w:beforeLines="50" w:line="360" w:lineRule="auto"/>
    </w:pPr>
    <w:rPr>
      <w:snapToGrid/>
      <w:kern w:val="2"/>
      <w:sz w:val="24"/>
    </w:rPr>
  </w:style>
  <w:style w:type="paragraph" w:customStyle="1" w:styleId="95">
    <w:name w:val="Char1"/>
    <w:basedOn w:val="1"/>
    <w:uiPriority w:val="0"/>
    <w:rPr>
      <w:rFonts w:ascii="Tahoma" w:hAnsi="Tahoma"/>
      <w:snapToGrid/>
      <w:kern w:val="2"/>
      <w:sz w:val="24"/>
      <w:szCs w:val="20"/>
    </w:rPr>
  </w:style>
  <w:style w:type="paragraph" w:customStyle="1" w:styleId="96">
    <w:name w:val="彩色列表 - 强调文字颜色 11"/>
    <w:basedOn w:val="1"/>
    <w:qFormat/>
    <w:uiPriority w:val="0"/>
    <w:pPr>
      <w:ind w:firstLine="420" w:firstLineChars="200"/>
    </w:pPr>
    <w:rPr>
      <w:rFonts w:ascii="Calibri"/>
      <w:snapToGrid/>
      <w:kern w:val="2"/>
      <w:szCs w:val="22"/>
    </w:rPr>
  </w:style>
  <w:style w:type="paragraph" w:customStyle="1" w:styleId="97">
    <w:name w:val="p3"/>
    <w:basedOn w:val="1"/>
    <w:uiPriority w:val="0"/>
    <w:pPr>
      <w:tabs>
        <w:tab w:val="left" w:pos="360"/>
      </w:tabs>
      <w:spacing w:line="400" w:lineRule="atLeast"/>
      <w:ind w:left="1080"/>
      <w:jc w:val="left"/>
    </w:pPr>
    <w:rPr>
      <w:rFonts w:ascii="Times New Roman"/>
      <w:kern w:val="0"/>
      <w:sz w:val="24"/>
      <w:szCs w:val="20"/>
      <w:lang w:val="en-GB" w:eastAsia="en-US"/>
    </w:rPr>
  </w:style>
  <w:style w:type="paragraph" w:customStyle="1" w:styleId="98">
    <w:name w:val="Char Char Char Char1"/>
    <w:basedOn w:val="2"/>
    <w:uiPriority w:val="0"/>
    <w:pPr>
      <w:adjustRightInd w:val="0"/>
      <w:snapToGrid w:val="0"/>
      <w:spacing w:line="360" w:lineRule="auto"/>
    </w:pPr>
    <w:rPr>
      <w:rFonts w:ascii="Tahoma" w:hAnsi="Tahoma"/>
      <w:snapToGrid/>
      <w:kern w:val="2"/>
      <w:sz w:val="24"/>
    </w:rPr>
  </w:style>
  <w:style w:type="paragraph" w:customStyle="1" w:styleId="99">
    <w:name w:val="段"/>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00">
    <w:name w:val="列表段落1"/>
    <w:basedOn w:val="1"/>
    <w:qFormat/>
    <w:uiPriority w:val="0"/>
    <w:pPr>
      <w:ind w:firstLine="420" w:firstLineChars="200"/>
    </w:pPr>
    <w:rPr>
      <w:rFonts w:ascii="Calibri"/>
      <w:snapToGrid/>
      <w:kern w:val="2"/>
      <w:szCs w:val="22"/>
    </w:rPr>
  </w:style>
  <w:style w:type="paragraph" w:customStyle="1" w:styleId="101">
    <w:name w:val="xl23"/>
    <w:next w:val="75"/>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102">
    <w:name w:val="p13"/>
    <w:basedOn w:val="1"/>
    <w:uiPriority w:val="0"/>
    <w:pPr>
      <w:tabs>
        <w:tab w:val="left" w:pos="860"/>
      </w:tabs>
      <w:spacing w:line="400" w:lineRule="atLeast"/>
      <w:ind w:left="576" w:hanging="144"/>
      <w:jc w:val="left"/>
    </w:pPr>
    <w:rPr>
      <w:rFonts w:ascii="Times New Roman"/>
      <w:kern w:val="0"/>
      <w:sz w:val="24"/>
      <w:szCs w:val="20"/>
      <w:lang w:val="en-GB" w:eastAsia="en-US"/>
    </w:rPr>
  </w:style>
  <w:style w:type="paragraph" w:customStyle="1" w:styleId="103">
    <w:name w:val="Char Char1"/>
    <w:basedOn w:val="1"/>
    <w:uiPriority w:val="0"/>
    <w:pPr>
      <w:widowControl/>
      <w:spacing w:after="160" w:line="240" w:lineRule="exact"/>
      <w:jc w:val="left"/>
    </w:pPr>
    <w:rPr>
      <w:rFonts w:ascii="Verdana" w:hAnsi="Verdana" w:eastAsia="仿宋_GB2312"/>
      <w:snapToGrid/>
      <w:kern w:val="0"/>
      <w:sz w:val="20"/>
      <w:szCs w:val="20"/>
      <w:lang w:eastAsia="en-US"/>
    </w:rPr>
  </w:style>
  <w:style w:type="paragraph" w:customStyle="1" w:styleId="104">
    <w:name w:val="ÕýÎÄ"/>
    <w:uiPriority w:val="0"/>
    <w:pPr>
      <w:widowControl w:val="0"/>
      <w:overflowPunct w:val="0"/>
      <w:autoSpaceDE w:val="0"/>
      <w:autoSpaceDN w:val="0"/>
      <w:adjustRightInd w:val="0"/>
      <w:spacing w:line="351" w:lineRule="atLeast"/>
      <w:ind w:firstLine="419"/>
      <w:jc w:val="both"/>
      <w:textAlignment w:val="baseline"/>
    </w:pPr>
    <w:rPr>
      <w:rFonts w:ascii="Calibri" w:hAnsi="Calibri" w:eastAsia="宋体" w:cs="Times New Roman"/>
      <w:color w:val="000000"/>
      <w:sz w:val="21"/>
      <w:lang w:val="en-US" w:eastAsia="zh-CN" w:bidi="ar-SA"/>
    </w:rPr>
  </w:style>
  <w:style w:type="paragraph" w:customStyle="1" w:styleId="105">
    <w:name w:val="默认段落字体 Para Char Char Char Char"/>
    <w:basedOn w:val="1"/>
    <w:uiPriority w:val="0"/>
    <w:rPr>
      <w:rFonts w:ascii="Times New Roman"/>
      <w:snapToGrid/>
      <w:kern w:val="2"/>
    </w:rPr>
  </w:style>
  <w:style w:type="paragraph" w:customStyle="1" w:styleId="106">
    <w:name w:val="Y 正文"/>
    <w:basedOn w:val="1"/>
    <w:qFormat/>
    <w:uiPriority w:val="0"/>
    <w:pPr>
      <w:adjustRightInd w:val="0"/>
      <w:snapToGrid w:val="0"/>
      <w:spacing w:line="360" w:lineRule="auto"/>
      <w:ind w:firstLine="200" w:firstLineChars="200"/>
    </w:pPr>
    <w:rPr>
      <w:rFonts w:ascii="Times New Roman"/>
      <w:snapToGrid/>
      <w:kern w:val="2"/>
      <w:sz w:val="24"/>
      <w:szCs w:val="22"/>
      <w:shd w:val="clear" w:color="auto" w:fill="FFFFFF"/>
    </w:rPr>
  </w:style>
  <w:style w:type="paragraph" w:customStyle="1" w:styleId="107">
    <w:name w:val="项目排列"/>
    <w:basedOn w:val="1"/>
    <w:uiPriority w:val="0"/>
    <w:pPr>
      <w:numPr>
        <w:ilvl w:val="0"/>
        <w:numId w:val="3"/>
      </w:numPr>
      <w:spacing w:beforeLines="50" w:line="300" w:lineRule="auto"/>
      <w:ind w:firstLine="0"/>
    </w:pPr>
    <w:rPr>
      <w:rFonts w:ascii="Times New Roman" w:hAnsi="Times New Roman"/>
      <w:kern w:val="2"/>
      <w:sz w:val="24"/>
    </w:rPr>
  </w:style>
  <w:style w:type="paragraph" w:customStyle="1" w:styleId="108">
    <w:name w:val="表格"/>
    <w:basedOn w:val="1"/>
    <w:uiPriority w:val="0"/>
    <w:pPr>
      <w:tabs>
        <w:tab w:val="left" w:pos="1200"/>
      </w:tabs>
      <w:spacing w:line="500" w:lineRule="exact"/>
      <w:jc w:val="center"/>
    </w:pPr>
    <w:rPr>
      <w:snapToGrid/>
      <w:kern w:val="2"/>
      <w:sz w:val="24"/>
      <w:szCs w:val="18"/>
    </w:rPr>
  </w:style>
  <w:style w:type="character" w:customStyle="1" w:styleId="109">
    <w:name w:val="标题 1 字符"/>
    <w:qFormat/>
    <w:uiPriority w:val="0"/>
    <w:rPr>
      <w:rFonts w:ascii="仿宋_GB2312" w:eastAsia="仿宋_GB2312"/>
      <w:b/>
      <w:bCs/>
      <w:color w:val="000000"/>
      <w:sz w:val="28"/>
    </w:rPr>
  </w:style>
  <w:style w:type="paragraph" w:customStyle="1" w:styleId="110">
    <w:name w:val="样式 标题 3 + (中文) 黑体 小四 非加粗 段前: 7.8 磅 段后: 0 磅 行距: 固定值 20 磅"/>
    <w:basedOn w:val="6"/>
    <w:qFormat/>
    <w:uiPriority w:val="0"/>
    <w:pPr>
      <w:spacing w:before="0" w:after="0"/>
      <w:ind w:firstLine="0"/>
    </w:pPr>
    <w:rPr>
      <w:rFonts w:hint="default" w:ascii="Times New Roman" w:hAnsi="Times New Roman" w:cs="宋体"/>
      <w:bCs w:val="0"/>
      <w:sz w:val="24"/>
    </w:rPr>
  </w:style>
  <w:style w:type="character" w:customStyle="1" w:styleId="111">
    <w:name w:val="标题 2 字符"/>
    <w:qFormat/>
    <w:uiPriority w:val="0"/>
    <w:rPr>
      <w:rFonts w:ascii="Arial" w:hAnsi="Arial"/>
      <w:b/>
      <w:bCs/>
      <w:kern w:val="2"/>
      <w:sz w:val="28"/>
      <w:szCs w:val="32"/>
    </w:rPr>
  </w:style>
  <w:style w:type="character" w:customStyle="1" w:styleId="112">
    <w:name w:val="纯文本 字符"/>
    <w:qFormat/>
    <w:uiPriority w:val="99"/>
    <w:rPr>
      <w:rFonts w:ascii="宋体"/>
      <w:szCs w:val="24"/>
    </w:rPr>
  </w:style>
  <w:style w:type="character" w:customStyle="1" w:styleId="113">
    <w:name w:val="纯文本 字符1"/>
    <w:qFormat/>
    <w:uiPriority w:val="0"/>
    <w:rPr>
      <w:rFonts w:ascii="宋体" w:hAnsi="Courier New"/>
    </w:rPr>
  </w:style>
  <w:style w:type="character" w:customStyle="1" w:styleId="114">
    <w:name w:val="标题 3 字符1"/>
    <w:uiPriority w:val="0"/>
    <w:rPr>
      <w:b/>
      <w:bCs/>
      <w:sz w:val="32"/>
      <w:szCs w:val="32"/>
    </w:rPr>
  </w:style>
  <w:style w:type="paragraph" w:customStyle="1" w:styleId="115">
    <w:name w:val="列出段落3"/>
    <w:basedOn w:val="1"/>
    <w:qFormat/>
    <w:uiPriority w:val="34"/>
    <w:pPr>
      <w:ind w:firstLine="420" w:firstLineChars="200"/>
    </w:pPr>
    <w:rPr>
      <w:rFonts w:ascii="Calibri"/>
      <w:snapToGrid/>
      <w:kern w:val="2"/>
    </w:rPr>
  </w:style>
  <w:style w:type="paragraph" w:customStyle="1" w:styleId="116">
    <w:name w:val="表格文字"/>
    <w:basedOn w:val="1"/>
    <w:qFormat/>
    <w:uiPriority w:val="99"/>
    <w:pPr>
      <w:snapToGrid w:val="0"/>
      <w:spacing w:beforeLines="20" w:afterLines="20"/>
      <w:jc w:val="center"/>
    </w:pPr>
    <w:rPr>
      <w:rFonts w:ascii="Calibri" w:eastAsiaTheme="minorEastAsia" w:cstheme="minorBidi"/>
      <w:snapToGrid/>
      <w:kern w:val="2"/>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Users</Company>
  <Pages>58</Pages>
  <Words>5673</Words>
  <Characters>32342</Characters>
  <Lines>269</Lines>
  <Paragraphs>75</Paragraphs>
  <TotalTime>2</TotalTime>
  <ScaleCrop>false</ScaleCrop>
  <LinksUpToDate>false</LinksUpToDate>
  <CharactersWithSpaces>37940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2020-07-15T03:28:00Z</dcterms:created>
  <dc:creator>KLY</dc:creator>
  <cp:lastModifiedBy>lenovo</cp:lastModifiedBy>
  <cp:lastPrinted>2021-05-21T03:21:00Z</cp:lastPrinted>
  <dcterms:modified xsi:type="dcterms:W3CDTF">2022-02-22T02:36:53Z</dcterms:modified>
  <dc:title>文件</dc:title>
  <cp:revision>435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779ADC24747D4BEAB1C1208BF424C416</vt:lpwstr>
  </property>
</Properties>
</file>