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rPr>
          <w:rFonts w:hint="default" w:ascii="Times New Roman" w:hAnsi="Times New Roman" w:eastAsia="方正小标宋简体" w:cs="Times New Roman"/>
          <w:color w:val="FF0000"/>
          <w:spacing w:val="-26"/>
          <w:w w:val="60"/>
          <w:position w:val="-6"/>
          <w:sz w:val="32"/>
          <w:szCs w:val="32"/>
        </w:rPr>
      </w:pPr>
    </w:p>
    <w:p>
      <w:pPr>
        <w:spacing w:line="1000" w:lineRule="exact"/>
        <w:rPr>
          <w:rFonts w:hint="default" w:ascii="Times New Roman" w:hAnsi="Times New Roman" w:eastAsia="方正小标宋简体" w:cs="Times New Roman"/>
          <w:color w:val="FF0000"/>
          <w:spacing w:val="-26"/>
          <w:w w:val="60"/>
          <w:position w:val="-6"/>
          <w:sz w:val="32"/>
          <w:szCs w:val="32"/>
        </w:rPr>
      </w:pPr>
    </w:p>
    <w:p>
      <w:pPr>
        <w:spacing w:line="1000" w:lineRule="exact"/>
        <w:rPr>
          <w:rFonts w:hint="default" w:ascii="Times New Roman" w:hAnsi="Times New Roman" w:eastAsia="方正小标宋简体" w:cs="Times New Roman"/>
          <w:color w:val="FF0000"/>
          <w:spacing w:val="-26"/>
          <w:w w:val="60"/>
          <w:position w:val="-6"/>
          <w:sz w:val="32"/>
          <w:szCs w:val="32"/>
        </w:rPr>
      </w:pPr>
    </w:p>
    <w:p>
      <w:pPr>
        <w:spacing w:line="1000" w:lineRule="exact"/>
        <w:jc w:val="distribute"/>
        <w:rPr>
          <w:rFonts w:hint="default" w:ascii="Times New Roman" w:hAnsi="Times New Roman" w:eastAsia="方正小标宋简体" w:cs="Times New Roman"/>
          <w:color w:val="FF0000"/>
          <w:spacing w:val="-26"/>
          <w:w w:val="67"/>
          <w:position w:val="-6"/>
          <w:sz w:val="28"/>
          <w:szCs w:val="28"/>
        </w:rPr>
      </w:pPr>
      <w:r>
        <w:rPr>
          <w:rFonts w:hint="default" w:ascii="Times New Roman" w:hAnsi="Times New Roman" w:eastAsia="方正小标宋简体" w:cs="Times New Roman"/>
          <w:color w:val="FF0000"/>
          <w:spacing w:val="-26"/>
          <w:w w:val="60"/>
          <w:position w:val="-6"/>
          <w:sz w:val="96"/>
          <w:szCs w:val="96"/>
        </w:rPr>
        <w:t>昆明市西山区民族宗教事务局文件</w:t>
      </w:r>
    </w:p>
    <w:p>
      <w:pPr>
        <w:spacing w:line="1000" w:lineRule="exact"/>
        <w:jc w:val="distribute"/>
        <w:rPr>
          <w:rFonts w:hint="default" w:ascii="Times New Roman" w:hAnsi="Times New Roman" w:eastAsia="方正小标宋简体" w:cs="Times New Roman"/>
          <w:color w:val="FF0000"/>
          <w:spacing w:val="-26"/>
          <w:w w:val="67"/>
          <w:position w:val="-6"/>
          <w:sz w:val="28"/>
          <w:szCs w:val="28"/>
        </w:rPr>
      </w:pPr>
    </w:p>
    <w:p>
      <w:pPr>
        <w:spacing w:line="800" w:lineRule="exact"/>
        <w:jc w:val="both"/>
        <w:rPr>
          <w:rFonts w:hint="default" w:ascii="Times New Roman" w:hAnsi="Times New Roman" w:eastAsia="仿宋_GB2312" w:cs="Times New Roman"/>
          <w:color w:val="FF0000"/>
          <w:spacing w:val="-20"/>
          <w:sz w:val="32"/>
          <w:szCs w:val="32"/>
        </w:rPr>
      </w:pPr>
    </w:p>
    <w:p>
      <w:pPr>
        <w:pStyle w:val="2"/>
        <w:tabs>
          <w:tab w:val="left" w:pos="8931"/>
        </w:tabs>
        <w:spacing w:line="320" w:lineRule="exact"/>
        <w:ind w:left="0" w:leftChars="0" w:right="-86" w:rightChars="-41"/>
        <w:rPr>
          <w:rFonts w:hint="default" w:ascii="Times New Roman" w:hAnsi="Times New Roman" w:cs="Times New Roman"/>
          <w:color w:val="FF0000"/>
          <w:spacing w:val="-14"/>
          <w:szCs w:val="21"/>
        </w:rPr>
      </w:pPr>
      <w:r>
        <w:rPr>
          <w:rFonts w:hint="default" w:ascii="Times New Roman" w:hAnsi="Times New Roman" w:cs="Times New Roman"/>
          <w:color w:val="FF0000"/>
          <w:spacing w:val="-14"/>
          <w:position w:val="-8"/>
          <w:szCs w:val="32"/>
        </w:rPr>
        <w:t>▬▬▬▬▬▬▬▬▬▬▬▬▬▬▬▬▬▬▬▬▬▬▬▬▬▬▬▬▬▬▬▬▬▬▬▬▬▬▬▬▬▬▬▬▬</w:t>
      </w:r>
    </w:p>
    <w:p>
      <w:pPr>
        <w:spacing w:line="600" w:lineRule="exact"/>
        <w:jc w:val="center"/>
        <w:rPr>
          <w:rFonts w:hint="default" w:ascii="Times New Roman" w:hAnsi="Times New Roman" w:eastAsia="方正小标宋简体" w:cs="Times New Roman"/>
          <w:color w:val="FF0000"/>
          <w:sz w:val="44"/>
          <w:szCs w:val="44"/>
        </w:rPr>
      </w:pPr>
    </w:p>
    <w:p>
      <w:pPr>
        <w:spacing w:line="600" w:lineRule="exact"/>
        <w:jc w:val="center"/>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西山区民族宗教事务局</w:t>
      </w:r>
    </w:p>
    <w:p>
      <w:pPr>
        <w:spacing w:line="600" w:lineRule="exact"/>
        <w:jc w:val="center"/>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关于</w:t>
      </w:r>
      <w:r>
        <w:rPr>
          <w:rFonts w:hint="default" w:ascii="Times New Roman" w:hAnsi="Times New Roman" w:eastAsia="方正小标宋_GBK" w:cs="Times New Roman"/>
          <w:color w:val="000000" w:themeColor="text1"/>
          <w:sz w:val="44"/>
          <w:szCs w:val="44"/>
          <w:lang w:eastAsia="zh-CN"/>
          <w14:textFill>
            <w14:solidFill>
              <w14:schemeClr w14:val="tx1"/>
            </w14:solidFill>
          </w14:textFill>
        </w:rPr>
        <w:t>组织实施好2021年中央财政衔接推进乡村振兴补助资金</w:t>
      </w:r>
      <w:r>
        <w:rPr>
          <w:rFonts w:hint="default" w:ascii="Times New Roman" w:hAnsi="Times New Roman" w:eastAsia="方正小标宋_GBK" w:cs="Times New Roman"/>
          <w:color w:val="000000" w:themeColor="text1"/>
          <w:sz w:val="44"/>
          <w:szCs w:val="44"/>
          <w:lang w:val="en-US" w:eastAsia="zh-CN"/>
          <w14:textFill>
            <w14:solidFill>
              <w14:schemeClr w14:val="tx1"/>
            </w14:solidFill>
          </w14:textFill>
        </w:rPr>
        <w:t>谷律社区大谷律村民族团结进步示范村建设</w:t>
      </w:r>
      <w:r>
        <w:rPr>
          <w:rFonts w:hint="default" w:ascii="Times New Roman" w:hAnsi="Times New Roman" w:eastAsia="方正小标宋_GBK" w:cs="Times New Roman"/>
          <w:color w:val="000000" w:themeColor="text1"/>
          <w:sz w:val="44"/>
          <w:szCs w:val="44"/>
          <w:lang w:eastAsia="zh-CN"/>
          <w14:textFill>
            <w14:solidFill>
              <w14:schemeClr w14:val="tx1"/>
            </w14:solidFill>
          </w14:textFill>
        </w:rPr>
        <w:t>项目</w:t>
      </w:r>
      <w:r>
        <w:rPr>
          <w:rFonts w:hint="default" w:ascii="Times New Roman" w:hAnsi="Times New Roman" w:eastAsia="方正小标宋_GBK" w:cs="Times New Roman"/>
          <w:color w:val="000000" w:themeColor="text1"/>
          <w:sz w:val="44"/>
          <w:szCs w:val="44"/>
          <w14:textFill>
            <w14:solidFill>
              <w14:schemeClr w14:val="tx1"/>
            </w14:solidFill>
          </w14:textFill>
        </w:rPr>
        <w:t>的通知</w:t>
      </w:r>
    </w:p>
    <w:p>
      <w:pPr>
        <w:spacing w:line="600" w:lineRule="exact"/>
        <w:rPr>
          <w:rFonts w:hint="default" w:ascii="Times New Roman" w:hAnsi="Times New Roman" w:eastAsia="方正小标宋_GBK" w:cs="Times New Roman"/>
          <w:color w:val="000000" w:themeColor="text1"/>
          <w:sz w:val="44"/>
          <w:szCs w:val="44"/>
          <w14:textFill>
            <w14:solidFill>
              <w14:schemeClr w14:val="tx1"/>
            </w14:solidFill>
          </w14:textFill>
        </w:rPr>
      </w:pPr>
    </w:p>
    <w:p>
      <w:pPr>
        <w:spacing w:line="600" w:lineRule="exact"/>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团结街道办事处：</w:t>
      </w:r>
    </w:p>
    <w:p>
      <w:pPr>
        <w:spacing w:line="560" w:lineRule="exact"/>
        <w:ind w:firstLine="640" w:firstLineChars="20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为加快我区少数民族和民族地区经济发展，根据《云南省财政厅关于下达2021年中央财政衔接推进乡村振兴补助资金的通知》（云财农〔2021〕76号）要求，按照基层申报、会议研究等程序，谷律社区大谷律村民族团结进步示范村建设</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获中央财政衔接推进乡村振兴补助资金支持100万元。该笔资金已下达街道。</w:t>
      </w:r>
    </w:p>
    <w:p>
      <w:pPr>
        <w:spacing w:line="56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项目建设主要内容：实施民族团结进步示范村建设，以产业发展为主，利用农户肥沃的土地搭建规范钢架大棚进行种植栎树菌，搭建18个钢架大棚，并配套相应的水利设施，带动村民增收致富。</w:t>
      </w:r>
      <w:r>
        <w:rPr>
          <w:rFonts w:hint="default" w:ascii="Times New Roman" w:hAnsi="Times New Roman" w:eastAsia="仿宋_GB2312" w:cs="Times New Roman"/>
          <w:bCs/>
          <w:color w:val="000000" w:themeColor="text1"/>
          <w:w w:val="95"/>
          <w:sz w:val="32"/>
          <w:szCs w:val="32"/>
          <w:lang w:eastAsia="zh-CN"/>
          <w14:textFill>
            <w14:solidFill>
              <w14:schemeClr w14:val="tx1"/>
            </w14:solidFill>
          </w14:textFill>
        </w:rPr>
        <w:t>为确保项目</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早日建成达效</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请街道按时按质督促谷律社区完成项目。</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严格按照省、市、区民族宗教专项资金管理使用办法，扎实推进项目实施。现将有关通知如下：</w:t>
      </w:r>
    </w:p>
    <w:p>
      <w:pPr>
        <w:numPr>
          <w:ilvl w:val="0"/>
          <w:numId w:val="1"/>
        </w:numPr>
        <w:spacing w:line="560" w:lineRule="exact"/>
        <w:ind w:firstLine="640" w:firstLineChars="200"/>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t>强化责任落实</w:t>
      </w:r>
    </w:p>
    <w:p>
      <w:pPr>
        <w:numPr>
          <w:ilvl w:val="0"/>
          <w:numId w:val="0"/>
        </w:numPr>
        <w:spacing w:line="560" w:lineRule="exact"/>
        <w:ind w:firstLine="640" w:firstLineChars="200"/>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提高认识，强化责任，将推动项目早日实施达效作为贯彻习近平总书记考察云南重要讲话精神的具体行动。成立项目实施专班，</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街道及社区分别明确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一位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项目实施</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责任分管领导和一名工作联络员</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于2021年7月8日（星期四）前将</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责任领导及联络员名单</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报送至区民族宗教局</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（附件</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p>
    <w:p>
      <w:pPr>
        <w:numPr>
          <w:ilvl w:val="0"/>
          <w:numId w:val="1"/>
        </w:numPr>
        <w:spacing w:line="560" w:lineRule="exact"/>
        <w:ind w:left="0" w:leftChars="0" w:firstLine="640" w:firstLineChars="200"/>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t>明细项目内容</w:t>
      </w:r>
    </w:p>
    <w:p>
      <w:pPr>
        <w:numPr>
          <w:ilvl w:val="0"/>
          <w:numId w:val="0"/>
        </w:numPr>
        <w:spacing w:line="560" w:lineRule="exact"/>
        <w:ind w:firstLine="640" w:firstLineChars="200"/>
        <w:rPr>
          <w:rFonts w:hint="default" w:ascii="Times New Roman" w:hAnsi="Times New Roman" w:eastAsia="仿宋_GB2312" w:cs="Times New Roman"/>
          <w:b/>
          <w:bCs/>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谷律社区要结合实际制定项目实施方案，科学安排进度，高效使用资金，确保专款专用，项目资金效益最大化。</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严格对</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照《省级民族宗教专项资金项目实施任务表》（附件</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）逐项落实，</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7月15日前将项目实施方案报送区民族宗教局备案，自7月起</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每月</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16日前向区民宗局报送项目绩效月报和项目实施情况简报</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，并</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按时序进度完成各项任务和材料归档工作</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11月底</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将项目实施情况、资金使用情况</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项目绩效情况</w:t>
      </w:r>
      <w:r>
        <w:rPr>
          <w:rFonts w:hint="default" w:ascii="Times New Roman" w:hAnsi="Times New Roman" w:eastAsia="仿宋_GB2312" w:cs="Times New Roman"/>
          <w:b/>
          <w:bCs/>
          <w:color w:val="000000" w:themeColor="text1"/>
          <w:sz w:val="32"/>
          <w:szCs w:val="32"/>
          <w:highlight w:val="none"/>
          <w:lang w:eastAsia="zh-CN"/>
          <w14:textFill>
            <w14:solidFill>
              <w14:schemeClr w14:val="tx1"/>
            </w14:solidFill>
          </w14:textFill>
        </w:rPr>
        <w:t>及相关台账</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报区民族宗教局。</w:t>
      </w:r>
    </w:p>
    <w:p>
      <w:pPr>
        <w:numPr>
          <w:ilvl w:val="0"/>
          <w:numId w:val="1"/>
        </w:numPr>
        <w:spacing w:line="560" w:lineRule="exact"/>
        <w:ind w:left="0" w:leftChars="0" w:firstLine="640" w:firstLineChars="200"/>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t>建立专项台账</w:t>
      </w:r>
    </w:p>
    <w:p>
      <w:pPr>
        <w:numPr>
          <w:ilvl w:val="0"/>
          <w:numId w:val="0"/>
        </w:num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按照台账模版（附件</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），建立</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2021年</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中央财政衔接推进乡村振兴补助资金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项目实施台账，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待项目审计完成后将</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相关</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材料装订成册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报区民族宗教局备案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pPr>
        <w:numPr>
          <w:ilvl w:val="0"/>
          <w:numId w:val="1"/>
        </w:numPr>
        <w:spacing w:line="580" w:lineRule="exact"/>
        <w:ind w:left="0" w:leftChars="0" w:firstLine="640" w:firstLineChars="200"/>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lang w:eastAsia="zh-CN"/>
          <w14:textFill>
            <w14:solidFill>
              <w14:schemeClr w14:val="tx1"/>
            </w14:solidFill>
          </w14:textFill>
        </w:rPr>
        <w:t>严格专款专用</w:t>
      </w:r>
    </w:p>
    <w:p>
      <w:pPr>
        <w:numPr>
          <w:ilvl w:val="0"/>
          <w:numId w:val="0"/>
        </w:numPr>
        <w:spacing w:line="58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严格</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按照</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《云南省省对下民族宗教专项资金管理暂行办法》（云民宗联发〔2016〕2号）要求</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管理使用资金</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，做到专款专用，未经批准不得擅自改变项目及资金用途。对截留、挪用等违规、违纪、违法使用补助资金的单位及个人，区级相关部门将依规、依纪、依法追究主要领导和直接责任人的责</w:t>
      </w:r>
      <w:bookmarkStart w:id="0" w:name="_GoBack"/>
      <w:bookmarkEnd w:id="0"/>
      <w:r>
        <w:rPr>
          <w:rFonts w:hint="default" w:ascii="Times New Roman" w:hAnsi="Times New Roman" w:eastAsia="仿宋_GB2312" w:cs="Times New Roman"/>
          <w:color w:val="000000" w:themeColor="text1"/>
          <w:sz w:val="32"/>
          <w:szCs w:val="32"/>
          <w:highlight w:val="none"/>
          <w14:textFill>
            <w14:solidFill>
              <w14:schemeClr w14:val="tx1"/>
            </w14:solidFill>
          </w14:textFill>
        </w:rPr>
        <w:t>任，并追缴项目资金。</w:t>
      </w:r>
    </w:p>
    <w:p>
      <w:pPr>
        <w:spacing w:line="58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附件：</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责任领导及联络员名单；</w:t>
      </w:r>
    </w:p>
    <w:p>
      <w:pPr>
        <w:numPr>
          <w:ilvl w:val="0"/>
          <w:numId w:val="0"/>
        </w:numPr>
        <w:spacing w:line="580" w:lineRule="exact"/>
        <w:ind w:firstLine="1600" w:firstLineChars="5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民族宗教专项资金项目实施任务表；</w:t>
      </w:r>
    </w:p>
    <w:p>
      <w:pPr>
        <w:numPr>
          <w:ilvl w:val="0"/>
          <w:numId w:val="0"/>
        </w:numPr>
        <w:spacing w:line="580" w:lineRule="exact"/>
        <w:ind w:left="1600" w:leftChars="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台账模版；</w:t>
      </w:r>
    </w:p>
    <w:p>
      <w:pPr>
        <w:numPr>
          <w:ilvl w:val="0"/>
          <w:numId w:val="0"/>
        </w:numPr>
        <w:spacing w:line="580" w:lineRule="exact"/>
        <w:ind w:left="1600" w:leftChars="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4.西山区2021年</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中央财政衔接推进乡村振兴补助资金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拨付表。</w:t>
      </w:r>
    </w:p>
    <w:p>
      <w:pPr>
        <w:spacing w:line="58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p>
    <w:p>
      <w:pPr>
        <w:spacing w:line="580" w:lineRule="exact"/>
        <w:ind w:left="1060" w:leftChars="200" w:hanging="640" w:hanging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                           西山区民族宗教事务局</w:t>
      </w:r>
    </w:p>
    <w:p>
      <w:pPr>
        <w:spacing w:line="580" w:lineRule="exact"/>
        <w:ind w:left="1060" w:leftChars="200" w:hanging="640" w:hangingChars="200"/>
        <w:rPr>
          <w:rFonts w:hint="default" w:ascii="Times New Roman" w:hAnsi="Times New Roman" w:eastAsia="仿宋_GB2312" w:cs="Times New Roman"/>
          <w:color w:val="000000" w:themeColor="text1"/>
          <w:kern w:val="0"/>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2021</w:t>
      </w:r>
      <w:r>
        <w:rPr>
          <w:rFonts w:hint="default" w:ascii="Times New Roman" w:hAnsi="Times New Roman" w:eastAsia="仿宋_GB2312" w:cs="Times New Roman"/>
          <w:color w:val="000000" w:themeColor="text1"/>
          <w:sz w:val="32"/>
          <w:szCs w:val="32"/>
          <w14:textFill>
            <w14:solidFill>
              <w14:schemeClr w14:val="tx1"/>
            </w14:solidFill>
          </w14:textFill>
        </w:rPr>
        <w:t>年</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14:textFill>
            <w14:solidFill>
              <w14:schemeClr w14:val="tx1"/>
            </w14:solidFill>
          </w14:textFill>
        </w:rPr>
        <w:t>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日</w:t>
      </w:r>
    </w:p>
    <w:p>
      <w:pPr>
        <w:spacing w:line="580" w:lineRule="exact"/>
        <w:ind w:left="1060" w:leftChars="200" w:hanging="640" w:hangingChars="200"/>
        <w:rPr>
          <w:rFonts w:hint="default" w:ascii="Times New Roman" w:hAnsi="Times New Roman" w:eastAsia="仿宋_GB2312" w:cs="Times New Roman"/>
          <w:color w:val="000000" w:themeColor="text1"/>
          <w:kern w:val="0"/>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pBdr>
          <w:top w:val="single" w:color="auto" w:sz="6" w:space="1"/>
          <w:bottom w:val="single" w:color="auto" w:sz="6" w:space="1"/>
        </w:pBdr>
        <w:spacing w:line="360" w:lineRule="exact"/>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西山区民族宗教事务局                        </w:t>
      </w: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2021</w:t>
      </w:r>
      <w:r>
        <w:rPr>
          <w:rFonts w:hint="default" w:ascii="Times New Roman" w:hAnsi="Times New Roman" w:eastAsia="仿宋_GB2312" w:cs="Times New Roman"/>
          <w:color w:val="000000" w:themeColor="text1"/>
          <w:sz w:val="28"/>
          <w:szCs w:val="28"/>
          <w14:textFill>
            <w14:solidFill>
              <w14:schemeClr w14:val="tx1"/>
            </w14:solidFill>
          </w14:textFill>
        </w:rPr>
        <w:t xml:space="preserve"> 年</w:t>
      </w: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7</w:t>
      </w:r>
      <w:r>
        <w:rPr>
          <w:rFonts w:hint="default" w:ascii="Times New Roman" w:hAnsi="Times New Roman" w:eastAsia="仿宋_GB2312" w:cs="Times New Roman"/>
          <w:color w:val="000000" w:themeColor="text1"/>
          <w:sz w:val="28"/>
          <w:szCs w:val="28"/>
          <w14:textFill>
            <w14:solidFill>
              <w14:schemeClr w14:val="tx1"/>
            </w14:solidFill>
          </w14:textFill>
        </w:rPr>
        <w:t>月</w:t>
      </w: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6</w:t>
      </w:r>
      <w:r>
        <w:rPr>
          <w:rFonts w:hint="default" w:ascii="Times New Roman" w:hAnsi="Times New Roman" w:eastAsia="仿宋_GB2312" w:cs="Times New Roman"/>
          <w:color w:val="000000" w:themeColor="text1"/>
          <w:sz w:val="28"/>
          <w:szCs w:val="28"/>
          <w14:textFill>
            <w14:solidFill>
              <w14:schemeClr w14:val="tx1"/>
            </w14:solidFill>
          </w14:textFill>
        </w:rPr>
        <w:t>日印发</w:t>
      </w:r>
    </w:p>
    <w:sectPr>
      <w:headerReference r:id="rId3" w:type="default"/>
      <w:footerReference r:id="rId4" w:type="default"/>
      <w:footerReference r:id="rId5" w:type="even"/>
      <w:pgSz w:w="11906" w:h="16838"/>
      <w:pgMar w:top="2098" w:right="1474" w:bottom="1985" w:left="1588" w:header="851" w:footer="158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210" w:leftChars="100" w:right="210" w:rightChars="100"/>
      <w:rPr>
        <w:rStyle w:val="8"/>
        <w:sz w:val="24"/>
        <w:szCs w:val="24"/>
      </w:rPr>
    </w:pPr>
    <w:r>
      <w:rPr>
        <w:rStyle w:val="8"/>
        <w:rFonts w:hint="eastAsia"/>
        <w:sz w:val="24"/>
        <w:szCs w:val="24"/>
      </w:rPr>
      <w:t xml:space="preserve">— </w:t>
    </w:r>
    <w:r>
      <w:rPr>
        <w:rStyle w:val="8"/>
        <w:sz w:val="24"/>
        <w:szCs w:val="24"/>
      </w:rPr>
      <w:fldChar w:fldCharType="begin"/>
    </w:r>
    <w:r>
      <w:rPr>
        <w:rStyle w:val="8"/>
        <w:sz w:val="24"/>
        <w:szCs w:val="24"/>
      </w:rPr>
      <w:instrText xml:space="preserve">PAGE  </w:instrText>
    </w:r>
    <w:r>
      <w:rPr>
        <w:rStyle w:val="8"/>
        <w:sz w:val="24"/>
        <w:szCs w:val="24"/>
      </w:rPr>
      <w:fldChar w:fldCharType="separate"/>
    </w:r>
    <w:r>
      <w:rPr>
        <w:rStyle w:val="8"/>
        <w:sz w:val="24"/>
        <w:szCs w:val="24"/>
      </w:rPr>
      <w:t>2</w:t>
    </w:r>
    <w:r>
      <w:rPr>
        <w:rStyle w:val="8"/>
        <w:sz w:val="24"/>
        <w:szCs w:val="24"/>
      </w:rPr>
      <w:fldChar w:fldCharType="end"/>
    </w:r>
    <w:r>
      <w:rPr>
        <w:rStyle w:val="8"/>
        <w:rFonts w:hint="eastAsia"/>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34747"/>
    <w:multiLevelType w:val="singleLevel"/>
    <w:tmpl w:val="6783474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C96"/>
    <w:rsid w:val="0001676B"/>
    <w:rsid w:val="000210AD"/>
    <w:rsid w:val="0005443C"/>
    <w:rsid w:val="00071841"/>
    <w:rsid w:val="00087C32"/>
    <w:rsid w:val="00095AFF"/>
    <w:rsid w:val="0009786B"/>
    <w:rsid w:val="000B0E63"/>
    <w:rsid w:val="000F10F8"/>
    <w:rsid w:val="000F74BB"/>
    <w:rsid w:val="00124889"/>
    <w:rsid w:val="0013304A"/>
    <w:rsid w:val="00137F34"/>
    <w:rsid w:val="00143082"/>
    <w:rsid w:val="0014643E"/>
    <w:rsid w:val="00161E7A"/>
    <w:rsid w:val="00166C8A"/>
    <w:rsid w:val="00184290"/>
    <w:rsid w:val="001C40EE"/>
    <w:rsid w:val="001D0297"/>
    <w:rsid w:val="001D6608"/>
    <w:rsid w:val="001E4BF3"/>
    <w:rsid w:val="001F7E84"/>
    <w:rsid w:val="00233430"/>
    <w:rsid w:val="00247FB0"/>
    <w:rsid w:val="00266BB0"/>
    <w:rsid w:val="00267C82"/>
    <w:rsid w:val="002716E1"/>
    <w:rsid w:val="002765F4"/>
    <w:rsid w:val="002C0D31"/>
    <w:rsid w:val="00352690"/>
    <w:rsid w:val="00352C73"/>
    <w:rsid w:val="00355930"/>
    <w:rsid w:val="003577BD"/>
    <w:rsid w:val="003978C0"/>
    <w:rsid w:val="003B28FC"/>
    <w:rsid w:val="003B6FE9"/>
    <w:rsid w:val="003C0A9B"/>
    <w:rsid w:val="003F7D6C"/>
    <w:rsid w:val="00404835"/>
    <w:rsid w:val="00417824"/>
    <w:rsid w:val="00422283"/>
    <w:rsid w:val="00431C96"/>
    <w:rsid w:val="0044422A"/>
    <w:rsid w:val="004558D1"/>
    <w:rsid w:val="004840A8"/>
    <w:rsid w:val="00495A49"/>
    <w:rsid w:val="004B60A3"/>
    <w:rsid w:val="004D2E19"/>
    <w:rsid w:val="004D74BB"/>
    <w:rsid w:val="004E1A2F"/>
    <w:rsid w:val="004E7467"/>
    <w:rsid w:val="004F1921"/>
    <w:rsid w:val="00524F17"/>
    <w:rsid w:val="00534106"/>
    <w:rsid w:val="00536CE9"/>
    <w:rsid w:val="00544EED"/>
    <w:rsid w:val="0058439C"/>
    <w:rsid w:val="005A2B1C"/>
    <w:rsid w:val="005A7365"/>
    <w:rsid w:val="005B30FA"/>
    <w:rsid w:val="005B529C"/>
    <w:rsid w:val="005B6F5B"/>
    <w:rsid w:val="005D5416"/>
    <w:rsid w:val="005E1E74"/>
    <w:rsid w:val="005E23B6"/>
    <w:rsid w:val="005F1204"/>
    <w:rsid w:val="006108A4"/>
    <w:rsid w:val="006171ED"/>
    <w:rsid w:val="006277FE"/>
    <w:rsid w:val="0063642B"/>
    <w:rsid w:val="00655B2C"/>
    <w:rsid w:val="00686573"/>
    <w:rsid w:val="006B26AD"/>
    <w:rsid w:val="006B299B"/>
    <w:rsid w:val="006C0724"/>
    <w:rsid w:val="006C5CA3"/>
    <w:rsid w:val="006D492E"/>
    <w:rsid w:val="006F7A31"/>
    <w:rsid w:val="00710A65"/>
    <w:rsid w:val="00717755"/>
    <w:rsid w:val="0073420C"/>
    <w:rsid w:val="00740A18"/>
    <w:rsid w:val="00777B2A"/>
    <w:rsid w:val="007A5267"/>
    <w:rsid w:val="007B1558"/>
    <w:rsid w:val="0084672A"/>
    <w:rsid w:val="00854E99"/>
    <w:rsid w:val="008B7C15"/>
    <w:rsid w:val="008C6262"/>
    <w:rsid w:val="00917077"/>
    <w:rsid w:val="00933A74"/>
    <w:rsid w:val="00950051"/>
    <w:rsid w:val="009563ED"/>
    <w:rsid w:val="00972A42"/>
    <w:rsid w:val="00976383"/>
    <w:rsid w:val="00982318"/>
    <w:rsid w:val="00987EBD"/>
    <w:rsid w:val="00993BB4"/>
    <w:rsid w:val="009A382D"/>
    <w:rsid w:val="009D0395"/>
    <w:rsid w:val="009F0DE6"/>
    <w:rsid w:val="00A11495"/>
    <w:rsid w:val="00A117C0"/>
    <w:rsid w:val="00A252A7"/>
    <w:rsid w:val="00A37FB2"/>
    <w:rsid w:val="00A40F89"/>
    <w:rsid w:val="00A47A27"/>
    <w:rsid w:val="00A500F5"/>
    <w:rsid w:val="00A54345"/>
    <w:rsid w:val="00A63152"/>
    <w:rsid w:val="00A912F0"/>
    <w:rsid w:val="00A94555"/>
    <w:rsid w:val="00AA148B"/>
    <w:rsid w:val="00AB44CB"/>
    <w:rsid w:val="00AE19D8"/>
    <w:rsid w:val="00AE5697"/>
    <w:rsid w:val="00B04530"/>
    <w:rsid w:val="00B25A2E"/>
    <w:rsid w:val="00B57274"/>
    <w:rsid w:val="00B7770A"/>
    <w:rsid w:val="00BA1922"/>
    <w:rsid w:val="00BA7768"/>
    <w:rsid w:val="00BD28CB"/>
    <w:rsid w:val="00BF62F7"/>
    <w:rsid w:val="00C15A33"/>
    <w:rsid w:val="00C55883"/>
    <w:rsid w:val="00C63446"/>
    <w:rsid w:val="00C85D7F"/>
    <w:rsid w:val="00C96018"/>
    <w:rsid w:val="00CB17F4"/>
    <w:rsid w:val="00CD21EC"/>
    <w:rsid w:val="00D20E9E"/>
    <w:rsid w:val="00D216F8"/>
    <w:rsid w:val="00D25DDC"/>
    <w:rsid w:val="00D50EFC"/>
    <w:rsid w:val="00D6372B"/>
    <w:rsid w:val="00D66C9A"/>
    <w:rsid w:val="00D9063F"/>
    <w:rsid w:val="00D9105D"/>
    <w:rsid w:val="00DA2A43"/>
    <w:rsid w:val="00DA3B2D"/>
    <w:rsid w:val="00DB0AF5"/>
    <w:rsid w:val="00DE2A30"/>
    <w:rsid w:val="00E13325"/>
    <w:rsid w:val="00E254CC"/>
    <w:rsid w:val="00E456FA"/>
    <w:rsid w:val="00E53AA5"/>
    <w:rsid w:val="00EA0668"/>
    <w:rsid w:val="00ED5F36"/>
    <w:rsid w:val="00EE4E33"/>
    <w:rsid w:val="00F07104"/>
    <w:rsid w:val="00F13924"/>
    <w:rsid w:val="00F33FC9"/>
    <w:rsid w:val="00F3420E"/>
    <w:rsid w:val="00F472D4"/>
    <w:rsid w:val="00F83C1E"/>
    <w:rsid w:val="00FB098C"/>
    <w:rsid w:val="00FC6E4D"/>
    <w:rsid w:val="03DF7418"/>
    <w:rsid w:val="06847653"/>
    <w:rsid w:val="0A9E7732"/>
    <w:rsid w:val="0DB62289"/>
    <w:rsid w:val="10E761EC"/>
    <w:rsid w:val="1A8858A6"/>
    <w:rsid w:val="1B2C2B66"/>
    <w:rsid w:val="1C2329E0"/>
    <w:rsid w:val="22B42C1E"/>
    <w:rsid w:val="2D1A3EAE"/>
    <w:rsid w:val="2DC0156A"/>
    <w:rsid w:val="2E6078D7"/>
    <w:rsid w:val="33AE23C2"/>
    <w:rsid w:val="346D3978"/>
    <w:rsid w:val="34A25859"/>
    <w:rsid w:val="375925C8"/>
    <w:rsid w:val="38A95DEE"/>
    <w:rsid w:val="3DF41CAC"/>
    <w:rsid w:val="3FD96A4D"/>
    <w:rsid w:val="495D3886"/>
    <w:rsid w:val="4A9626EF"/>
    <w:rsid w:val="4B8464FE"/>
    <w:rsid w:val="507460A8"/>
    <w:rsid w:val="53C20EA7"/>
    <w:rsid w:val="55A308A9"/>
    <w:rsid w:val="56607071"/>
    <w:rsid w:val="5B6B6264"/>
    <w:rsid w:val="5CF43EF6"/>
    <w:rsid w:val="5DD7259C"/>
    <w:rsid w:val="641431A8"/>
    <w:rsid w:val="691C6173"/>
    <w:rsid w:val="6B572D36"/>
    <w:rsid w:val="7AFD715D"/>
    <w:rsid w:val="7B8E7900"/>
    <w:rsid w:val="7C2E1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qFormat/>
    <w:uiPriority w:val="0"/>
  </w:style>
  <w:style w:type="character" w:styleId="9">
    <w:name w:val="Hyperlink"/>
    <w:basedOn w:val="7"/>
    <w:qFormat/>
    <w:uiPriority w:val="0"/>
    <w:rPr>
      <w:color w:val="333333"/>
      <w:u w:val="none"/>
    </w:rPr>
  </w:style>
  <w:style w:type="character" w:customStyle="1" w:styleId="10">
    <w:name w:val="日期 Char"/>
    <w:basedOn w:val="7"/>
    <w:link w:val="2"/>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Z:\&#21306;&#27665;&#23447;&#23616;\&#21306;&#27665;&#23447;&#21457;\&#35199;&#27665;&#23447;&#23616;&#25991;&#20214;&#27169;&#26495;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51A2A2"/>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西民宗局文件模板1</Template>
  <Company>微软中国</Company>
  <Pages>2</Pages>
  <Words>466</Words>
  <Characters>206</Characters>
  <Lines>1</Lines>
  <Paragraphs>1</Paragraphs>
  <TotalTime>4</TotalTime>
  <ScaleCrop>false</ScaleCrop>
  <LinksUpToDate>false</LinksUpToDate>
  <CharactersWithSpaces>671</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2019-04-23T01:40:00Z</dcterms:created>
  <dc:creator>Administrator</dc:creator>
  <cp:lastModifiedBy>夏飞燕</cp:lastModifiedBy>
  <cp:lastPrinted>2021-06-18T03:40:00Z</cp:lastPrinted>
  <dcterms:modified xsi:type="dcterms:W3CDTF">2021-07-06T03:27:10Z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