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1640" w:type="dxa"/>
        <w:jc w:val="center"/>
        <w:tblCellSpacing w:w="15" w:type="dxa"/>
        <w:tblInd w:w="-16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blCellSpacing w:w="15" w:type="dxa"/>
          <w:jc w:val="center"/>
        </w:trPr>
        <w:tc>
          <w:tcPr>
            <w:tcW w:w="11580" w:type="dxa"/>
            <w:shd w:val="clear" w:color="auto" w:fill="auto"/>
            <w:tcMar>
              <w:top w:w="150" w:type="dxa"/>
              <w:bottom w:w="150" w:type="dxa"/>
            </w:tcMar>
            <w:vAlign w:val="center"/>
          </w:tcPr>
          <w:p>
            <w:pPr>
              <w:keepNext w:val="0"/>
              <w:keepLines w:val="0"/>
              <w:widowControl/>
              <w:suppressLineNumbers w:val="0"/>
              <w:spacing w:line="240" w:lineRule="auto"/>
              <w:jc w:val="center"/>
              <w:rPr>
                <w:rFonts w:ascii="微软雅黑" w:hAnsi="微软雅黑" w:eastAsia="微软雅黑" w:cs="微软雅黑"/>
                <w:b/>
                <w:color w:val="2A77A7"/>
                <w:sz w:val="36"/>
                <w:szCs w:val="36"/>
              </w:rPr>
            </w:pPr>
            <w:r>
              <w:rPr>
                <w:rFonts w:hint="eastAsia" w:ascii="微软雅黑" w:hAnsi="微软雅黑" w:eastAsia="微软雅黑" w:cs="微软雅黑"/>
                <w:b/>
                <w:color w:val="2A77A7"/>
                <w:kern w:val="0"/>
                <w:sz w:val="44"/>
                <w:szCs w:val="44"/>
                <w:lang w:val="en-US" w:eastAsia="zh-CN" w:bidi="ar"/>
              </w:rPr>
              <w:t xml:space="preserve">中华人民共和国商标法（2019年修正）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15" w:type="dxa"/>
          <w:jc w:val="center"/>
        </w:trPr>
        <w:tc>
          <w:tcPr>
            <w:tcW w:w="11580" w:type="dxa"/>
            <w:shd w:val="clear" w:color="auto" w:fill="auto"/>
            <w:vAlign w:val="center"/>
          </w:tcPr>
          <w:p>
            <w:pPr>
              <w:jc w:val="center"/>
              <w:rPr>
                <w:rFonts w:hint="default" w:ascii="Arial" w:hAnsi="Arial" w:cs="Arial"/>
                <w:color w:val="000000"/>
                <w:sz w:val="18"/>
                <w:szCs w:val="18"/>
              </w:rPr>
            </w:pPr>
          </w:p>
        </w:tc>
      </w:tr>
    </w:tbl>
    <w:p>
      <w:pPr>
        <w:rPr>
          <w:vanish/>
          <w:sz w:val="24"/>
          <w:szCs w:val="24"/>
        </w:rPr>
      </w:pPr>
    </w:p>
    <w:tbl>
      <w:tblPr>
        <w:tblStyle w:val="4"/>
        <w:tblW w:w="11640" w:type="dxa"/>
        <w:jc w:val="center"/>
        <w:tblCellSpacing w:w="0" w:type="dxa"/>
        <w:tblInd w:w="-16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jc w:val="center"/>
        </w:trPr>
        <w:tc>
          <w:tcPr>
            <w:tcW w:w="11640" w:type="dxa"/>
            <w:shd w:val="clear" w:color="auto" w:fill="auto"/>
            <w:tcMar>
              <w:top w:w="300" w:type="dxa"/>
              <w:bottom w:w="300" w:type="dxa"/>
            </w:tcMar>
            <w:vAlign w:val="top"/>
          </w:tcPr>
          <w:tbl>
            <w:tblPr>
              <w:tblStyle w:val="4"/>
              <w:tblW w:w="10500" w:type="dxa"/>
              <w:jc w:val="center"/>
              <w:tblCellSpacing w:w="0" w:type="dxa"/>
              <w:tblInd w:w="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jc w:val="center"/>
              </w:trPr>
              <w:tc>
                <w:tcPr>
                  <w:tcW w:w="1050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8"/>
                      <w:szCs w:val="28"/>
                    </w:rPr>
                  </w:pPr>
                  <w:bookmarkStart w:id="0" w:name="_GoBack"/>
                  <w:bookmarkEnd w:id="0"/>
                  <w:r>
                    <w:rPr>
                      <w:rFonts w:hint="eastAsia" w:ascii="宋体" w:hAnsi="宋体" w:eastAsia="宋体" w:cs="宋体"/>
                      <w:b/>
                      <w:color w:val="000000"/>
                      <w:kern w:val="0"/>
                      <w:sz w:val="28"/>
                      <w:szCs w:val="28"/>
                      <w:lang w:val="en-US" w:eastAsia="zh-CN" w:bidi="ar"/>
                    </w:rPr>
                    <w:t>中华人民共和国商标法</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（1982年8月23日第五届全国人民代表大会常务委员会第二十四次会议通过 根据1993年2月22日第七届全国人民代表大会常务委员会第三十次会议《关于修改〈中华人民共和国商标法〉的决定》第一次修正 根据2001年10月27日第九届全国人民代表大会常务委员会第二十四次会议《关于修改〈中华人民共和国商标法〉的决定》第二次修正 根据2013年8月30日第十二届全国人民代表大会常务委员会第四次会议《关于修改〈中华人民共和国商标法〉的决定》第三次修正 根据2019年4月23日第十三届全国人民代表大会常务委员会第十次会议《关于修改〈中华人民共和国建筑法〉等八部法律的决定》第四次修正）</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br w:type="textWrapping"/>
                  </w:r>
                  <w:r>
                    <w:rPr>
                      <w:rFonts w:hint="eastAsia" w:ascii="宋体" w:hAnsi="宋体" w:eastAsia="宋体" w:cs="宋体"/>
                      <w:b/>
                      <w:color w:val="000000"/>
                      <w:kern w:val="0"/>
                      <w:sz w:val="28"/>
                      <w:szCs w:val="28"/>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br w:type="textWrapping"/>
                  </w:r>
                  <w:r>
                    <w:rPr>
                      <w:rFonts w:hint="eastAsia" w:ascii="宋体" w:hAnsi="宋体" w:eastAsia="宋体" w:cs="宋体"/>
                      <w:color w:val="000000"/>
                      <w:kern w:val="0"/>
                      <w:sz w:val="28"/>
                      <w:szCs w:val="28"/>
                      <w:lang w:val="en-US" w:eastAsia="zh-CN" w:bidi="ar"/>
                    </w:rPr>
                    <w:t>    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第二章 商标注册的申请</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第三章 商标注册的审查和核准</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第四章 注册商标的续展、变更、转让和使用许可</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第五章 注册商标的无效宣告</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第六章 商标使用的管理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第七章 注册商标专用权的保护</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8"/>
                      <w:szCs w:val="28"/>
                    </w:rPr>
                  </w:pPr>
                  <w:r>
                    <w:rPr>
                      <w:rFonts w:hint="eastAsia" w:ascii="宋体" w:hAnsi="宋体" w:eastAsia="宋体" w:cs="宋体"/>
                      <w:b/>
                      <w:color w:val="000000"/>
                      <w:kern w:val="0"/>
                      <w:sz w:val="28"/>
                      <w:szCs w:val="28"/>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第一条 为了加强商标管理，保护商标专用权，促使生产、经营者保证商品和服务质量，维护商标信誉，以保障消费者和生产、经营者的利益，促进社会主义市场经济的发展，特制定本法。</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第二条 国务院工商行政管理部门商标局主管全国商标注册和管理的工作。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国务院工商行政管理部门设立商标评审委员会，负责处理商标争议事宜。</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第三条 经商标局核准注册的商标为注册商标，包括商品商标、服务商标和集体商标、证明商标；商标注册人享有商标专用权，受法律保护。</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本法所称集体商标，是指以团体、协会或者其他组织名义注册，供该组织成员在商事活动中使用，以表明使用者在该组织中的成员资格的标志。</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本法所称证明商标，是指由对某种商品或者服务具有监督能力的组织所控制，而由该组织以外的单位或者个人使用于其商品或者服务，用以证明该商品或者服务的原产地、原料、制造方法、质量或者其他特定品质的标志。</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集体商标、证明商标注册和管理的特殊事项，由国务院工商行政管理部门规定。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第四条 自然人、法人或者其他组织在生产经营活动中，对其商品或者服务需要取得商标专用权的，应当向商标局申请商标注册。不以使用为目的的恶意商标注册申请，应当予以驳回。</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本法有关商品商标的规定，适用于服务商标。</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第五条 两个以上的自然人、法人或者其他组织可以共同向商标局申请注册同一商标，共同享有和行使该商标专用权。</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第六条 法律、行政法规规定必须使用注册商标的商品，必须申请商标注册，未经核准注册的，不得在市场销售。</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第七条 申请注册和使用商标，应当遵循诚实信用原则。</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商标使用人应当对其使用商标的商品质量负责。各级工商行政管理部门应当通过商标管理，制止欺骗消费者的行为。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第八条 任何能够将自然人、法人或者其他组织的商品与他人的商品区别开的标志，包括文字、图形、字母、数字、三维标志、颜色组合和声音等，以及上述要素的组合，均可以作为商标申请注册。</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第九条 申请注册的商标，应当有显著特征，便于识别，并不得与他人在先取得的合法权利相冲突。</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商标注册人有权标明“注册商标”或者注册标记。</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第十条 下列标志不得作为商标使用：</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（一）同中华人民共和国的国家名称、国旗、国徽、国歌、军旗、军徽、军歌、勋章等相同或者近似的，以及同中央国家机关的名称、标志、所在地特定地点的名称或者标志性建筑物的名称、图形相同的；</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（二）同外国的国家名称、国旗、国徽、军旗等相同或者近似的，但经该国政府同意的除外；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（三）同政府间国际组织的名称、旗帜、徽记等相同或者近似的，但经该组织同意或者不易误导公众的除外；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（四）与表明实施控制、予以保证的官方标志、检验印记相同或者近似的，但经授权的除外；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（五）同“红十字”、“红新月”的名称、标志相同或者近似的；</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（六）带有民族歧视性的；</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（七）带有欺骗性，容易使公众对商品的质量等特点或者产地产生误认的；</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（八）有害于社会主义道德风尚或者有其他不良影响的。</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县级以上行政区划的地名或者公众知晓的外国地名，不得作为商标。但是，地名具有其他含义或者作为集体商标、证明商标组成部分的除外；已经注册的使用地名的商标继续有效。</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第十一条 下列标志不得作为商标注册：</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（一）仅有本商品的通用名称、图形、型号的；</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（二）仅直接表示商品的质量、主要原料、功能、用途、重量、数量及其他特点的；</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（三）其他缺乏显著特征的。</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前款所列标志经过使用取得显著特征，并便于识别的，可以作为商标注册。</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第十二条 以三维标志申请注册商标的，仅由商品自身的性质产生的形状、为获得技术效果而需有的商品形状或者使商品具有实质性价值的形状，不得注册。</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第十三条 为相关公众所熟知的商标，持有人认为其权利受到侵害时，可以依照本法规定请求驰名商标保护。</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就相同或者类似商品申请注册的商标是复制、摹仿或者翻译他人未在中国注册的驰名商标，容易导致混淆的，不予注册并禁止使用。</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就不相同或者不相类似商品申请注册的商标是复制、摹仿或者翻译他人已经在中国注册的驰名商标，误导公众，致使该驰名商标注册人的利益可能受到损害的，不予注册并禁止使用。</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第十四条 驰名商标应当根据当事人的请求，作为处理涉及商标案件需要认定的事实进行认定。认定驰名商标应当考虑下列因素：</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（一）相关公众对该商标的知晓程度；</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（二）该商标使用的持续时间；</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（三）该商标的任何宣传工作的持续时间、程度和地理范围；</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（四）该商标作为驰名商标受保护的记录；</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（五）该商标驰名的其他因素。</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在商标注册审查、工商行政管理部门查处商标违法案件过程中，当事人依照本法第十三条规定主张权利的，商标局根据审查、处理案件的需要，可以对商标驰名情况作出认定。</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在商标争议处理过程中，当事人依照本法第十三条规定主张权利的，商标评审委员会根据处理案件的需要，可以对商标驰名情况作出认定。</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在商标民事、行政案件审理过程中，当事人依照本法第十三条规定主张权利的，最高人民法院指定的人民法院根据审理案件的需要，可以对商标驰名情况作出认定。</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生产、经营者不得将“驰名商标”字样用于商品、商品包装或者容器上，或者用于广告宣传、展览以及其他商业活动中。</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第十五条 未经授权，代理人或者代表人以自己的名义将被代理人或者被代表人的商标进行注册，被代理人或者被代表人提出异议的，不予注册并禁止使用。</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第十六条 商标中有商品的地理标志，而该商品并非来源于该标志所标示的地区，误导公众的，不予注册并禁止使用；但是，已经善意取得注册的继续有效。</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前款所称地理标志，是指标示某商品来源于某地区，该商品的特定质量、信誉或者其他特征，主要由该地区的自然因素或者人文因素所决定的标志。</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第十七条 外国人或者外国企业在中国申请商标注册的，应当按其所属国和中华人民共和国签订的协议或者共同参加的国际条约办理，或者按对等原则办理。</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第十八条 申请商标注册或者办理其他商标事宜，可以自行办理，也可以委托依法设立的商标代理机构办理。</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外国人或者外国企业在中国申请商标注册和办理其他商标事宜的，应当委托依法设立的商标代理机构办理。</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第十九条 商标代理机构应当遵循诚实信用原则，遵守法律、行政法规，按照被代理人的委托办理商标注册申请或者其他商标事宜；对在代理过程中知悉的被代理人的商业秘密，负有保密义务。</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委托人申请注册的商标可能存在本法规定不得注册情形的，商标代理机构应当明确告知委托人。</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商标代理机构知道或者应当知道委托人申请注册的商标属于本法第四条、第十五条和第三十二条规定情形的，不得接受其委托。</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商标代理机构除对其代理服务申请商标注册外，不得申请注册其他商标。</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第二十条 商标代理行业组织应当按照章程规定，严格执行吸纳会员的条件，对违反行业自律规范的会员实行惩戒。商标代理行业组织对其吸纳的会员和对会员的惩戒情况，应当及时向社会公布。</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第二十一条 商标国际注册遵循中华人民共和国缔结或者参加的有关国际条约确立的制度，具体办法由国务院规定。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8"/>
                      <w:szCs w:val="28"/>
                    </w:rPr>
                  </w:pPr>
                  <w:r>
                    <w:rPr>
                      <w:rFonts w:hint="eastAsia" w:ascii="宋体" w:hAnsi="宋体" w:eastAsia="宋体" w:cs="宋体"/>
                      <w:b/>
                      <w:color w:val="000000"/>
                      <w:kern w:val="0"/>
                      <w:sz w:val="28"/>
                      <w:szCs w:val="28"/>
                      <w:lang w:val="en-US" w:eastAsia="zh-CN" w:bidi="ar"/>
                    </w:rPr>
                    <w:t>第二章 商标注册的申请</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第二十二条 商标注册申请人应当按规定的商品分类表填报使用商标的商品类别和商品名称，提出注册申请。</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商标注册申请人可以通过一份申请就多个类别的商品申请注册同一商标。</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商标注册申请等有关文件，可以以书面方式或者数据电文方式提出。</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第二十三条 注册商标需要在核定使用范围之外的商品上取得商标专用权的，应当另行提出注册申请。</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第二十四条 注册商标需要改变其标志的，应当重新提出注册申请。</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第二十五条 商标注册申请人自其商标在外国第一次提出商标注册申请之日起六个月内，又在中国就相同商品以同一商标提出商标注册申请的，依照该外国同中国签订的协议或者共同参加的国际条约，或者按照相互承认优先权的原则，可以享有优先权。</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依照前款要求优先权的，应当在提出商标注册申请的时候提出书面声明，并且在三个月内提交第一次提出的商标注册申请文件的副本；未提出书面声明或者逾期未提交商标注册申请文件副本的，视为未要求优先权。</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第二十六条 商标在中国政府主办的或者承认的国际展览会展出的商品上首次使用的，自该商品展出之日起六个月内，该商标的注册申请人可以享有优先权。</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依照前款要求优先权的，应当在提出商标注册申请的时候提出书面声明，并且在三个月内提交展出其商品的展览会名称、在展出商品上使用该商标的证据、展出日期等证明文件；未提出书面声明或者逾期未提交证明文件的，视为未要求优先权。</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第二十七条 为申请商标注册所申报的事项和所提供的材料应当真实、准确、完整。</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8"/>
                      <w:szCs w:val="28"/>
                    </w:rPr>
                  </w:pPr>
                  <w:r>
                    <w:rPr>
                      <w:rFonts w:hint="eastAsia" w:ascii="宋体" w:hAnsi="宋体" w:eastAsia="宋体" w:cs="宋体"/>
                      <w:b/>
                      <w:color w:val="000000"/>
                      <w:kern w:val="0"/>
                      <w:sz w:val="28"/>
                      <w:szCs w:val="28"/>
                      <w:lang w:val="en-US" w:eastAsia="zh-CN" w:bidi="ar"/>
                    </w:rPr>
                    <w:t>第三章 商标注册的审查和核准</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第二十八条 对申请注册的商标，商标局应当自收到商标注册申请文件之日起九个月内审查完毕，符合本法有关规定的，予以初步审定公告。</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第二十九条 在审查过程中，商标局认为商标注册申请内容需要说明或者修正的，可以要求申请人做出说明或者修正。申请人未做出说明或者修正的，不影响商标局做出审查决定。</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第三十条 申请注册的商标，凡不符合本法有关规定或者同他人在同一种商品或者类似商品上已经注册的或者初步审定的商标相同或者近似的，由商标局驳回申请，不予公告。</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第三十一条 两个或者两个以上的商标注册申请人，在同一种商品或者类似商品上，以相同或者近似的商标申请注册的，初步审定并公告申请在先的商标；同一天申请的，初步审定并公告使用在先的商标，驳回其他人的申请，不予公告。</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第三十二条 申请商标注册不得损害他人现有的在先权利，也不得以不正当手段抢先注册他人已经使用并有一定影响的商标。</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第三十三条 对初步审定公告的商标，自公告之日起三个月内，在先权利人、利害关系人认为违反本法第十三条第二款和第三款、第十五条、第十六条第一款、第三十条、第三十一条、第三十二条规定的，或者任何人认为违反本法第四条、第十条、第十一条、第十二条、第十九条第四款规定的，可以向商标局提出异议。公告期满无异议的，予以核准注册，发给商标注册证，并予公告。</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第三十四条 对驳回申请、不予公告的商标，商标局应当书面通知商标注册申请人。商标注册申请人不服的，可以自收到通知之日起十五日内向商标评审委员会申请复审。商标评审委员会应当自收到申请之日起九个月内做出决定，并书面通知申请人。有特殊情况需要延长的，经国务院工商行政管理部门批准，可以延长三个月。当事人对商标评审委员会的决定不服的，可以自收到通知之日起三十日内向人民法院起诉。</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第三十五条 对初步审定公告的商标提出异议的，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商标局做出准予注册决定的，发给商标注册证，并予公告。异议人不服的，可以依照本法第四十四条、第四十五条的规定向商标评审委员会请求宣告该注册商标无效。</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商标评审委员会在依照前款规定进行复审的过程中，所涉及的在先权利的确定必须以人民法院正在审理或者行政机关正在处理的另一案件的结果为依据的，可以中止审查。中止原因消除后，应当恢复审查程序。</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第三十六条 法定期限届满，当事人对商标局做出的驳回申请决定、不予注册决定不申请复审或者对商标评审委员会做出的复审决定不向人民法院起诉的，驳回申请决定、不予注册决定或者复审决定生效。</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经审查异议不成立而准予注册的商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用人的恶意给商标注册人造成的损失，应当给予赔偿。</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第三十七条 对商标注册申请和商标复审申请应当及时进行审查。</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第三十八条 商标注册申请人或者注册人发现商标申请文件或者注册文件有明显错误的，可以申请更正。商标局依法在其职权范围内作出更正，并通知当事人。</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前款所称更正错误不涉及商标申请文件或者注册文件的实质性内容。</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8"/>
                      <w:szCs w:val="28"/>
                    </w:rPr>
                  </w:pPr>
                  <w:r>
                    <w:rPr>
                      <w:rFonts w:hint="eastAsia" w:ascii="宋体" w:hAnsi="宋体" w:eastAsia="宋体" w:cs="宋体"/>
                      <w:b/>
                      <w:color w:val="000000"/>
                      <w:kern w:val="0"/>
                      <w:sz w:val="28"/>
                      <w:szCs w:val="28"/>
                      <w:lang w:val="en-US" w:eastAsia="zh-CN" w:bidi="ar"/>
                    </w:rPr>
                    <w:t>第四章 注册商标的续展、变更、转让和使用许可</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第三十九 条注册商标的有效期为十年，自核准注册之日起计算。</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第四十条 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商标局应当对续展注册的商标予以公告。</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第四十一条 注册商标需要变更注册人的名义、地址或者其他注册事项的，应当提出变更申请。</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第四十二条 转让注册商标的，转让人和受让人应当签订转让协议，并共同向商标局提出申请。受让人应当保证使用该注册商标的商品质量。</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转让注册商标的，商标注册人对其在同一种商品上注册的近似的商标，或者在类似商品上注册的相同或者近似的商标，应当一并转让。</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对容易导致混淆或者有其他不良影响的转让，商标局不予核准，书面通知申请人并说明理由。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转让注册商标经核准后，予以公告。受让人自公告之日起享有商标专用权。</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第四十三条 商标注册人可以通过签订商标使用许可合同，许可他人使用其注册商标。许可人应当监督被许可人使用其注册商标的商品质量。被许可人应当保证使用该注册商标的商品质量。</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经许可使用他人注册商标的，必须在使用该注册商标的商品上标明被许可人的名称和商品产地。</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许可他人使用其注册商标的，许可人应当将其商标使用许可报商标局备案，由商标局公告。商标使用许可未经备案不得对抗善意第三人。</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8"/>
                      <w:szCs w:val="28"/>
                    </w:rPr>
                  </w:pPr>
                  <w:r>
                    <w:rPr>
                      <w:rFonts w:hint="eastAsia" w:ascii="宋体" w:hAnsi="宋体" w:eastAsia="宋体" w:cs="宋体"/>
                      <w:b/>
                      <w:color w:val="000000"/>
                      <w:kern w:val="0"/>
                      <w:sz w:val="28"/>
                      <w:szCs w:val="28"/>
                      <w:lang w:val="en-US" w:eastAsia="zh-CN" w:bidi="ar"/>
                    </w:rPr>
                    <w:t>第五章 注册商标的无效宣告</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第四十四条 已经注册的商标，违反本法第四条、第十条、第十一条、第十二条、第十九条第四款规定的，或者是以欺骗手段或者其他不正当手段取得注册的，由商标局宣告该注册商标无效；其他单位或者个人可以请求商标评审委员会宣告该注册商标无效。</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商标局做出宣告注册商标无效的决定，应当书面通知当事人。当事人对商标局的决定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其他单位或者个人请求商标评审委员会宣告注册商标无效的，商标评审委员会收到申请后，应当书面通知有关当事人，并限期提出答辩。商标评审委员会应当自收到申请之日起九个月内做出维持注册商标或者宣告注册商标无效的裁定，并书面通知当事人。有特殊情况需要延长的，经国务院工商行政管理部门批准，可以延长三个月。当事人对商标评审委员会的裁定不服的，可以自收到通知之日起三十日内向人民法院起诉。人民法院应当通知商标裁定程序的对方当事人作为第三人参加诉讼。</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第四十五条 已经注册的商标，违反本法第十三条第二款和第三款、第十五条、第十六条第一款、第三十条、第三十一条、第三十二条规定的，自商标注册之日起五年内，在先权利人或者利害关系人可以请求商标评审委员会宣告该注册商标无效。对恶意注册的，驰名商标所有人不受五年的时间限制。</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商标评审委员会收到宣告注册商标无效的申请后，应当书面通知有关当事人，并限期提出答辩。商标评审委员会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商标评审委员会在依照前款规定对无效宣告请求进行审查的过程中，所涉及的在先权利的确定必须以人民法院正在审理或者行政机关正在处理的另一案件的结果为依据的，可以中止审查。中止原因消除后，应当恢复审查程序。</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第四十六条 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第四十七条 依照本法第四十四条、第四十五条的规定宣告无效的注册商标，由商标局予以公告，该注册商标专用权视为自始即不存在。</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宣告注册商标无效的决定或者裁定，对宣告无效前人民法院做出并已执行的商标侵权案件的判决、裁定、调解书和工商行政管理部门做出并已执行的商标侵权案件的处理决定以及已经履行的商标转让或者使用许可合同不具有追溯力。但是，因商标注册人的恶意给他人造成的损失，应当给予赔偿。</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依照前款规定不返还商标侵权赔偿金、商标转让费、商标使用费，明显违反公平原则的，应当全部或者部分返还。</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8"/>
                      <w:szCs w:val="28"/>
                    </w:rPr>
                  </w:pPr>
                  <w:r>
                    <w:rPr>
                      <w:rFonts w:hint="eastAsia" w:ascii="宋体" w:hAnsi="宋体" w:eastAsia="宋体" w:cs="宋体"/>
                      <w:b/>
                      <w:color w:val="000000"/>
                      <w:kern w:val="0"/>
                      <w:sz w:val="28"/>
                      <w:szCs w:val="28"/>
                      <w:lang w:val="en-US" w:eastAsia="zh-CN" w:bidi="ar"/>
                    </w:rPr>
                    <w:t>第六章 商标使用的管理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第四十八条 本法所称商标的使用，是指将商标用于商品、商品包装或者容器以及商品交易文书上，或者将商标用于广告宣传、展览以及其他商业活动中，用于识别商品来源的行为。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第四十九条 商标注册人在使用注册商标的过程中，自行改变注册商标、注册人名义、地址或者其他注册事项的，由地方工商行政管理部门责令限期改正；期满不改正的，由商标局撤销其注册商标。</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第五十条 注册商标被撤销、被宣告无效或者期满不再续展的，自撤销、宣告无效或者注销之日起一年内，商标局对与该商标相同或者近似的商标注册申请，不予核准。</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第五十三条 违反本法第十四条第五款规定的，由地方工商行政管理部门责令改正，处十万元罚款。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第五十四条 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第五十五条 法定期限届满，当事人对商标局做出的撤销注册商标的决定不申请复审或者对商标评审委员会做出的复审决定不向人民法院起诉的，撤销注册商标的决定、复审决定生效。</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被撤销的注册商标，由商标局予以公告，该注册商标专用权自公告之日起终止。</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8"/>
                      <w:szCs w:val="28"/>
                    </w:rPr>
                  </w:pPr>
                  <w:r>
                    <w:rPr>
                      <w:rFonts w:hint="eastAsia" w:ascii="宋体" w:hAnsi="宋体" w:eastAsia="宋体" w:cs="宋体"/>
                      <w:b/>
                      <w:color w:val="000000"/>
                      <w:kern w:val="0"/>
                      <w:sz w:val="28"/>
                      <w:szCs w:val="28"/>
                      <w:lang w:val="en-US" w:eastAsia="zh-CN" w:bidi="ar"/>
                    </w:rPr>
                    <w:t>第七章 注册商标专用权的保护</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第五十六条 注册商标的专用权，以核准注册的商标和核定使用的商品为限。</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第五十七条 有下列行为之一的，均属侵犯注册商标专用权：</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（一）未经商标注册人的许可，在同一种商品上使用与其注册商标相同的商标的；</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（二）未经商标注册人的许可，在同一种商品上使用与其注册商标近似的商标，或者在类似商品上使用与其注册商标相同或者近似的商标，容易导致混淆的；</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（三）销售侵犯注册商标专用权的商品的；</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（四）伪造、擅自制造他人注册商标标识或者销售伪造、擅自制造的注册商标标识的；</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（五）未经商标注册人同意，更换其注册商标并将该更换商标的商品又投入市场的；</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（六）故意为侵犯他人商标专用权行为提供便利条件，帮助他人实施侵犯商标专用权行为的；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（七）给他人的注册商标专用权造成其他损害的。</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第五十八条 将他人注册商标、未注册的驰名商标作为企业名称中的字号使用，误导公众，构成不正当竞争行为的，依照《中华人民共和国反不正当竞争法》处理。</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第五十九条 注册商标中含有的本商品的通用名称、图形、型号，或者直接表示商品的质量、主要原料、功能、用途、重量、数量及其他特点，或者含有的地名，注册商标专用权人无权禁止他人正当使用。</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三维标志注册商标中含有的商品自身的性质产生的形状、为获得技术效果而需有的商品形状或者使商品具有实质性价值的形状，注册商标专用权人无权禁止他人正当使用。</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商标注册人申请商标注册前，他人已经在同一种商品或者类似商品上先于商标注册人使用与注册商标相同或者近似并有一定影响的商标的，注册商标专用权人无权禁止该使用人在原使用范围内继续使用该商标，但可以要求其附加适当区别标识。</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第六十条 有本法第五十七条所列侵犯注册商标专用权行为之一，引起纠纷的，由当事人协商解决；不愿协商或者协商不成的，商标注册人或者利害关系人可以向人民法院起诉，也可以请求工商行政管理部门处理。</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第六十一条 对侵犯注册商标专用权的行为，工商行政管理部门有权依法查处；涉嫌犯罪的，应当及时移送司法机关依法处理。</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第六十二条 县级以上工商行政管理部门根据已经取得的违法嫌疑证据或者举报，对涉嫌侵犯他人注册商标专用权的行为进行查处时，可以行使下列职权：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（一）询问有关当事人，调查与侵犯他人注册商标专用权有关的情况；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（二）查阅、复制当事人与侵权活动有关的合同、发票、账簿以及其他有关资料；</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（三）对当事人涉嫌从事侵犯他人注册商标专用权活动的场所实施现场检查；</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（四）检查与侵权活动有关的物品；对有证据证明是侵犯他人注册商标专用权的物品，可以查封或者扣押。</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工商行政管理部门依法行使前款规定的职权时，当事人应当予以协助、配合，不得拒绝、阻挠。</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在查处商标侵权案件过程中，对商标权属存在争议或者权利人同时向人民法院提起商标侵权诉讼的，工商行政管理部门可以中止案件的查处。中止原因消除后，应当恢复或者终结案件查处程序。</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第六十三条 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五倍以下确定赔偿数额。赔偿数额应当包括权利人为制止侵权行为所支付的合理开支。</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权利人因被侵权所受到的实际损失、侵权人因侵权所获得的利益、注册商标许可使用费难以确定的，由人民法院根据侵权行为的情节判决给予五百万元以下的赔偿。</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人民法院审理商标纠纷案件，应权利人请求，对属于假冒注册商标的商品，除特殊情况外，责令销毁；对主要用于制造假冒注册商标的商品的材料、工具，责令销毁，且不予补偿；或者在特殊情况下，责令禁止前述材料、工具进入商业渠道，且不予补偿。</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假冒注册商标的商品不得在仅去除假冒注册商标后进入商业渠道。</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第六十四条 注册商标专用权人请求赔偿，被控侵权人以注册商标专用权人未使用注册商标提出抗辩的，人民法院可以要求注册商标专用权人提供此前三年内实际使用该注册商标的证据。注册商标专用权人不能证明此前三年内实际使用过该注册商标，也不能证明因侵权行为受到其他损失的，被控侵权人不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销售不知道是侵犯注册商标专用权的商品，能证明该商品是自己合法取得并说明提供者的，不承担赔偿责任。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第六十五条 商标注册人或者利害关系人有证据证明他人正在实施或者即将实施侵犯其注册商标专用权的行为，如不及时制止将会使其合法权益受到难以弥补的损害的，可以依法在起诉前向人民法院申请采取责令停止有关行为和财产保全的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第六十六条 为制止侵权行为，在证据可能灭失或者以后难以取得的情况下，商标注册人或者利害关系人可以依法在起诉前向人民法院申请保全证据。</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第六十七条 未经商标注册人许可，在同一种商品上使用与其注册商标相同的商标，构成犯罪的，除赔偿被侵权人的损失外，依法追究刑事责任。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伪造、擅自制造他人注册商标标识或者销售伪造、擅自制造的注册商标标识，构成犯罪的，除赔偿被侵权人的损失外，依法追究刑事责任。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销售明知是假冒注册商标的商品，构成犯罪的，除赔偿被侵权人的损失外，依法追究刑事责任。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第六十八条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（一）办理商标事宜过程中，伪造、变造或者使用伪造、变造的法律文件、印章、签名的；</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（二）以诋毁其他商标代理机构等手段招徕商标代理业务或者以其他不正当手段扰乱商标代理市场秩序的；</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（三）违反本法第四条、第十九条第三款和第四款规定的。</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商标代理机构有前款规定行为的，由工商行政管理部门记入信用档案；情节严重的，商标局、商标评审委员会并可以决定停止受理其办理商标代理业务，予以公告。</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商标代理机构违反诚实信用原则，侵害委托人合法利益的，应当依法承担民事责任，并由商标代理行业组织按照章程规定予以惩戒。</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对恶意申请商标注册的，根据情节给予警告、罚款等行政处罚；对恶意提起商标诉讼的，由人民法院依法给予处罚。</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第六十九条 从事商标注册、管理和复审工作的国家机关工作人员必须秉公执法，廉洁自律，忠于职守，文明服务。</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商标局、商标评审委员会以及从事商标注册、管理和复审工作的国家机关工作人员不得从事商标代理业务和商品生产经营活动。</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第七十条 工商行政管理部门应当建立健全内部监督制度，对负责商标注册、管理和复审工作的国家机关工作人员执行法律、行政法规和遵守纪律的情况，进行监督检查。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第七十一条 从事商标注册、管理和复审工作的国家机关工作人员玩忽职守、滥用职权、徇私舞弊，违法办理商标注册、管理和复审事项，收受当事人财物，牟取不正当利益，构成犯罪的，依法追究刑事责任；尚不构成犯罪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000000"/>
                      <w:sz w:val="28"/>
                      <w:szCs w:val="28"/>
                    </w:rPr>
                  </w:pPr>
                  <w:r>
                    <w:rPr>
                      <w:rFonts w:hint="eastAsia" w:ascii="宋体" w:hAnsi="宋体" w:eastAsia="宋体" w:cs="宋体"/>
                      <w:b/>
                      <w:color w:val="000000"/>
                      <w:kern w:val="0"/>
                      <w:sz w:val="28"/>
                      <w:szCs w:val="28"/>
                      <w:lang w:val="en-US" w:eastAsia="zh-CN" w:bidi="ar"/>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第七十二条 申请商标注册和办理其他商标事宜的，应当缴纳费用，具体收费标准另定。</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第七十三条 本法自1983年3月1日起施行。1963年4月10日国务院公布的《商标管理条例》同时废止；其他有关商标管理的规定，凡与本法抵触的，同时失效。</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000000"/>
                      <w:sz w:val="22"/>
                      <w:szCs w:val="22"/>
                    </w:rPr>
                  </w:pPr>
                  <w:r>
                    <w:rPr>
                      <w:rFonts w:hint="eastAsia" w:ascii="宋体" w:hAnsi="宋体" w:eastAsia="宋体" w:cs="宋体"/>
                      <w:color w:val="000000"/>
                      <w:kern w:val="0"/>
                      <w:sz w:val="28"/>
                      <w:szCs w:val="28"/>
                      <w:lang w:val="en-US" w:eastAsia="zh-CN" w:bidi="ar"/>
                    </w:rPr>
                    <w:t>    本法施行前已经注册的商标继续有效。</w:t>
                  </w:r>
                </w:p>
              </w:tc>
            </w:tr>
          </w:tbl>
          <w:p>
            <w:pPr>
              <w:jc w:val="center"/>
              <w:rPr>
                <w:rFonts w:hint="default" w:ascii="Arial" w:hAnsi="Arial" w:cs="Arial"/>
                <w:color w:val="000000"/>
                <w:sz w:val="15"/>
                <w:szCs w:val="15"/>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A680D"/>
    <w:rsid w:val="122269BB"/>
    <w:rsid w:val="15BB24FA"/>
    <w:rsid w:val="1B0A6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昆明市西山区党政机关单位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2020-07-08T09:07:00Z</dcterms:created>
  <dc:creator>NTKO</dc:creator>
  <cp:lastModifiedBy>Administrator</cp:lastModifiedBy>
  <cp:lastPrinted>2020-07-08T23:40:00Z</cp:lastPrinted>
  <dcterms:modified xsi:type="dcterms:W3CDTF">2020-11-13T02:13:47Z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