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关于政协西山区第九届四次会议第035号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关于观音山公墓增扩荒坡荒地</w:t>
      </w:r>
      <w:r>
        <w:rPr>
          <w:rFonts w:hint="default" w:ascii="Times New Roman" w:hAnsi="Times New Roman" w:eastAsia="仿宋" w:cs="Times New Roman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为适应殡葬改革的需要，解决城市居民骨灰安葬问题，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1992年西山区民政局、西山区观音山社区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（原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西山区碧鸡镇观音山办事处)共同投资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建设观音山公墓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301.19亩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。进过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</w:t>
      </w:r>
      <w:r>
        <w:rPr>
          <w:rFonts w:hint="default" w:ascii="Times New Roman" w:hAnsi="Times New Roman" w:eastAsia="仿宋" w:cs="Times New Roman"/>
          <w:sz w:val="32"/>
          <w:szCs w:val="32"/>
        </w:rPr>
        <w:t>已开发墓穴位32943个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落葬墓位数20695个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自2001年以来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，共上缴税收、管理费等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，观音山社区居民分红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余亿元，</w:t>
      </w:r>
      <w:r>
        <w:rPr>
          <w:rFonts w:hint="default" w:ascii="Times New Roman" w:hAnsi="Times New Roman" w:eastAsia="仿宋" w:cs="Times New Roman"/>
          <w:sz w:val="32"/>
          <w:szCs w:val="32"/>
        </w:rPr>
        <w:t>向政府缴纳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元的非税收入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向社会福利事业、慈善事业捐赠了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元，累计安排435人次就业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。无论从经济效益还是社会效益来看，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" w:cs="Times New Roman"/>
          <w:sz w:val="32"/>
          <w:szCs w:val="32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多年来的连续</w:t>
      </w:r>
      <w:r>
        <w:rPr>
          <w:rFonts w:hint="default" w:ascii="Times New Roman" w:hAnsi="Times New Roman" w:eastAsia="仿宋" w:cs="Times New Roman"/>
          <w:sz w:val="32"/>
          <w:szCs w:val="32"/>
        </w:rPr>
        <w:t>开发，可使用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的土地已近枯竭，目前可使用的土地仅有</w:t>
      </w:r>
      <w:r>
        <w:rPr>
          <w:rFonts w:hint="default" w:ascii="Times New Roman" w:hAnsi="Times New Roman" w:eastAsia="仿宋" w:cs="Times New Roman"/>
          <w:sz w:val="32"/>
          <w:szCs w:val="32"/>
        </w:rPr>
        <w:t>26.16面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，急需扩建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公墓管理办法》（民事发〔1992〕24号）第七条：建立公墓，需向公墓主管部门提出申请。第八条：申请时，应向公墓主管部门提交下列材料：（一）建立公墓的申请报告；（二）城乡建设、土地、林业管理部门的审查意见；（三）建立公墓的可行性报告；（四）其他有关材料。第十条：建立经营性公墓，由建墓单位向县级民政部门提出申请，经同级人民政府审核同意，报省、自治区、直辖市民政厅（局）批准。1997年颁布的《云南省公墓管理规定》 （云南省人民政府令第44号1997-03-31）第八条：公墓应当建立在荒山或者不宜耕种的瘠地上。但是，下列范围内的荒山、瘠地不得建立公墓：（一）风景名胜区和自然保护区；（二）水库、湖泊、河流附近；（三）铁路和国道、省道及其他干线公路两侧。第十二条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初步与自然资源等部门对接，开展报批前的咨询准备相关工作，力争用2-3年时间协助观音山公墓完成扩建审批工作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7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经营性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协助观音山公墓做好扩建报件准备工作，并积极协调区级相关职能部门，对公墓扩建给予大力支持，及时解决报批工作中存在的困难和问题，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2020年1月20日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电话：李文林  68224866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237490</wp:posOffset>
              </wp:positionH>
              <wp:positionV relativeFrom="paragraph">
                <wp:posOffset>-265430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7pt;margin-top:-20.9pt;height:21.9pt;width:62.8pt;mso-position-horizontal-relative:margin;z-index:251659264;mso-width-relative:page;mso-height-relative:page;" filled="f" stroked="f" coordsize="21600,21600" o:gfxdata="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zCYtdcAAAAIAQAA&#10;DwAAAAAAAAABACAAAAAiAAAAZHJzL2Rvd25yZXYueG1sUEsBAhQAFAAAAAgAh07iQGTXrf8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8A0630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8B68E0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E8348A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1A749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