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Bdr>
          <w:top w:val="none" w:color="auto" w:sz="0" w:space="1"/>
          <w:left w:val="none" w:color="auto" w:sz="0" w:space="4"/>
          <w:bottom w:val="none" w:color="auto" w:sz="0" w:space="1"/>
          <w:right w:val="none" w:color="auto" w:sz="0" w:space="4"/>
        </w:pBdr>
        <w:adjustRightInd w:val="0"/>
        <w:snapToGrid w:val="0"/>
        <w:spacing w:line="560" w:lineRule="exact"/>
        <w:jc w:val="center"/>
        <w:rPr>
          <w:rFonts w:ascii="Times New Roman" w:hAnsi="Times New Roman" w:eastAsia="方正小标宋简体"/>
          <w:snapToGrid w:val="0"/>
          <w:color w:val="000000" w:themeColor="text1"/>
          <w:sz w:val="44"/>
          <w:szCs w:val="44"/>
        </w:rPr>
      </w:pPr>
      <w:r>
        <w:rPr>
          <w:rFonts w:ascii="Times New Roman" w:hAnsi="Times New Roman" w:eastAsia="方正小标宋简体"/>
          <w:snapToGrid w:val="0"/>
          <w:color w:val="000000" w:themeColor="text1"/>
          <w:sz w:val="44"/>
          <w:szCs w:val="44"/>
        </w:rPr>
        <w:t>昆明市西山区2020年上半年国民经济和</w:t>
      </w:r>
    </w:p>
    <w:p>
      <w:pPr>
        <w:pBdr>
          <w:top w:val="none" w:color="auto" w:sz="0" w:space="1"/>
          <w:left w:val="none" w:color="auto" w:sz="0" w:space="4"/>
          <w:bottom w:val="none" w:color="auto" w:sz="0" w:space="1"/>
          <w:right w:val="none" w:color="auto" w:sz="0" w:space="4"/>
        </w:pBdr>
        <w:adjustRightInd w:val="0"/>
        <w:snapToGrid w:val="0"/>
        <w:spacing w:line="560" w:lineRule="exact"/>
        <w:jc w:val="center"/>
        <w:rPr>
          <w:rFonts w:ascii="Times New Roman" w:hAnsi="Times New Roman" w:eastAsia="方正小标宋简体"/>
          <w:snapToGrid w:val="0"/>
          <w:color w:val="000000" w:themeColor="text1"/>
          <w:sz w:val="44"/>
          <w:szCs w:val="44"/>
        </w:rPr>
      </w:pPr>
      <w:r>
        <w:rPr>
          <w:rFonts w:ascii="Times New Roman" w:hAnsi="Times New Roman" w:eastAsia="方正小标宋简体"/>
          <w:snapToGrid w:val="0"/>
          <w:color w:val="000000" w:themeColor="text1"/>
          <w:sz w:val="44"/>
          <w:szCs w:val="44"/>
        </w:rPr>
        <w:t>社会发展计划执行情况的报告</w:t>
      </w:r>
    </w:p>
    <w:p>
      <w:pPr>
        <w:spacing w:line="560" w:lineRule="exact"/>
        <w:ind w:firstLine="640" w:firstLineChars="200"/>
        <w:rPr>
          <w:rFonts w:ascii="Times New Roman" w:hAnsi="Times New Roman" w:eastAsia="黑体"/>
          <w:snapToGrid w:val="0"/>
          <w:color w:val="000000" w:themeColor="text1"/>
          <w:sz w:val="32"/>
          <w:szCs w:val="32"/>
        </w:rPr>
      </w:pPr>
    </w:p>
    <w:p>
      <w:pPr>
        <w:pBdr>
          <w:top w:val="none" w:color="auto" w:sz="0" w:space="1"/>
          <w:left w:val="none" w:color="auto" w:sz="0" w:space="4"/>
          <w:bottom w:val="none" w:color="auto" w:sz="0" w:space="1"/>
          <w:right w:val="none" w:color="auto" w:sz="0" w:space="4"/>
        </w:pBdr>
        <w:topLinePunct/>
        <w:adjustRightInd w:val="0"/>
        <w:snapToGrid w:val="0"/>
        <w:spacing w:line="560" w:lineRule="exact"/>
        <w:ind w:firstLine="640" w:firstLineChars="200"/>
        <w:rPr>
          <w:rFonts w:ascii="Times New Roman" w:hAnsi="Times New Roman" w:eastAsia="黑体"/>
          <w:snapToGrid w:val="0"/>
          <w:color w:val="000000" w:themeColor="text1"/>
          <w:sz w:val="32"/>
          <w:szCs w:val="32"/>
          <w:lang w:val="zh-CN"/>
        </w:rPr>
      </w:pPr>
      <w:r>
        <w:rPr>
          <w:rFonts w:ascii="Times New Roman" w:hAnsi="Times New Roman" w:eastAsia="黑体"/>
          <w:snapToGrid w:val="0"/>
          <w:color w:val="000000" w:themeColor="text1"/>
          <w:sz w:val="32"/>
          <w:szCs w:val="32"/>
        </w:rPr>
        <w:t>一、上半年</w:t>
      </w:r>
      <w:r>
        <w:rPr>
          <w:rFonts w:ascii="Times New Roman" w:hAnsi="Times New Roman" w:eastAsia="黑体"/>
          <w:snapToGrid w:val="0"/>
          <w:color w:val="000000" w:themeColor="text1"/>
          <w:sz w:val="32"/>
          <w:szCs w:val="32"/>
          <w:lang w:val="zh-CN"/>
        </w:rPr>
        <w:t>国民经济和社会发展计划执行情况</w:t>
      </w:r>
    </w:p>
    <w:p>
      <w:pPr>
        <w:pBdr>
          <w:top w:val="none" w:color="auto" w:sz="0" w:space="1"/>
          <w:left w:val="none" w:color="auto" w:sz="0" w:space="4"/>
          <w:bottom w:val="none" w:color="auto" w:sz="0" w:space="1"/>
          <w:right w:val="none" w:color="auto" w:sz="0" w:space="4"/>
        </w:pBdr>
        <w:topLinePunct/>
        <w:adjustRightInd w:val="0"/>
        <w:snapToGrid w:val="0"/>
        <w:spacing w:line="560" w:lineRule="exact"/>
        <w:ind w:firstLine="640" w:firstLineChars="200"/>
        <w:rPr>
          <w:rFonts w:ascii="Times New Roman" w:hAnsi="Times New Roman" w:eastAsia="仿宋_GB2312"/>
          <w:snapToGrid w:val="0"/>
          <w:color w:val="000000" w:themeColor="text1"/>
          <w:sz w:val="32"/>
          <w:szCs w:val="32"/>
        </w:rPr>
      </w:pPr>
      <w:r>
        <w:rPr>
          <w:rFonts w:ascii="Times New Roman" w:hAnsi="Times New Roman" w:eastAsia="仿宋_GB2312"/>
          <w:snapToGrid w:val="0"/>
          <w:color w:val="000000" w:themeColor="text1"/>
          <w:sz w:val="32"/>
          <w:szCs w:val="32"/>
        </w:rPr>
        <w:t>上半年，全区紧扣全面建成小康社会目标任务，</w:t>
      </w:r>
      <w:r>
        <w:rPr>
          <w:rFonts w:ascii="Times New Roman" w:hAnsi="Times New Roman" w:eastAsia="仿宋_GB2312"/>
          <w:sz w:val="32"/>
          <w:szCs w:val="32"/>
        </w:rPr>
        <w:t>统筹兼顾疫情防控常态化和经济社会稳定发展，深入贯彻“六稳”“六保”战略部署，</w:t>
      </w:r>
      <w:r>
        <w:rPr>
          <w:rFonts w:ascii="Times New Roman" w:hAnsi="Times New Roman" w:eastAsia="仿宋_GB2312"/>
          <w:snapToGrid w:val="0"/>
          <w:color w:val="000000" w:themeColor="text1"/>
          <w:sz w:val="32"/>
          <w:szCs w:val="32"/>
        </w:rPr>
        <w:t>地区生产总值稳步回升，经</w:t>
      </w:r>
      <w:r>
        <w:rPr>
          <w:rFonts w:ascii="Times New Roman" w:hAnsi="Times New Roman" w:eastAsia="仿宋_GB2312"/>
          <w:bCs/>
          <w:snapToGrid w:val="0"/>
          <w:color w:val="000000" w:themeColor="text1"/>
          <w:sz w:val="32"/>
          <w:szCs w:val="32"/>
        </w:rPr>
        <w:t>济运行持续复苏，基本民生继续得到较好保障</w:t>
      </w:r>
      <w:r>
        <w:rPr>
          <w:rFonts w:ascii="Times New Roman" w:hAnsi="Times New Roman" w:eastAsia="仿宋_GB2312"/>
          <w:sz w:val="32"/>
          <w:szCs w:val="32"/>
        </w:rPr>
        <w:t>。1-6月，</w:t>
      </w:r>
      <w:r>
        <w:rPr>
          <w:rFonts w:ascii="Times New Roman" w:hAnsi="Times New Roman" w:eastAsia="仿宋_GB2312"/>
          <w:snapToGrid w:val="0"/>
          <w:color w:val="000000" w:themeColor="text1"/>
          <w:sz w:val="32"/>
          <w:szCs w:val="32"/>
        </w:rPr>
        <w:t>城镇常住居民人均可支配收入、农村常住居民人均可支配收入与限额以上社会消费品零售总额稳步回升，其余多项指标回暖态势明显。</w:t>
      </w:r>
    </w:p>
    <w:p>
      <w:pPr>
        <w:pBdr>
          <w:top w:val="none" w:color="auto" w:sz="0" w:space="1"/>
          <w:left w:val="none" w:color="auto" w:sz="0" w:space="4"/>
          <w:bottom w:val="none" w:color="auto" w:sz="0" w:space="1"/>
          <w:right w:val="none" w:color="auto" w:sz="0" w:space="4"/>
        </w:pBdr>
        <w:topLinePunct/>
        <w:adjustRightInd w:val="0"/>
        <w:snapToGrid w:val="0"/>
        <w:spacing w:line="560" w:lineRule="exact"/>
        <w:ind w:firstLine="560" w:firstLineChars="200"/>
        <w:jc w:val="center"/>
        <w:rPr>
          <w:rFonts w:ascii="Times New Roman" w:hAnsi="Times New Roman" w:eastAsia="黑体"/>
          <w:snapToGrid w:val="0"/>
          <w:sz w:val="28"/>
          <w:szCs w:val="28"/>
          <w:lang w:val="zh-CN"/>
        </w:rPr>
      </w:pPr>
      <w:r>
        <w:rPr>
          <w:rFonts w:ascii="Times New Roman" w:hAnsi="Times New Roman" w:eastAsia="黑体"/>
          <w:snapToGrid w:val="0"/>
          <w:sz w:val="28"/>
          <w:szCs w:val="28"/>
          <w:lang w:val="zh-CN"/>
        </w:rPr>
        <w:t>西山区20</w:t>
      </w:r>
      <w:r>
        <w:rPr>
          <w:rFonts w:ascii="Times New Roman" w:hAnsi="Times New Roman" w:eastAsia="黑体"/>
          <w:snapToGrid w:val="0"/>
          <w:sz w:val="28"/>
          <w:szCs w:val="28"/>
        </w:rPr>
        <w:t>20年1-6月</w:t>
      </w:r>
      <w:r>
        <w:rPr>
          <w:rFonts w:ascii="Times New Roman" w:hAnsi="Times New Roman" w:eastAsia="黑体"/>
          <w:snapToGrid w:val="0"/>
          <w:sz w:val="28"/>
          <w:szCs w:val="28"/>
          <w:lang w:val="zh-CN"/>
        </w:rPr>
        <w:t>经济和社会发展主要指标完成情况</w:t>
      </w:r>
    </w:p>
    <w:tbl>
      <w:tblPr>
        <w:tblStyle w:val="14"/>
        <w:tblW w:w="9063" w:type="dxa"/>
        <w:jc w:val="center"/>
        <w:tblInd w:w="-65" w:type="dxa"/>
        <w:tblLayout w:type="fixed"/>
        <w:tblCellMar>
          <w:top w:w="0" w:type="dxa"/>
          <w:left w:w="108" w:type="dxa"/>
          <w:bottom w:w="0" w:type="dxa"/>
          <w:right w:w="108" w:type="dxa"/>
        </w:tblCellMar>
      </w:tblPr>
      <w:tblGrid>
        <w:gridCol w:w="3085"/>
        <w:gridCol w:w="2209"/>
        <w:gridCol w:w="2050"/>
        <w:gridCol w:w="1719"/>
      </w:tblGrid>
      <w:tr>
        <w:tblPrEx>
          <w:tblLayout w:type="fixed"/>
          <w:tblCellMar>
            <w:top w:w="0" w:type="dxa"/>
            <w:left w:w="108" w:type="dxa"/>
            <w:bottom w:w="0" w:type="dxa"/>
            <w:right w:w="108" w:type="dxa"/>
          </w:tblCellMar>
        </w:tblPrEx>
        <w:trPr>
          <w:trHeight w:val="709" w:hRule="atLeast"/>
          <w:tblHeader/>
          <w:jc w:val="center"/>
        </w:trPr>
        <w:tc>
          <w:tcPr>
            <w:tcW w:w="3085" w:type="dxa"/>
            <w:tcBorders>
              <w:top w:val="single" w:color="auto" w:sz="4" w:space="0"/>
              <w:left w:val="single" w:color="auto" w:sz="4" w:space="0"/>
              <w:bottom w:val="single" w:color="auto" w:sz="4" w:space="0"/>
              <w:right w:val="single" w:color="auto" w:sz="4" w:space="0"/>
            </w:tcBorders>
            <w:vAlign w:val="center"/>
          </w:tcPr>
          <w:p>
            <w:pPr>
              <w:pBdr>
                <w:top w:val="none" w:color="auto" w:sz="0" w:space="1"/>
                <w:left w:val="none" w:color="auto" w:sz="0" w:space="4"/>
                <w:bottom w:val="none" w:color="auto" w:sz="0" w:space="1"/>
                <w:right w:val="none" w:color="auto" w:sz="0" w:space="4"/>
              </w:pBdr>
              <w:topLinePunct/>
              <w:adjustRightInd w:val="0"/>
              <w:snapToGrid w:val="0"/>
              <w:jc w:val="center"/>
              <w:rPr>
                <w:rFonts w:ascii="Times New Roman" w:hAnsi="Times New Roman" w:eastAsia="楷体_GB2312"/>
                <w:b/>
                <w:snapToGrid w:val="0"/>
                <w:sz w:val="24"/>
                <w:szCs w:val="24"/>
              </w:rPr>
            </w:pPr>
            <w:r>
              <w:rPr>
                <w:rFonts w:ascii="Times New Roman" w:hAnsi="Times New Roman" w:eastAsia="楷体_GB2312"/>
                <w:b/>
                <w:snapToGrid w:val="0"/>
                <w:sz w:val="24"/>
                <w:szCs w:val="24"/>
              </w:rPr>
              <w:t>指  标</w:t>
            </w:r>
          </w:p>
        </w:tc>
        <w:tc>
          <w:tcPr>
            <w:tcW w:w="2209" w:type="dxa"/>
            <w:tcBorders>
              <w:top w:val="single" w:color="auto" w:sz="4" w:space="0"/>
              <w:left w:val="nil"/>
              <w:bottom w:val="single" w:color="auto" w:sz="4" w:space="0"/>
              <w:right w:val="single" w:color="auto" w:sz="4" w:space="0"/>
            </w:tcBorders>
            <w:vAlign w:val="center"/>
          </w:tcPr>
          <w:p>
            <w:pPr>
              <w:pBdr>
                <w:top w:val="none" w:color="auto" w:sz="0" w:space="1"/>
                <w:left w:val="none" w:color="auto" w:sz="0" w:space="4"/>
                <w:bottom w:val="none" w:color="auto" w:sz="0" w:space="1"/>
                <w:right w:val="none" w:color="auto" w:sz="0" w:space="4"/>
              </w:pBdr>
              <w:topLinePunct/>
              <w:adjustRightInd w:val="0"/>
              <w:snapToGrid w:val="0"/>
              <w:jc w:val="center"/>
              <w:rPr>
                <w:rFonts w:ascii="Times New Roman" w:hAnsi="Times New Roman" w:eastAsia="楷体_GB2312"/>
                <w:b/>
                <w:snapToGrid w:val="0"/>
                <w:sz w:val="24"/>
                <w:szCs w:val="24"/>
              </w:rPr>
            </w:pPr>
            <w:r>
              <w:rPr>
                <w:rFonts w:ascii="Times New Roman" w:hAnsi="Times New Roman" w:eastAsia="楷体_GB2312"/>
                <w:b/>
                <w:snapToGrid w:val="0"/>
                <w:sz w:val="24"/>
                <w:szCs w:val="24"/>
              </w:rPr>
              <w:t>区人代会目标</w:t>
            </w:r>
          </w:p>
        </w:tc>
        <w:tc>
          <w:tcPr>
            <w:tcW w:w="2050" w:type="dxa"/>
            <w:tcBorders>
              <w:top w:val="single" w:color="auto" w:sz="4" w:space="0"/>
              <w:left w:val="nil"/>
              <w:bottom w:val="single" w:color="auto" w:sz="4" w:space="0"/>
              <w:right w:val="single" w:color="auto" w:sz="4" w:space="0"/>
            </w:tcBorders>
            <w:vAlign w:val="center"/>
          </w:tcPr>
          <w:p>
            <w:pPr>
              <w:pBdr>
                <w:top w:val="none" w:color="auto" w:sz="0" w:space="1"/>
                <w:left w:val="none" w:color="auto" w:sz="0" w:space="4"/>
                <w:bottom w:val="none" w:color="auto" w:sz="0" w:space="1"/>
                <w:right w:val="none" w:color="auto" w:sz="0" w:space="4"/>
              </w:pBdr>
              <w:topLinePunct/>
              <w:adjustRightInd w:val="0"/>
              <w:snapToGrid w:val="0"/>
              <w:jc w:val="center"/>
              <w:rPr>
                <w:rFonts w:ascii="Times New Roman" w:hAnsi="Times New Roman" w:eastAsia="楷体_GB2312"/>
                <w:b/>
                <w:snapToGrid w:val="0"/>
                <w:sz w:val="24"/>
                <w:szCs w:val="24"/>
              </w:rPr>
            </w:pPr>
            <w:r>
              <w:rPr>
                <w:rFonts w:ascii="Times New Roman" w:hAnsi="Times New Roman" w:eastAsia="楷体_GB2312"/>
                <w:b/>
                <w:snapToGrid w:val="0"/>
                <w:sz w:val="24"/>
                <w:szCs w:val="24"/>
              </w:rPr>
              <w:t>1-6月完成</w:t>
            </w:r>
            <w:r>
              <w:rPr>
                <w:rFonts w:hint="eastAsia" w:ascii="Times New Roman" w:hAnsi="Times New Roman" w:eastAsia="楷体_GB2312"/>
                <w:b/>
                <w:snapToGrid w:val="0"/>
                <w:sz w:val="24"/>
                <w:szCs w:val="24"/>
              </w:rPr>
              <w:t>数</w:t>
            </w:r>
          </w:p>
        </w:tc>
        <w:tc>
          <w:tcPr>
            <w:tcW w:w="1719" w:type="dxa"/>
            <w:tcBorders>
              <w:top w:val="single" w:color="auto" w:sz="4" w:space="0"/>
              <w:left w:val="nil"/>
              <w:bottom w:val="single" w:color="auto" w:sz="4" w:space="0"/>
              <w:right w:val="single" w:color="auto" w:sz="4" w:space="0"/>
            </w:tcBorders>
            <w:vAlign w:val="center"/>
          </w:tcPr>
          <w:p>
            <w:pPr>
              <w:pBdr>
                <w:top w:val="none" w:color="auto" w:sz="0" w:space="1"/>
                <w:left w:val="none" w:color="auto" w:sz="0" w:space="4"/>
                <w:bottom w:val="none" w:color="auto" w:sz="0" w:space="1"/>
                <w:right w:val="none" w:color="auto" w:sz="0" w:space="4"/>
              </w:pBdr>
              <w:topLinePunct/>
              <w:adjustRightInd w:val="0"/>
              <w:snapToGrid w:val="0"/>
              <w:jc w:val="center"/>
              <w:rPr>
                <w:rFonts w:ascii="Times New Roman" w:hAnsi="Times New Roman" w:eastAsia="楷体_GB2312"/>
                <w:b/>
                <w:snapToGrid w:val="0"/>
                <w:sz w:val="24"/>
                <w:szCs w:val="24"/>
              </w:rPr>
            </w:pPr>
            <w:r>
              <w:rPr>
                <w:rFonts w:ascii="Times New Roman" w:hAnsi="Times New Roman" w:eastAsia="楷体_GB2312"/>
                <w:b/>
                <w:snapToGrid w:val="0"/>
                <w:sz w:val="24"/>
                <w:szCs w:val="24"/>
              </w:rPr>
              <w:t>运行及超塌</w:t>
            </w:r>
          </w:p>
          <w:p>
            <w:pPr>
              <w:pBdr>
                <w:top w:val="none" w:color="auto" w:sz="0" w:space="1"/>
                <w:left w:val="none" w:color="auto" w:sz="0" w:space="4"/>
                <w:bottom w:val="none" w:color="auto" w:sz="0" w:space="1"/>
                <w:right w:val="none" w:color="auto" w:sz="0" w:space="4"/>
              </w:pBdr>
              <w:topLinePunct/>
              <w:adjustRightInd w:val="0"/>
              <w:snapToGrid w:val="0"/>
              <w:jc w:val="center"/>
              <w:rPr>
                <w:rFonts w:ascii="Times New Roman" w:hAnsi="Times New Roman" w:eastAsia="楷体_GB2312"/>
                <w:b/>
                <w:snapToGrid w:val="0"/>
                <w:sz w:val="24"/>
                <w:szCs w:val="24"/>
              </w:rPr>
            </w:pPr>
            <w:r>
              <w:rPr>
                <w:rFonts w:ascii="Times New Roman" w:hAnsi="Times New Roman" w:eastAsia="楷体_GB2312"/>
                <w:b/>
                <w:snapToGrid w:val="0"/>
                <w:sz w:val="24"/>
                <w:szCs w:val="24"/>
              </w:rPr>
              <w:t>情况</w:t>
            </w:r>
          </w:p>
        </w:tc>
      </w:tr>
      <w:tr>
        <w:tblPrEx>
          <w:tblLayout w:type="fixed"/>
          <w:tblCellMar>
            <w:top w:w="0" w:type="dxa"/>
            <w:left w:w="108" w:type="dxa"/>
            <w:bottom w:w="0" w:type="dxa"/>
            <w:right w:w="108" w:type="dxa"/>
          </w:tblCellMar>
        </w:tblPrEx>
        <w:trPr>
          <w:trHeight w:val="376" w:hRule="atLeast"/>
          <w:jc w:val="center"/>
        </w:trPr>
        <w:tc>
          <w:tcPr>
            <w:tcW w:w="3085" w:type="dxa"/>
            <w:tcBorders>
              <w:top w:val="nil"/>
              <w:left w:val="single" w:color="auto" w:sz="4" w:space="0"/>
              <w:bottom w:val="single" w:color="auto" w:sz="4" w:space="0"/>
              <w:right w:val="single" w:color="auto" w:sz="4" w:space="0"/>
            </w:tcBorders>
            <w:vAlign w:val="center"/>
          </w:tcPr>
          <w:p>
            <w:pPr>
              <w:pBdr>
                <w:top w:val="none" w:color="auto" w:sz="0" w:space="1"/>
                <w:left w:val="none" w:color="auto" w:sz="0" w:space="4"/>
                <w:bottom w:val="none" w:color="auto" w:sz="0" w:space="1"/>
                <w:right w:val="none" w:color="auto" w:sz="0" w:space="4"/>
              </w:pBdr>
              <w:topLinePunct/>
              <w:adjustRightInd w:val="0"/>
              <w:snapToGrid w:val="0"/>
              <w:rPr>
                <w:rFonts w:ascii="Times New Roman" w:hAnsi="Times New Roman" w:eastAsia="仿宋_GB2312"/>
                <w:snapToGrid w:val="0"/>
                <w:sz w:val="24"/>
                <w:szCs w:val="24"/>
              </w:rPr>
            </w:pPr>
            <w:r>
              <w:rPr>
                <w:rFonts w:ascii="Times New Roman" w:hAnsi="Times New Roman" w:eastAsia="仿宋_GB2312"/>
                <w:snapToGrid w:val="0"/>
                <w:sz w:val="24"/>
                <w:szCs w:val="24"/>
              </w:rPr>
              <w:t>一、地区生产总值</w:t>
            </w:r>
          </w:p>
        </w:tc>
        <w:tc>
          <w:tcPr>
            <w:tcW w:w="2209" w:type="dxa"/>
            <w:tcBorders>
              <w:top w:val="nil"/>
              <w:left w:val="nil"/>
              <w:bottom w:val="single" w:color="auto" w:sz="4" w:space="0"/>
              <w:right w:val="single" w:color="auto" w:sz="4" w:space="0"/>
            </w:tcBorders>
            <w:vAlign w:val="center"/>
          </w:tcPr>
          <w:p>
            <w:pPr>
              <w:pBdr>
                <w:top w:val="none" w:color="auto" w:sz="0" w:space="1"/>
                <w:left w:val="none" w:color="auto" w:sz="0" w:space="4"/>
                <w:bottom w:val="none" w:color="auto" w:sz="0" w:space="1"/>
                <w:right w:val="none" w:color="auto" w:sz="0" w:space="4"/>
              </w:pBdr>
              <w:topLinePunct/>
              <w:adjustRightInd w:val="0"/>
              <w:snapToGrid w:val="0"/>
              <w:jc w:val="center"/>
              <w:rPr>
                <w:rFonts w:ascii="Times New Roman" w:hAnsi="Times New Roman" w:eastAsia="仿宋_GB2312"/>
                <w:snapToGrid w:val="0"/>
                <w:sz w:val="24"/>
                <w:szCs w:val="24"/>
              </w:rPr>
            </w:pPr>
            <w:r>
              <w:rPr>
                <w:rFonts w:ascii="Times New Roman" w:hAnsi="Times New Roman" w:eastAsia="仿宋_GB2312"/>
                <w:snapToGrid w:val="0"/>
                <w:sz w:val="24"/>
                <w:szCs w:val="24"/>
              </w:rPr>
              <w:t>高于全市平均水平</w:t>
            </w:r>
          </w:p>
        </w:tc>
        <w:tc>
          <w:tcPr>
            <w:tcW w:w="2050" w:type="dxa"/>
            <w:tcBorders>
              <w:top w:val="nil"/>
              <w:left w:val="nil"/>
              <w:bottom w:val="single" w:color="auto" w:sz="4" w:space="0"/>
              <w:right w:val="single" w:color="auto" w:sz="4" w:space="0"/>
            </w:tcBorders>
            <w:vAlign w:val="center"/>
          </w:tcPr>
          <w:p>
            <w:pPr>
              <w:pBdr>
                <w:top w:val="none" w:color="auto" w:sz="0" w:space="1"/>
                <w:left w:val="none" w:color="auto" w:sz="0" w:space="4"/>
                <w:bottom w:val="none" w:color="auto" w:sz="0" w:space="1"/>
                <w:right w:val="none" w:color="auto" w:sz="0" w:space="4"/>
              </w:pBdr>
              <w:topLinePunct/>
              <w:adjustRightInd w:val="0"/>
              <w:snapToGrid w:val="0"/>
              <w:jc w:val="center"/>
              <w:rPr>
                <w:rFonts w:ascii="Times New Roman" w:hAnsi="Times New Roman" w:eastAsia="仿宋_GB2312"/>
                <w:snapToGrid w:val="0"/>
                <w:sz w:val="24"/>
                <w:szCs w:val="24"/>
              </w:rPr>
            </w:pPr>
            <w:r>
              <w:rPr>
                <w:rFonts w:ascii="Times New Roman" w:hAnsi="Times New Roman" w:eastAsia="仿宋_GB2312"/>
                <w:snapToGrid w:val="0"/>
                <w:sz w:val="24"/>
                <w:szCs w:val="24"/>
              </w:rPr>
              <w:t>0.6%</w:t>
            </w:r>
          </w:p>
        </w:tc>
        <w:tc>
          <w:tcPr>
            <w:tcW w:w="1719" w:type="dxa"/>
            <w:tcBorders>
              <w:top w:val="nil"/>
              <w:left w:val="nil"/>
              <w:bottom w:val="single" w:color="auto" w:sz="4" w:space="0"/>
              <w:right w:val="single" w:color="auto" w:sz="4" w:space="0"/>
            </w:tcBorders>
            <w:vAlign w:val="center"/>
          </w:tcPr>
          <w:p>
            <w:pPr>
              <w:pBdr>
                <w:top w:val="none" w:color="auto" w:sz="0" w:space="1"/>
                <w:left w:val="none" w:color="auto" w:sz="0" w:space="4"/>
                <w:bottom w:val="none" w:color="auto" w:sz="0" w:space="1"/>
                <w:right w:val="none" w:color="auto" w:sz="0" w:space="4"/>
              </w:pBdr>
              <w:topLinePunct/>
              <w:adjustRightInd w:val="0"/>
              <w:snapToGrid w:val="0"/>
              <w:jc w:val="center"/>
              <w:rPr>
                <w:rFonts w:ascii="Times New Roman" w:hAnsi="Times New Roman" w:eastAsia="仿宋_GB2312"/>
                <w:snapToGrid w:val="0"/>
                <w:sz w:val="24"/>
                <w:szCs w:val="24"/>
              </w:rPr>
            </w:pPr>
            <w:r>
              <w:rPr>
                <w:rFonts w:ascii="Times New Roman" w:hAnsi="Times New Roman" w:eastAsia="仿宋_GB2312"/>
                <w:snapToGrid w:val="0"/>
                <w:sz w:val="24"/>
                <w:szCs w:val="24"/>
              </w:rPr>
              <w:t>稳步回升</w:t>
            </w:r>
          </w:p>
        </w:tc>
      </w:tr>
      <w:tr>
        <w:tblPrEx>
          <w:tblLayout w:type="fixed"/>
          <w:tblCellMar>
            <w:top w:w="0" w:type="dxa"/>
            <w:left w:w="108" w:type="dxa"/>
            <w:bottom w:w="0" w:type="dxa"/>
            <w:right w:w="108" w:type="dxa"/>
          </w:tblCellMar>
        </w:tblPrEx>
        <w:trPr>
          <w:trHeight w:val="376" w:hRule="atLeast"/>
          <w:jc w:val="center"/>
        </w:trPr>
        <w:tc>
          <w:tcPr>
            <w:tcW w:w="3085" w:type="dxa"/>
            <w:tcBorders>
              <w:top w:val="nil"/>
              <w:left w:val="single" w:color="auto" w:sz="4" w:space="0"/>
              <w:bottom w:val="single" w:color="auto" w:sz="4" w:space="0"/>
              <w:right w:val="single" w:color="auto" w:sz="4" w:space="0"/>
            </w:tcBorders>
            <w:vAlign w:val="center"/>
          </w:tcPr>
          <w:p>
            <w:pPr>
              <w:pBdr>
                <w:top w:val="none" w:color="auto" w:sz="0" w:space="1"/>
                <w:left w:val="none" w:color="auto" w:sz="0" w:space="4"/>
                <w:bottom w:val="none" w:color="auto" w:sz="0" w:space="1"/>
                <w:right w:val="none" w:color="auto" w:sz="0" w:space="4"/>
              </w:pBdr>
              <w:topLinePunct/>
              <w:adjustRightInd w:val="0"/>
              <w:snapToGrid w:val="0"/>
              <w:jc w:val="center"/>
              <w:rPr>
                <w:rFonts w:ascii="Times New Roman" w:hAnsi="Times New Roman" w:eastAsia="仿宋_GB2312"/>
                <w:snapToGrid w:val="0"/>
                <w:sz w:val="24"/>
                <w:szCs w:val="24"/>
              </w:rPr>
            </w:pPr>
            <w:r>
              <w:rPr>
                <w:rFonts w:ascii="Times New Roman" w:hAnsi="Times New Roman" w:eastAsia="仿宋_GB2312"/>
                <w:snapToGrid w:val="0"/>
                <w:sz w:val="24"/>
                <w:szCs w:val="24"/>
              </w:rPr>
              <w:t>规模以上工业增加值</w:t>
            </w:r>
          </w:p>
        </w:tc>
        <w:tc>
          <w:tcPr>
            <w:tcW w:w="2209" w:type="dxa"/>
            <w:tcBorders>
              <w:top w:val="nil"/>
              <w:left w:val="nil"/>
              <w:bottom w:val="single" w:color="auto" w:sz="4" w:space="0"/>
              <w:right w:val="single" w:color="auto" w:sz="4" w:space="0"/>
            </w:tcBorders>
            <w:vAlign w:val="center"/>
          </w:tcPr>
          <w:p>
            <w:pPr>
              <w:pBdr>
                <w:top w:val="none" w:color="auto" w:sz="0" w:space="1"/>
                <w:left w:val="none" w:color="auto" w:sz="0" w:space="4"/>
                <w:bottom w:val="none" w:color="auto" w:sz="0" w:space="1"/>
                <w:right w:val="none" w:color="auto" w:sz="0" w:space="4"/>
              </w:pBdr>
              <w:topLinePunct/>
              <w:adjustRightInd w:val="0"/>
              <w:snapToGrid w:val="0"/>
              <w:jc w:val="center"/>
              <w:rPr>
                <w:rFonts w:ascii="Times New Roman" w:hAnsi="Times New Roman" w:eastAsia="仿宋_GB2312"/>
                <w:snapToGrid w:val="0"/>
                <w:sz w:val="24"/>
                <w:szCs w:val="24"/>
              </w:rPr>
            </w:pPr>
            <w:r>
              <w:rPr>
                <w:rFonts w:ascii="Times New Roman" w:hAnsi="Times New Roman" w:eastAsia="仿宋_GB2312"/>
                <w:snapToGrid w:val="0"/>
                <w:sz w:val="24"/>
                <w:szCs w:val="24"/>
              </w:rPr>
              <w:t>2%</w:t>
            </w:r>
          </w:p>
        </w:tc>
        <w:tc>
          <w:tcPr>
            <w:tcW w:w="2050" w:type="dxa"/>
            <w:tcBorders>
              <w:top w:val="nil"/>
              <w:left w:val="nil"/>
              <w:bottom w:val="single" w:color="auto" w:sz="4" w:space="0"/>
              <w:right w:val="single" w:color="auto" w:sz="4" w:space="0"/>
            </w:tcBorders>
            <w:vAlign w:val="center"/>
          </w:tcPr>
          <w:p>
            <w:pPr>
              <w:pBdr>
                <w:top w:val="none" w:color="auto" w:sz="0" w:space="1"/>
                <w:left w:val="none" w:color="auto" w:sz="0" w:space="4"/>
                <w:bottom w:val="none" w:color="auto" w:sz="0" w:space="1"/>
                <w:right w:val="none" w:color="auto" w:sz="0" w:space="4"/>
              </w:pBdr>
              <w:topLinePunct/>
              <w:adjustRightInd w:val="0"/>
              <w:snapToGrid w:val="0"/>
              <w:jc w:val="center"/>
              <w:rPr>
                <w:rFonts w:ascii="Times New Roman" w:hAnsi="Times New Roman" w:eastAsia="仿宋_GB2312"/>
                <w:snapToGrid w:val="0"/>
                <w:sz w:val="24"/>
                <w:szCs w:val="24"/>
              </w:rPr>
            </w:pPr>
            <w:r>
              <w:rPr>
                <w:rFonts w:ascii="Times New Roman" w:hAnsi="Times New Roman" w:eastAsia="仿宋_GB2312"/>
                <w:snapToGrid w:val="0"/>
                <w:sz w:val="24"/>
                <w:szCs w:val="24"/>
              </w:rPr>
              <w:t>-7.4%</w:t>
            </w:r>
          </w:p>
        </w:tc>
        <w:tc>
          <w:tcPr>
            <w:tcW w:w="1719" w:type="dxa"/>
            <w:tcBorders>
              <w:top w:val="nil"/>
              <w:left w:val="nil"/>
              <w:bottom w:val="single" w:color="auto" w:sz="4" w:space="0"/>
              <w:right w:val="single" w:color="auto" w:sz="4" w:space="0"/>
            </w:tcBorders>
            <w:vAlign w:val="center"/>
          </w:tcPr>
          <w:p>
            <w:pPr>
              <w:pBdr>
                <w:top w:val="none" w:color="auto" w:sz="0" w:space="1"/>
                <w:left w:val="none" w:color="auto" w:sz="0" w:space="4"/>
                <w:bottom w:val="none" w:color="auto" w:sz="0" w:space="1"/>
                <w:right w:val="none" w:color="auto" w:sz="0" w:space="4"/>
              </w:pBdr>
              <w:topLinePunct/>
              <w:adjustRightInd w:val="0"/>
              <w:snapToGrid w:val="0"/>
              <w:jc w:val="center"/>
              <w:rPr>
                <w:rFonts w:ascii="Times New Roman" w:hAnsi="Times New Roman" w:eastAsia="仿宋_GB2312"/>
                <w:snapToGrid w:val="0"/>
                <w:sz w:val="24"/>
                <w:szCs w:val="24"/>
              </w:rPr>
            </w:pPr>
            <w:r>
              <w:rPr>
                <w:rFonts w:ascii="Times New Roman" w:hAnsi="Times New Roman" w:eastAsia="仿宋_GB2312"/>
                <w:snapToGrid w:val="0"/>
                <w:sz w:val="24"/>
                <w:szCs w:val="24"/>
              </w:rPr>
              <w:t>-9.4%</w:t>
            </w:r>
          </w:p>
        </w:tc>
      </w:tr>
      <w:tr>
        <w:tblPrEx>
          <w:tblLayout w:type="fixed"/>
          <w:tblCellMar>
            <w:top w:w="0" w:type="dxa"/>
            <w:left w:w="108" w:type="dxa"/>
            <w:bottom w:w="0" w:type="dxa"/>
            <w:right w:w="108" w:type="dxa"/>
          </w:tblCellMar>
        </w:tblPrEx>
        <w:trPr>
          <w:trHeight w:val="365" w:hRule="atLeast"/>
          <w:jc w:val="center"/>
        </w:trPr>
        <w:tc>
          <w:tcPr>
            <w:tcW w:w="3085" w:type="dxa"/>
            <w:tcBorders>
              <w:left w:val="single" w:color="auto" w:sz="4" w:space="0"/>
              <w:bottom w:val="single" w:color="auto" w:sz="4" w:space="0"/>
              <w:right w:val="single" w:color="auto" w:sz="4" w:space="0"/>
            </w:tcBorders>
            <w:vAlign w:val="center"/>
          </w:tcPr>
          <w:p>
            <w:pPr>
              <w:pBdr>
                <w:top w:val="none" w:color="auto" w:sz="0" w:space="1"/>
                <w:left w:val="none" w:color="auto" w:sz="0" w:space="4"/>
                <w:bottom w:val="none" w:color="auto" w:sz="0" w:space="1"/>
                <w:right w:val="none" w:color="auto" w:sz="0" w:space="4"/>
              </w:pBdr>
              <w:topLinePunct/>
              <w:adjustRightInd w:val="0"/>
              <w:snapToGrid w:val="0"/>
              <w:jc w:val="center"/>
              <w:rPr>
                <w:rFonts w:ascii="Times New Roman" w:hAnsi="Times New Roman" w:eastAsia="仿宋_GB2312"/>
                <w:snapToGrid w:val="0"/>
                <w:sz w:val="24"/>
                <w:szCs w:val="24"/>
              </w:rPr>
            </w:pPr>
            <w:r>
              <w:rPr>
                <w:rFonts w:ascii="Times New Roman" w:hAnsi="Times New Roman" w:eastAsia="仿宋_GB2312"/>
                <w:snapToGrid w:val="0"/>
                <w:sz w:val="24"/>
                <w:szCs w:val="24"/>
              </w:rPr>
              <w:t>二、规模以上固定资产投资</w:t>
            </w:r>
          </w:p>
        </w:tc>
        <w:tc>
          <w:tcPr>
            <w:tcW w:w="2209" w:type="dxa"/>
            <w:tcBorders>
              <w:top w:val="nil"/>
              <w:left w:val="nil"/>
              <w:bottom w:val="single" w:color="auto" w:sz="4" w:space="0"/>
              <w:right w:val="single" w:color="auto" w:sz="4" w:space="0"/>
            </w:tcBorders>
            <w:vAlign w:val="center"/>
          </w:tcPr>
          <w:p>
            <w:pPr>
              <w:pBdr>
                <w:top w:val="none" w:color="auto" w:sz="0" w:space="1"/>
                <w:left w:val="none" w:color="auto" w:sz="0" w:space="4"/>
                <w:bottom w:val="none" w:color="auto" w:sz="0" w:space="1"/>
                <w:right w:val="none" w:color="auto" w:sz="0" w:space="4"/>
              </w:pBdr>
              <w:topLinePunct/>
              <w:adjustRightInd w:val="0"/>
              <w:snapToGrid w:val="0"/>
              <w:jc w:val="center"/>
              <w:rPr>
                <w:rFonts w:ascii="Times New Roman" w:hAnsi="Times New Roman" w:eastAsia="仿宋_GB2312"/>
                <w:snapToGrid w:val="0"/>
                <w:sz w:val="24"/>
                <w:szCs w:val="24"/>
              </w:rPr>
            </w:pPr>
            <w:r>
              <w:rPr>
                <w:rFonts w:ascii="Times New Roman" w:hAnsi="Times New Roman" w:eastAsia="仿宋_GB2312"/>
                <w:snapToGrid w:val="0"/>
                <w:sz w:val="24"/>
                <w:szCs w:val="24"/>
              </w:rPr>
              <w:t>6%</w:t>
            </w:r>
          </w:p>
        </w:tc>
        <w:tc>
          <w:tcPr>
            <w:tcW w:w="2050" w:type="dxa"/>
            <w:tcBorders>
              <w:top w:val="nil"/>
              <w:left w:val="nil"/>
              <w:bottom w:val="single" w:color="auto" w:sz="4" w:space="0"/>
              <w:right w:val="single" w:color="auto" w:sz="4" w:space="0"/>
            </w:tcBorders>
            <w:vAlign w:val="center"/>
          </w:tcPr>
          <w:p>
            <w:pPr>
              <w:pBdr>
                <w:top w:val="none" w:color="auto" w:sz="0" w:space="1"/>
                <w:left w:val="none" w:color="auto" w:sz="0" w:space="4"/>
                <w:bottom w:val="none" w:color="auto" w:sz="0" w:space="1"/>
                <w:right w:val="none" w:color="auto" w:sz="0" w:space="4"/>
              </w:pBdr>
              <w:topLinePunct/>
              <w:adjustRightInd w:val="0"/>
              <w:snapToGrid w:val="0"/>
              <w:jc w:val="center"/>
              <w:rPr>
                <w:rFonts w:ascii="Times New Roman" w:hAnsi="Times New Roman" w:eastAsia="仿宋_GB2312"/>
                <w:snapToGrid w:val="0"/>
                <w:sz w:val="24"/>
                <w:szCs w:val="24"/>
              </w:rPr>
            </w:pPr>
            <w:r>
              <w:rPr>
                <w:rFonts w:ascii="Times New Roman" w:hAnsi="Times New Roman" w:eastAsia="仿宋_GB2312"/>
                <w:snapToGrid w:val="0"/>
                <w:sz w:val="24"/>
                <w:szCs w:val="24"/>
              </w:rPr>
              <w:t>24.4%</w:t>
            </w:r>
          </w:p>
        </w:tc>
        <w:tc>
          <w:tcPr>
            <w:tcW w:w="1719" w:type="dxa"/>
            <w:tcBorders>
              <w:top w:val="nil"/>
              <w:left w:val="nil"/>
              <w:bottom w:val="single" w:color="auto" w:sz="4" w:space="0"/>
              <w:right w:val="single" w:color="auto" w:sz="4" w:space="0"/>
            </w:tcBorders>
            <w:vAlign w:val="center"/>
          </w:tcPr>
          <w:p>
            <w:pPr>
              <w:pBdr>
                <w:top w:val="none" w:color="auto" w:sz="0" w:space="1"/>
                <w:left w:val="none" w:color="auto" w:sz="0" w:space="4"/>
                <w:bottom w:val="none" w:color="auto" w:sz="0" w:space="1"/>
                <w:right w:val="none" w:color="auto" w:sz="0" w:space="4"/>
              </w:pBdr>
              <w:topLinePunct/>
              <w:adjustRightInd w:val="0"/>
              <w:snapToGrid w:val="0"/>
              <w:jc w:val="center"/>
              <w:rPr>
                <w:rFonts w:ascii="Times New Roman" w:hAnsi="Times New Roman" w:eastAsia="仿宋_GB2312"/>
                <w:snapToGrid w:val="0"/>
                <w:sz w:val="24"/>
                <w:szCs w:val="24"/>
              </w:rPr>
            </w:pPr>
            <w:r>
              <w:rPr>
                <w:rFonts w:ascii="Times New Roman" w:hAnsi="Times New Roman" w:eastAsia="仿宋_GB2312"/>
                <w:snapToGrid w:val="0"/>
                <w:sz w:val="24"/>
                <w:szCs w:val="24"/>
              </w:rPr>
              <w:t>+18.4%</w:t>
            </w:r>
          </w:p>
        </w:tc>
      </w:tr>
      <w:tr>
        <w:tblPrEx>
          <w:tblLayout w:type="fixed"/>
          <w:tblCellMar>
            <w:top w:w="0" w:type="dxa"/>
            <w:left w:w="108" w:type="dxa"/>
            <w:bottom w:w="0" w:type="dxa"/>
            <w:right w:w="108" w:type="dxa"/>
          </w:tblCellMar>
        </w:tblPrEx>
        <w:trPr>
          <w:trHeight w:val="395" w:hRule="atLeast"/>
          <w:jc w:val="center"/>
        </w:trPr>
        <w:tc>
          <w:tcPr>
            <w:tcW w:w="3085" w:type="dxa"/>
            <w:tcBorders>
              <w:left w:val="single" w:color="auto" w:sz="4" w:space="0"/>
              <w:bottom w:val="single" w:color="auto" w:sz="4" w:space="0"/>
              <w:right w:val="single" w:color="auto" w:sz="4" w:space="0"/>
            </w:tcBorders>
            <w:vAlign w:val="center"/>
          </w:tcPr>
          <w:p>
            <w:pPr>
              <w:pBdr>
                <w:top w:val="none" w:color="auto" w:sz="0" w:space="1"/>
                <w:left w:val="none" w:color="auto" w:sz="0" w:space="4"/>
                <w:bottom w:val="none" w:color="auto" w:sz="0" w:space="1"/>
                <w:right w:val="none" w:color="auto" w:sz="0" w:space="4"/>
              </w:pBdr>
              <w:topLinePunct/>
              <w:adjustRightInd w:val="0"/>
              <w:snapToGrid w:val="0"/>
              <w:rPr>
                <w:rFonts w:ascii="Times New Roman" w:hAnsi="Times New Roman" w:eastAsia="仿宋_GB2312"/>
                <w:snapToGrid w:val="0"/>
                <w:sz w:val="24"/>
                <w:szCs w:val="24"/>
              </w:rPr>
            </w:pPr>
            <w:r>
              <w:rPr>
                <w:rFonts w:ascii="Times New Roman" w:hAnsi="Times New Roman" w:eastAsia="仿宋_GB2312"/>
                <w:snapToGrid w:val="0"/>
                <w:sz w:val="24"/>
                <w:szCs w:val="24"/>
              </w:rPr>
              <w:t>三、地方一般公共预算收入</w:t>
            </w:r>
          </w:p>
        </w:tc>
        <w:tc>
          <w:tcPr>
            <w:tcW w:w="2209" w:type="dxa"/>
            <w:tcBorders>
              <w:top w:val="nil"/>
              <w:left w:val="nil"/>
              <w:bottom w:val="single" w:color="auto" w:sz="4" w:space="0"/>
              <w:right w:val="single" w:color="auto" w:sz="4" w:space="0"/>
            </w:tcBorders>
            <w:vAlign w:val="center"/>
          </w:tcPr>
          <w:p>
            <w:pPr>
              <w:pBdr>
                <w:top w:val="none" w:color="auto" w:sz="0" w:space="1"/>
                <w:left w:val="none" w:color="auto" w:sz="0" w:space="4"/>
                <w:bottom w:val="none" w:color="auto" w:sz="0" w:space="1"/>
                <w:right w:val="none" w:color="auto" w:sz="0" w:space="4"/>
              </w:pBdr>
              <w:topLinePunct/>
              <w:adjustRightInd w:val="0"/>
              <w:snapToGrid w:val="0"/>
              <w:jc w:val="center"/>
              <w:rPr>
                <w:rFonts w:ascii="Times New Roman" w:hAnsi="Times New Roman" w:eastAsia="仿宋_GB2312"/>
                <w:snapToGrid w:val="0"/>
                <w:sz w:val="24"/>
                <w:szCs w:val="24"/>
              </w:rPr>
            </w:pPr>
            <w:r>
              <w:rPr>
                <w:rFonts w:ascii="Times New Roman" w:hAnsi="Times New Roman" w:eastAsia="仿宋_GB2312"/>
                <w:snapToGrid w:val="0"/>
                <w:sz w:val="24"/>
                <w:szCs w:val="24"/>
              </w:rPr>
              <w:t>2.5%以上</w:t>
            </w:r>
          </w:p>
        </w:tc>
        <w:tc>
          <w:tcPr>
            <w:tcW w:w="2050" w:type="dxa"/>
            <w:tcBorders>
              <w:top w:val="nil"/>
              <w:left w:val="nil"/>
              <w:bottom w:val="single" w:color="auto" w:sz="4" w:space="0"/>
              <w:right w:val="single" w:color="auto" w:sz="4" w:space="0"/>
            </w:tcBorders>
            <w:vAlign w:val="center"/>
          </w:tcPr>
          <w:p>
            <w:pPr>
              <w:pBdr>
                <w:top w:val="none" w:color="auto" w:sz="0" w:space="1"/>
                <w:left w:val="none" w:color="auto" w:sz="0" w:space="4"/>
                <w:bottom w:val="none" w:color="auto" w:sz="0" w:space="1"/>
                <w:right w:val="none" w:color="auto" w:sz="0" w:space="4"/>
              </w:pBdr>
              <w:topLinePunct/>
              <w:adjustRightInd w:val="0"/>
              <w:snapToGrid w:val="0"/>
              <w:jc w:val="center"/>
              <w:rPr>
                <w:rFonts w:ascii="Times New Roman" w:hAnsi="Times New Roman" w:eastAsia="仿宋_GB2312"/>
                <w:snapToGrid w:val="0"/>
                <w:sz w:val="24"/>
                <w:szCs w:val="24"/>
              </w:rPr>
            </w:pPr>
            <w:r>
              <w:rPr>
                <w:rFonts w:ascii="Times New Roman" w:hAnsi="Times New Roman" w:eastAsia="仿宋_GB2312"/>
                <w:snapToGrid w:val="0"/>
                <w:sz w:val="24"/>
                <w:szCs w:val="24"/>
              </w:rPr>
              <w:t>-18.3%</w:t>
            </w:r>
          </w:p>
        </w:tc>
        <w:tc>
          <w:tcPr>
            <w:tcW w:w="1719" w:type="dxa"/>
            <w:tcBorders>
              <w:top w:val="nil"/>
              <w:left w:val="nil"/>
              <w:bottom w:val="single" w:color="auto" w:sz="4" w:space="0"/>
              <w:right w:val="single" w:color="auto" w:sz="4" w:space="0"/>
            </w:tcBorders>
            <w:vAlign w:val="center"/>
          </w:tcPr>
          <w:p>
            <w:pPr>
              <w:pBdr>
                <w:top w:val="none" w:color="auto" w:sz="0" w:space="1"/>
                <w:left w:val="none" w:color="auto" w:sz="0" w:space="4"/>
                <w:bottom w:val="none" w:color="auto" w:sz="0" w:space="1"/>
                <w:right w:val="none" w:color="auto" w:sz="0" w:space="4"/>
              </w:pBdr>
              <w:topLinePunct/>
              <w:adjustRightInd w:val="0"/>
              <w:snapToGrid w:val="0"/>
              <w:jc w:val="center"/>
              <w:rPr>
                <w:rFonts w:ascii="Times New Roman" w:hAnsi="Times New Roman" w:eastAsia="仿宋_GB2312"/>
                <w:snapToGrid w:val="0"/>
                <w:sz w:val="24"/>
                <w:szCs w:val="24"/>
              </w:rPr>
            </w:pPr>
            <w:r>
              <w:rPr>
                <w:rFonts w:ascii="Times New Roman" w:hAnsi="Times New Roman" w:eastAsia="仿宋_GB2312"/>
                <w:snapToGrid w:val="0"/>
                <w:sz w:val="24"/>
                <w:szCs w:val="24"/>
              </w:rPr>
              <w:t>-20.8%</w:t>
            </w:r>
          </w:p>
        </w:tc>
      </w:tr>
      <w:tr>
        <w:tblPrEx>
          <w:tblLayout w:type="fixed"/>
          <w:tblCellMar>
            <w:top w:w="0" w:type="dxa"/>
            <w:left w:w="108" w:type="dxa"/>
            <w:bottom w:w="0" w:type="dxa"/>
            <w:right w:w="108" w:type="dxa"/>
          </w:tblCellMar>
        </w:tblPrEx>
        <w:trPr>
          <w:trHeight w:val="361" w:hRule="atLeast"/>
          <w:jc w:val="center"/>
        </w:trPr>
        <w:tc>
          <w:tcPr>
            <w:tcW w:w="3085" w:type="dxa"/>
            <w:tcBorders>
              <w:top w:val="nil"/>
              <w:left w:val="single" w:color="auto" w:sz="4" w:space="0"/>
              <w:bottom w:val="single" w:color="auto" w:sz="4" w:space="0"/>
              <w:right w:val="single" w:color="auto" w:sz="4" w:space="0"/>
            </w:tcBorders>
            <w:vAlign w:val="center"/>
          </w:tcPr>
          <w:p>
            <w:pPr>
              <w:pBdr>
                <w:top w:val="none" w:color="auto" w:sz="0" w:space="1"/>
                <w:left w:val="none" w:color="auto" w:sz="0" w:space="4"/>
                <w:bottom w:val="none" w:color="auto" w:sz="0" w:space="1"/>
                <w:right w:val="none" w:color="auto" w:sz="0" w:space="4"/>
              </w:pBdr>
              <w:topLinePunct/>
              <w:adjustRightInd w:val="0"/>
              <w:snapToGrid w:val="0"/>
              <w:jc w:val="center"/>
              <w:rPr>
                <w:rFonts w:ascii="Times New Roman" w:hAnsi="Times New Roman" w:eastAsia="仿宋_GB2312"/>
                <w:snapToGrid w:val="0"/>
                <w:sz w:val="24"/>
                <w:szCs w:val="24"/>
              </w:rPr>
            </w:pPr>
            <w:r>
              <w:rPr>
                <w:rFonts w:ascii="Times New Roman" w:hAnsi="Times New Roman" w:eastAsia="仿宋_GB2312"/>
                <w:snapToGrid w:val="0"/>
                <w:sz w:val="24"/>
                <w:szCs w:val="24"/>
              </w:rPr>
              <w:t>四、地方一般公共预算支出</w:t>
            </w:r>
          </w:p>
        </w:tc>
        <w:tc>
          <w:tcPr>
            <w:tcW w:w="2209" w:type="dxa"/>
            <w:tcBorders>
              <w:top w:val="nil"/>
              <w:left w:val="nil"/>
              <w:bottom w:val="single" w:color="auto" w:sz="4" w:space="0"/>
              <w:right w:val="single" w:color="auto" w:sz="4" w:space="0"/>
            </w:tcBorders>
            <w:vAlign w:val="center"/>
          </w:tcPr>
          <w:p>
            <w:pPr>
              <w:pBdr>
                <w:top w:val="none" w:color="auto" w:sz="0" w:space="1"/>
                <w:left w:val="none" w:color="auto" w:sz="0" w:space="4"/>
                <w:bottom w:val="none" w:color="auto" w:sz="0" w:space="1"/>
                <w:right w:val="none" w:color="auto" w:sz="0" w:space="4"/>
              </w:pBdr>
              <w:topLinePunct/>
              <w:adjustRightInd w:val="0"/>
              <w:snapToGrid w:val="0"/>
              <w:jc w:val="center"/>
              <w:rPr>
                <w:rFonts w:ascii="Times New Roman" w:hAnsi="Times New Roman" w:eastAsia="仿宋_GB2312"/>
                <w:snapToGrid w:val="0"/>
                <w:sz w:val="24"/>
                <w:szCs w:val="24"/>
              </w:rPr>
            </w:pPr>
            <w:r>
              <w:rPr>
                <w:rFonts w:ascii="Times New Roman" w:hAnsi="Times New Roman" w:eastAsia="仿宋_GB2312"/>
                <w:snapToGrid w:val="0"/>
                <w:sz w:val="24"/>
                <w:szCs w:val="24"/>
              </w:rPr>
              <w:t>3%</w:t>
            </w:r>
          </w:p>
        </w:tc>
        <w:tc>
          <w:tcPr>
            <w:tcW w:w="2050" w:type="dxa"/>
            <w:tcBorders>
              <w:top w:val="nil"/>
              <w:left w:val="nil"/>
              <w:bottom w:val="single" w:color="auto" w:sz="4" w:space="0"/>
              <w:right w:val="single" w:color="auto" w:sz="4" w:space="0"/>
            </w:tcBorders>
            <w:vAlign w:val="center"/>
          </w:tcPr>
          <w:p>
            <w:pPr>
              <w:pBdr>
                <w:top w:val="none" w:color="auto" w:sz="0" w:space="1"/>
                <w:left w:val="none" w:color="auto" w:sz="0" w:space="4"/>
                <w:bottom w:val="none" w:color="auto" w:sz="0" w:space="1"/>
                <w:right w:val="none" w:color="auto" w:sz="0" w:space="4"/>
              </w:pBdr>
              <w:topLinePunct/>
              <w:adjustRightInd w:val="0"/>
              <w:snapToGrid w:val="0"/>
              <w:jc w:val="center"/>
              <w:rPr>
                <w:rFonts w:ascii="Times New Roman" w:hAnsi="Times New Roman" w:eastAsia="仿宋_GB2312"/>
                <w:snapToGrid w:val="0"/>
                <w:sz w:val="24"/>
                <w:szCs w:val="24"/>
              </w:rPr>
            </w:pPr>
            <w:r>
              <w:rPr>
                <w:rFonts w:ascii="Times New Roman" w:hAnsi="Times New Roman" w:eastAsia="仿宋_GB2312"/>
                <w:snapToGrid w:val="0"/>
                <w:sz w:val="24"/>
                <w:szCs w:val="24"/>
              </w:rPr>
              <w:t>-2.7%</w:t>
            </w:r>
          </w:p>
        </w:tc>
        <w:tc>
          <w:tcPr>
            <w:tcW w:w="1719" w:type="dxa"/>
            <w:tcBorders>
              <w:top w:val="nil"/>
              <w:left w:val="nil"/>
              <w:bottom w:val="single" w:color="auto" w:sz="4" w:space="0"/>
              <w:right w:val="single" w:color="auto" w:sz="4" w:space="0"/>
            </w:tcBorders>
            <w:vAlign w:val="center"/>
          </w:tcPr>
          <w:p>
            <w:pPr>
              <w:pBdr>
                <w:top w:val="none" w:color="auto" w:sz="0" w:space="1"/>
                <w:left w:val="none" w:color="auto" w:sz="0" w:space="4"/>
                <w:bottom w:val="none" w:color="auto" w:sz="0" w:space="1"/>
                <w:right w:val="none" w:color="auto" w:sz="0" w:space="4"/>
              </w:pBdr>
              <w:topLinePunct/>
              <w:adjustRightInd w:val="0"/>
              <w:snapToGrid w:val="0"/>
              <w:jc w:val="center"/>
              <w:rPr>
                <w:rFonts w:ascii="Times New Roman" w:hAnsi="Times New Roman" w:eastAsia="仿宋_GB2312"/>
                <w:snapToGrid w:val="0"/>
                <w:sz w:val="24"/>
                <w:szCs w:val="24"/>
              </w:rPr>
            </w:pPr>
            <w:r>
              <w:rPr>
                <w:rFonts w:ascii="Times New Roman" w:hAnsi="Times New Roman" w:eastAsia="仿宋_GB2312"/>
                <w:snapToGrid w:val="0"/>
                <w:sz w:val="24"/>
                <w:szCs w:val="24"/>
              </w:rPr>
              <w:t>-5.7%</w:t>
            </w:r>
          </w:p>
        </w:tc>
      </w:tr>
      <w:tr>
        <w:tblPrEx>
          <w:tblLayout w:type="fixed"/>
          <w:tblCellMar>
            <w:top w:w="0" w:type="dxa"/>
            <w:left w:w="108" w:type="dxa"/>
            <w:bottom w:w="0" w:type="dxa"/>
            <w:right w:w="108" w:type="dxa"/>
          </w:tblCellMar>
        </w:tblPrEx>
        <w:trPr>
          <w:trHeight w:val="361" w:hRule="atLeast"/>
          <w:jc w:val="center"/>
        </w:trPr>
        <w:tc>
          <w:tcPr>
            <w:tcW w:w="3085" w:type="dxa"/>
            <w:tcBorders>
              <w:top w:val="nil"/>
              <w:left w:val="single" w:color="auto" w:sz="4" w:space="0"/>
              <w:bottom w:val="single" w:color="auto" w:sz="4" w:space="0"/>
              <w:right w:val="single" w:color="auto" w:sz="4" w:space="0"/>
            </w:tcBorders>
            <w:vAlign w:val="center"/>
          </w:tcPr>
          <w:p>
            <w:pPr>
              <w:pBdr>
                <w:top w:val="none" w:color="auto" w:sz="0" w:space="1"/>
                <w:left w:val="none" w:color="auto" w:sz="0" w:space="4"/>
                <w:bottom w:val="none" w:color="auto" w:sz="0" w:space="1"/>
                <w:right w:val="none" w:color="auto" w:sz="0" w:space="4"/>
              </w:pBdr>
              <w:topLinePunct/>
              <w:adjustRightInd w:val="0"/>
              <w:snapToGrid w:val="0"/>
              <w:jc w:val="center"/>
              <w:rPr>
                <w:rFonts w:ascii="Times New Roman" w:hAnsi="Times New Roman" w:eastAsia="仿宋_GB2312"/>
                <w:snapToGrid w:val="0"/>
                <w:sz w:val="24"/>
                <w:szCs w:val="24"/>
              </w:rPr>
            </w:pPr>
            <w:r>
              <w:rPr>
                <w:rFonts w:ascii="Times New Roman" w:hAnsi="Times New Roman" w:eastAsia="仿宋_GB2312"/>
                <w:snapToGrid w:val="0"/>
                <w:sz w:val="24"/>
                <w:szCs w:val="24"/>
              </w:rPr>
              <w:t>五、城镇常住居民人均可支配收入</w:t>
            </w:r>
          </w:p>
        </w:tc>
        <w:tc>
          <w:tcPr>
            <w:tcW w:w="2209" w:type="dxa"/>
            <w:tcBorders>
              <w:top w:val="nil"/>
              <w:left w:val="nil"/>
              <w:bottom w:val="single" w:color="auto" w:sz="4" w:space="0"/>
              <w:right w:val="single" w:color="auto" w:sz="4" w:space="0"/>
            </w:tcBorders>
            <w:vAlign w:val="center"/>
          </w:tcPr>
          <w:p>
            <w:pPr>
              <w:pBdr>
                <w:top w:val="none" w:color="auto" w:sz="0" w:space="1"/>
                <w:left w:val="none" w:color="auto" w:sz="0" w:space="4"/>
                <w:bottom w:val="none" w:color="auto" w:sz="0" w:space="1"/>
                <w:right w:val="none" w:color="auto" w:sz="0" w:space="4"/>
              </w:pBdr>
              <w:topLinePunct/>
              <w:adjustRightInd w:val="0"/>
              <w:snapToGrid w:val="0"/>
              <w:jc w:val="center"/>
              <w:rPr>
                <w:rFonts w:ascii="Times New Roman" w:hAnsi="Times New Roman" w:eastAsia="仿宋_GB2312"/>
                <w:snapToGrid w:val="0"/>
                <w:sz w:val="24"/>
                <w:szCs w:val="24"/>
              </w:rPr>
            </w:pPr>
            <w:r>
              <w:rPr>
                <w:rFonts w:ascii="Times New Roman" w:hAnsi="Times New Roman" w:eastAsia="仿宋_GB2312"/>
                <w:snapToGrid w:val="0"/>
                <w:sz w:val="24"/>
                <w:szCs w:val="24"/>
              </w:rPr>
              <w:t>稳步增长</w:t>
            </w:r>
          </w:p>
        </w:tc>
        <w:tc>
          <w:tcPr>
            <w:tcW w:w="2050" w:type="dxa"/>
            <w:tcBorders>
              <w:top w:val="nil"/>
              <w:left w:val="nil"/>
              <w:bottom w:val="single" w:color="auto" w:sz="4" w:space="0"/>
              <w:right w:val="single" w:color="auto" w:sz="4" w:space="0"/>
            </w:tcBorders>
            <w:vAlign w:val="center"/>
          </w:tcPr>
          <w:p>
            <w:pPr>
              <w:pBdr>
                <w:top w:val="none" w:color="auto" w:sz="0" w:space="1"/>
                <w:left w:val="none" w:color="auto" w:sz="0" w:space="4"/>
                <w:bottom w:val="none" w:color="auto" w:sz="0" w:space="1"/>
                <w:right w:val="none" w:color="auto" w:sz="0" w:space="4"/>
              </w:pBdr>
              <w:topLinePunct/>
              <w:adjustRightInd w:val="0"/>
              <w:snapToGrid w:val="0"/>
              <w:jc w:val="center"/>
              <w:rPr>
                <w:rFonts w:ascii="Times New Roman" w:hAnsi="Times New Roman" w:eastAsia="仿宋_GB2312"/>
                <w:snapToGrid w:val="0"/>
                <w:sz w:val="24"/>
                <w:szCs w:val="24"/>
              </w:rPr>
            </w:pPr>
            <w:r>
              <w:rPr>
                <w:rFonts w:ascii="Times New Roman" w:hAnsi="Times New Roman" w:eastAsia="仿宋_GB2312"/>
                <w:snapToGrid w:val="0"/>
                <w:sz w:val="24"/>
                <w:szCs w:val="24"/>
              </w:rPr>
              <w:t>3.3%</w:t>
            </w:r>
          </w:p>
        </w:tc>
        <w:tc>
          <w:tcPr>
            <w:tcW w:w="1719" w:type="dxa"/>
            <w:tcBorders>
              <w:top w:val="nil"/>
              <w:left w:val="nil"/>
              <w:bottom w:val="single" w:color="auto" w:sz="4" w:space="0"/>
              <w:right w:val="single" w:color="auto" w:sz="4" w:space="0"/>
            </w:tcBorders>
            <w:vAlign w:val="center"/>
          </w:tcPr>
          <w:p>
            <w:pPr>
              <w:pBdr>
                <w:top w:val="none" w:color="auto" w:sz="0" w:space="1"/>
                <w:left w:val="none" w:color="auto" w:sz="0" w:space="4"/>
                <w:bottom w:val="none" w:color="auto" w:sz="0" w:space="1"/>
                <w:right w:val="none" w:color="auto" w:sz="0" w:space="4"/>
              </w:pBdr>
              <w:topLinePunct/>
              <w:adjustRightInd w:val="0"/>
              <w:snapToGrid w:val="0"/>
              <w:jc w:val="center"/>
              <w:rPr>
                <w:rFonts w:ascii="Times New Roman" w:hAnsi="Times New Roman" w:eastAsia="仿宋_GB2312"/>
                <w:snapToGrid w:val="0"/>
                <w:sz w:val="24"/>
                <w:szCs w:val="24"/>
              </w:rPr>
            </w:pPr>
            <w:r>
              <w:rPr>
                <w:rFonts w:ascii="Times New Roman" w:hAnsi="Times New Roman" w:eastAsia="仿宋_GB2312"/>
                <w:snapToGrid w:val="0"/>
                <w:sz w:val="24"/>
                <w:szCs w:val="24"/>
              </w:rPr>
              <w:t>稳步回升</w:t>
            </w:r>
          </w:p>
        </w:tc>
      </w:tr>
      <w:tr>
        <w:tblPrEx>
          <w:tblLayout w:type="fixed"/>
          <w:tblCellMar>
            <w:top w:w="0" w:type="dxa"/>
            <w:left w:w="108" w:type="dxa"/>
            <w:bottom w:w="0" w:type="dxa"/>
            <w:right w:w="108" w:type="dxa"/>
          </w:tblCellMar>
        </w:tblPrEx>
        <w:trPr>
          <w:trHeight w:val="361" w:hRule="atLeast"/>
          <w:jc w:val="center"/>
        </w:trPr>
        <w:tc>
          <w:tcPr>
            <w:tcW w:w="3085" w:type="dxa"/>
            <w:tcBorders>
              <w:top w:val="nil"/>
              <w:left w:val="single" w:color="auto" w:sz="4" w:space="0"/>
              <w:bottom w:val="single" w:color="auto" w:sz="4" w:space="0"/>
              <w:right w:val="single" w:color="auto" w:sz="4" w:space="0"/>
            </w:tcBorders>
            <w:vAlign w:val="center"/>
          </w:tcPr>
          <w:p>
            <w:pPr>
              <w:pBdr>
                <w:top w:val="none" w:color="auto" w:sz="0" w:space="1"/>
                <w:left w:val="none" w:color="auto" w:sz="0" w:space="4"/>
                <w:bottom w:val="none" w:color="auto" w:sz="0" w:space="1"/>
                <w:right w:val="none" w:color="auto" w:sz="0" w:space="4"/>
              </w:pBdr>
              <w:topLinePunct/>
              <w:adjustRightInd w:val="0"/>
              <w:snapToGrid w:val="0"/>
              <w:jc w:val="center"/>
              <w:rPr>
                <w:rFonts w:ascii="Times New Roman" w:hAnsi="Times New Roman" w:eastAsia="仿宋_GB2312"/>
                <w:snapToGrid w:val="0"/>
                <w:sz w:val="24"/>
                <w:szCs w:val="24"/>
              </w:rPr>
            </w:pPr>
            <w:r>
              <w:rPr>
                <w:rFonts w:ascii="Times New Roman" w:hAnsi="Times New Roman" w:eastAsia="仿宋_GB2312"/>
                <w:snapToGrid w:val="0"/>
                <w:sz w:val="24"/>
                <w:szCs w:val="24"/>
              </w:rPr>
              <w:t>六、农村常住居民人均可支配收入</w:t>
            </w:r>
          </w:p>
        </w:tc>
        <w:tc>
          <w:tcPr>
            <w:tcW w:w="2209" w:type="dxa"/>
            <w:tcBorders>
              <w:top w:val="nil"/>
              <w:left w:val="nil"/>
              <w:bottom w:val="single" w:color="auto" w:sz="4" w:space="0"/>
              <w:right w:val="single" w:color="auto" w:sz="4" w:space="0"/>
            </w:tcBorders>
            <w:vAlign w:val="center"/>
          </w:tcPr>
          <w:p>
            <w:pPr>
              <w:pBdr>
                <w:top w:val="none" w:color="auto" w:sz="0" w:space="1"/>
                <w:left w:val="none" w:color="auto" w:sz="0" w:space="4"/>
                <w:bottom w:val="none" w:color="auto" w:sz="0" w:space="1"/>
                <w:right w:val="none" w:color="auto" w:sz="0" w:space="4"/>
              </w:pBdr>
              <w:topLinePunct/>
              <w:adjustRightInd w:val="0"/>
              <w:snapToGrid w:val="0"/>
              <w:jc w:val="center"/>
              <w:rPr>
                <w:rFonts w:ascii="Times New Roman" w:hAnsi="Times New Roman" w:eastAsia="仿宋_GB2312"/>
                <w:snapToGrid w:val="0"/>
                <w:sz w:val="24"/>
                <w:szCs w:val="24"/>
              </w:rPr>
            </w:pPr>
            <w:r>
              <w:rPr>
                <w:rFonts w:ascii="Times New Roman" w:hAnsi="Times New Roman" w:eastAsia="仿宋_GB2312"/>
                <w:snapToGrid w:val="0"/>
                <w:sz w:val="24"/>
                <w:szCs w:val="24"/>
              </w:rPr>
              <w:t>稳步增长</w:t>
            </w:r>
          </w:p>
        </w:tc>
        <w:tc>
          <w:tcPr>
            <w:tcW w:w="2050" w:type="dxa"/>
            <w:tcBorders>
              <w:top w:val="nil"/>
              <w:left w:val="nil"/>
              <w:bottom w:val="single" w:color="auto" w:sz="4" w:space="0"/>
              <w:right w:val="single" w:color="auto" w:sz="4" w:space="0"/>
            </w:tcBorders>
            <w:vAlign w:val="center"/>
          </w:tcPr>
          <w:p>
            <w:pPr>
              <w:pBdr>
                <w:top w:val="none" w:color="auto" w:sz="0" w:space="1"/>
                <w:left w:val="none" w:color="auto" w:sz="0" w:space="4"/>
                <w:bottom w:val="none" w:color="auto" w:sz="0" w:space="1"/>
                <w:right w:val="none" w:color="auto" w:sz="0" w:space="4"/>
              </w:pBdr>
              <w:topLinePunct/>
              <w:adjustRightInd w:val="0"/>
              <w:snapToGrid w:val="0"/>
              <w:jc w:val="center"/>
              <w:rPr>
                <w:rFonts w:ascii="Times New Roman" w:hAnsi="Times New Roman" w:eastAsia="仿宋_GB2312"/>
                <w:snapToGrid w:val="0"/>
                <w:sz w:val="24"/>
                <w:szCs w:val="24"/>
              </w:rPr>
            </w:pPr>
            <w:r>
              <w:rPr>
                <w:rFonts w:ascii="Times New Roman" w:hAnsi="Times New Roman" w:eastAsia="仿宋_GB2312"/>
                <w:snapToGrid w:val="0"/>
                <w:sz w:val="24"/>
                <w:szCs w:val="24"/>
              </w:rPr>
              <w:t>6.1%</w:t>
            </w:r>
          </w:p>
        </w:tc>
        <w:tc>
          <w:tcPr>
            <w:tcW w:w="1719" w:type="dxa"/>
            <w:tcBorders>
              <w:top w:val="nil"/>
              <w:left w:val="nil"/>
              <w:bottom w:val="single" w:color="auto" w:sz="4" w:space="0"/>
              <w:right w:val="single" w:color="auto" w:sz="4" w:space="0"/>
            </w:tcBorders>
            <w:vAlign w:val="center"/>
          </w:tcPr>
          <w:p>
            <w:pPr>
              <w:pBdr>
                <w:top w:val="none" w:color="auto" w:sz="0" w:space="1"/>
                <w:left w:val="none" w:color="auto" w:sz="0" w:space="4"/>
                <w:bottom w:val="none" w:color="auto" w:sz="0" w:space="1"/>
                <w:right w:val="none" w:color="auto" w:sz="0" w:space="4"/>
              </w:pBdr>
              <w:topLinePunct/>
              <w:adjustRightInd w:val="0"/>
              <w:snapToGrid w:val="0"/>
              <w:jc w:val="center"/>
              <w:rPr>
                <w:rFonts w:ascii="Times New Roman" w:hAnsi="Times New Roman" w:eastAsia="仿宋_GB2312"/>
                <w:snapToGrid w:val="0"/>
                <w:sz w:val="24"/>
                <w:szCs w:val="24"/>
              </w:rPr>
            </w:pPr>
            <w:r>
              <w:rPr>
                <w:rFonts w:ascii="Times New Roman" w:hAnsi="Times New Roman" w:eastAsia="仿宋_GB2312"/>
                <w:snapToGrid w:val="0"/>
                <w:sz w:val="24"/>
                <w:szCs w:val="24"/>
              </w:rPr>
              <w:t>稳步回升</w:t>
            </w:r>
          </w:p>
        </w:tc>
      </w:tr>
      <w:tr>
        <w:tblPrEx>
          <w:tblLayout w:type="fixed"/>
          <w:tblCellMar>
            <w:top w:w="0" w:type="dxa"/>
            <w:left w:w="108" w:type="dxa"/>
            <w:bottom w:w="0" w:type="dxa"/>
            <w:right w:w="108" w:type="dxa"/>
          </w:tblCellMar>
        </w:tblPrEx>
        <w:trPr>
          <w:trHeight w:val="326" w:hRule="atLeast"/>
          <w:jc w:val="center"/>
        </w:trPr>
        <w:tc>
          <w:tcPr>
            <w:tcW w:w="3085" w:type="dxa"/>
            <w:tcBorders>
              <w:top w:val="nil"/>
              <w:left w:val="single" w:color="auto" w:sz="4" w:space="0"/>
              <w:bottom w:val="single" w:color="auto" w:sz="4" w:space="0"/>
              <w:right w:val="single" w:color="auto" w:sz="4" w:space="0"/>
            </w:tcBorders>
            <w:vAlign w:val="center"/>
          </w:tcPr>
          <w:p>
            <w:pPr>
              <w:pBdr>
                <w:top w:val="none" w:color="auto" w:sz="0" w:space="1"/>
                <w:left w:val="none" w:color="auto" w:sz="0" w:space="4"/>
                <w:bottom w:val="none" w:color="auto" w:sz="0" w:space="1"/>
                <w:right w:val="none" w:color="auto" w:sz="0" w:space="4"/>
              </w:pBdr>
              <w:topLinePunct/>
              <w:adjustRightInd w:val="0"/>
              <w:snapToGrid w:val="0"/>
              <w:jc w:val="center"/>
              <w:rPr>
                <w:rFonts w:ascii="Times New Roman" w:hAnsi="Times New Roman" w:eastAsia="仿宋_GB2312"/>
                <w:snapToGrid w:val="0"/>
                <w:sz w:val="24"/>
                <w:szCs w:val="24"/>
              </w:rPr>
            </w:pPr>
            <w:r>
              <w:rPr>
                <w:rFonts w:ascii="Times New Roman" w:hAnsi="Times New Roman" w:eastAsia="仿宋_GB2312"/>
                <w:snapToGrid w:val="0"/>
                <w:sz w:val="24"/>
                <w:szCs w:val="24"/>
              </w:rPr>
              <w:t>七、城镇登记失业率控制在</w:t>
            </w:r>
          </w:p>
        </w:tc>
        <w:tc>
          <w:tcPr>
            <w:tcW w:w="2209" w:type="dxa"/>
            <w:tcBorders>
              <w:top w:val="nil"/>
              <w:left w:val="nil"/>
              <w:bottom w:val="single" w:color="auto" w:sz="4" w:space="0"/>
              <w:right w:val="single" w:color="auto" w:sz="4" w:space="0"/>
            </w:tcBorders>
            <w:vAlign w:val="center"/>
          </w:tcPr>
          <w:p>
            <w:pPr>
              <w:pBdr>
                <w:top w:val="none" w:color="auto" w:sz="0" w:space="1"/>
                <w:left w:val="none" w:color="auto" w:sz="0" w:space="4"/>
                <w:bottom w:val="none" w:color="auto" w:sz="0" w:space="1"/>
                <w:right w:val="none" w:color="auto" w:sz="0" w:space="4"/>
              </w:pBdr>
              <w:topLinePunct/>
              <w:adjustRightInd w:val="0"/>
              <w:snapToGrid w:val="0"/>
              <w:jc w:val="center"/>
              <w:rPr>
                <w:rFonts w:ascii="Times New Roman" w:hAnsi="Times New Roman" w:eastAsia="仿宋_GB2312"/>
                <w:kern w:val="0"/>
                <w:sz w:val="24"/>
                <w:szCs w:val="24"/>
              </w:rPr>
            </w:pPr>
            <w:r>
              <w:rPr>
                <w:rFonts w:ascii="Times New Roman" w:hAnsi="Times New Roman" w:eastAsia="仿宋_GB2312"/>
                <w:kern w:val="0"/>
                <w:sz w:val="24"/>
                <w:szCs w:val="24"/>
              </w:rPr>
              <w:t>4%以内</w:t>
            </w:r>
          </w:p>
        </w:tc>
        <w:tc>
          <w:tcPr>
            <w:tcW w:w="2050" w:type="dxa"/>
            <w:tcBorders>
              <w:top w:val="nil"/>
              <w:left w:val="nil"/>
              <w:bottom w:val="single" w:color="auto" w:sz="4" w:space="0"/>
              <w:right w:val="single" w:color="auto" w:sz="4" w:space="0"/>
            </w:tcBorders>
            <w:vAlign w:val="center"/>
          </w:tcPr>
          <w:p>
            <w:pPr>
              <w:pBdr>
                <w:top w:val="none" w:color="auto" w:sz="0" w:space="1"/>
                <w:left w:val="none" w:color="auto" w:sz="0" w:space="4"/>
                <w:bottom w:val="none" w:color="auto" w:sz="0" w:space="1"/>
                <w:right w:val="none" w:color="auto" w:sz="0" w:space="4"/>
              </w:pBdr>
              <w:topLinePunct/>
              <w:adjustRightInd w:val="0"/>
              <w:snapToGrid w:val="0"/>
              <w:ind w:firstLine="480" w:firstLineChars="200"/>
              <w:rPr>
                <w:rFonts w:ascii="Times New Roman" w:hAnsi="Times New Roman" w:eastAsia="仿宋_GB2312"/>
                <w:kern w:val="0"/>
                <w:sz w:val="24"/>
                <w:szCs w:val="24"/>
              </w:rPr>
            </w:pPr>
            <w:r>
              <w:rPr>
                <w:rFonts w:ascii="Times New Roman" w:hAnsi="Times New Roman" w:eastAsia="仿宋_GB2312"/>
                <w:kern w:val="0"/>
                <w:sz w:val="24"/>
                <w:szCs w:val="24"/>
              </w:rPr>
              <w:t>4%以内</w:t>
            </w:r>
          </w:p>
        </w:tc>
        <w:tc>
          <w:tcPr>
            <w:tcW w:w="1719" w:type="dxa"/>
            <w:tcBorders>
              <w:top w:val="nil"/>
              <w:left w:val="nil"/>
              <w:bottom w:val="single" w:color="auto" w:sz="4" w:space="0"/>
              <w:right w:val="single" w:color="auto" w:sz="4" w:space="0"/>
            </w:tcBorders>
            <w:vAlign w:val="center"/>
          </w:tcPr>
          <w:p>
            <w:pPr>
              <w:pBdr>
                <w:top w:val="none" w:color="auto" w:sz="0" w:space="1"/>
                <w:left w:val="none" w:color="auto" w:sz="0" w:space="4"/>
                <w:bottom w:val="none" w:color="auto" w:sz="0" w:space="1"/>
                <w:right w:val="none" w:color="auto" w:sz="0" w:space="4"/>
              </w:pBdr>
              <w:topLinePunct/>
              <w:adjustRightInd w:val="0"/>
              <w:snapToGrid w:val="0"/>
              <w:jc w:val="center"/>
              <w:rPr>
                <w:rFonts w:ascii="Times New Roman" w:hAnsi="Times New Roman" w:eastAsia="仿宋_GB2312"/>
                <w:kern w:val="0"/>
                <w:sz w:val="24"/>
                <w:szCs w:val="24"/>
              </w:rPr>
            </w:pPr>
            <w:r>
              <w:rPr>
                <w:rFonts w:hint="eastAsia" w:ascii="Times New Roman" w:hAnsi="Times New Roman" w:eastAsia="仿宋_GB2312"/>
                <w:kern w:val="0"/>
                <w:sz w:val="24"/>
                <w:szCs w:val="24"/>
              </w:rPr>
              <w:t>0</w:t>
            </w:r>
          </w:p>
        </w:tc>
      </w:tr>
      <w:tr>
        <w:tblPrEx>
          <w:tblLayout w:type="fixed"/>
          <w:tblCellMar>
            <w:top w:w="0" w:type="dxa"/>
            <w:left w:w="108" w:type="dxa"/>
            <w:bottom w:w="0" w:type="dxa"/>
            <w:right w:w="108" w:type="dxa"/>
          </w:tblCellMar>
        </w:tblPrEx>
        <w:trPr>
          <w:trHeight w:val="361" w:hRule="atLeast"/>
          <w:jc w:val="center"/>
        </w:trPr>
        <w:tc>
          <w:tcPr>
            <w:tcW w:w="3085" w:type="dxa"/>
            <w:tcBorders>
              <w:top w:val="nil"/>
              <w:left w:val="single" w:color="auto" w:sz="4" w:space="0"/>
              <w:bottom w:val="single" w:color="auto" w:sz="4" w:space="0"/>
              <w:right w:val="single" w:color="auto" w:sz="4" w:space="0"/>
            </w:tcBorders>
            <w:vAlign w:val="center"/>
          </w:tcPr>
          <w:p>
            <w:pPr>
              <w:pBdr>
                <w:top w:val="none" w:color="auto" w:sz="0" w:space="1"/>
                <w:left w:val="none" w:color="auto" w:sz="0" w:space="4"/>
                <w:bottom w:val="none" w:color="auto" w:sz="0" w:space="1"/>
                <w:right w:val="none" w:color="auto" w:sz="0" w:space="4"/>
              </w:pBdr>
              <w:topLinePunct/>
              <w:adjustRightInd w:val="0"/>
              <w:snapToGrid w:val="0"/>
              <w:jc w:val="center"/>
              <w:rPr>
                <w:rFonts w:ascii="Times New Roman" w:hAnsi="Times New Roman" w:eastAsia="仿宋_GB2312"/>
                <w:snapToGrid w:val="0"/>
                <w:sz w:val="24"/>
                <w:szCs w:val="24"/>
              </w:rPr>
            </w:pPr>
            <w:r>
              <w:rPr>
                <w:rFonts w:ascii="Times New Roman" w:hAnsi="Times New Roman" w:eastAsia="仿宋_GB2312"/>
                <w:kern w:val="0"/>
                <w:sz w:val="24"/>
                <w:szCs w:val="24"/>
              </w:rPr>
              <w:t>八、万元生产总值能耗下降</w:t>
            </w:r>
          </w:p>
        </w:tc>
        <w:tc>
          <w:tcPr>
            <w:tcW w:w="2209" w:type="dxa"/>
            <w:tcBorders>
              <w:top w:val="nil"/>
              <w:left w:val="nil"/>
              <w:bottom w:val="single" w:color="auto" w:sz="4" w:space="0"/>
              <w:right w:val="single" w:color="auto" w:sz="4" w:space="0"/>
            </w:tcBorders>
            <w:vAlign w:val="center"/>
          </w:tcPr>
          <w:p>
            <w:pPr>
              <w:pBdr>
                <w:top w:val="none" w:color="auto" w:sz="0" w:space="1"/>
                <w:left w:val="none" w:color="auto" w:sz="0" w:space="4"/>
                <w:bottom w:val="none" w:color="auto" w:sz="0" w:space="1"/>
                <w:right w:val="none" w:color="auto" w:sz="0" w:space="4"/>
              </w:pBdr>
              <w:topLinePunct/>
              <w:adjustRightInd w:val="0"/>
              <w:snapToGrid w:val="0"/>
              <w:jc w:val="center"/>
              <w:rPr>
                <w:rFonts w:ascii="Times New Roman" w:hAnsi="Times New Roman" w:eastAsia="仿宋_GB2312"/>
                <w:kern w:val="0"/>
                <w:sz w:val="24"/>
                <w:szCs w:val="24"/>
              </w:rPr>
            </w:pPr>
            <w:r>
              <w:rPr>
                <w:rFonts w:ascii="Times New Roman" w:hAnsi="Times New Roman" w:eastAsia="仿宋_GB2312"/>
                <w:kern w:val="0"/>
                <w:sz w:val="24"/>
                <w:szCs w:val="24"/>
              </w:rPr>
              <w:t>完成上级下达目标</w:t>
            </w:r>
          </w:p>
        </w:tc>
        <w:tc>
          <w:tcPr>
            <w:tcW w:w="2050" w:type="dxa"/>
            <w:tcBorders>
              <w:top w:val="nil"/>
              <w:left w:val="nil"/>
              <w:bottom w:val="single" w:color="auto" w:sz="4" w:space="0"/>
              <w:right w:val="single" w:color="auto" w:sz="4" w:space="0"/>
            </w:tcBorders>
            <w:vAlign w:val="center"/>
          </w:tcPr>
          <w:p>
            <w:pPr>
              <w:pBdr>
                <w:top w:val="none" w:color="auto" w:sz="0" w:space="1"/>
                <w:left w:val="none" w:color="auto" w:sz="0" w:space="4"/>
                <w:bottom w:val="none" w:color="auto" w:sz="0" w:space="1"/>
                <w:right w:val="none" w:color="auto" w:sz="0" w:space="4"/>
              </w:pBdr>
              <w:topLinePunct/>
              <w:adjustRightInd w:val="0"/>
              <w:snapToGrid w:val="0"/>
              <w:jc w:val="center"/>
              <w:rPr>
                <w:rFonts w:ascii="Times New Roman" w:hAnsi="Times New Roman" w:eastAsia="仿宋_GB2312"/>
                <w:kern w:val="0"/>
                <w:sz w:val="24"/>
                <w:szCs w:val="24"/>
              </w:rPr>
            </w:pPr>
            <w:r>
              <w:rPr>
                <w:rFonts w:hint="eastAsia" w:ascii="Times New Roman" w:hAnsi="Times New Roman" w:eastAsia="仿宋_GB2312"/>
                <w:spacing w:val="-8"/>
                <w:kern w:val="0"/>
                <w:sz w:val="24"/>
                <w:szCs w:val="24"/>
              </w:rPr>
              <w:t>——</w:t>
            </w:r>
          </w:p>
        </w:tc>
        <w:tc>
          <w:tcPr>
            <w:tcW w:w="1719" w:type="dxa"/>
            <w:tcBorders>
              <w:top w:val="nil"/>
              <w:left w:val="nil"/>
              <w:bottom w:val="single" w:color="auto" w:sz="4" w:space="0"/>
              <w:right w:val="single" w:color="auto" w:sz="4" w:space="0"/>
            </w:tcBorders>
            <w:vAlign w:val="center"/>
          </w:tcPr>
          <w:p>
            <w:pPr>
              <w:pBdr>
                <w:top w:val="none" w:color="auto" w:sz="0" w:space="1"/>
                <w:left w:val="none" w:color="auto" w:sz="0" w:space="4"/>
                <w:bottom w:val="none" w:color="auto" w:sz="0" w:space="1"/>
                <w:right w:val="none" w:color="auto" w:sz="0" w:space="4"/>
              </w:pBdr>
              <w:topLinePunct/>
              <w:adjustRightInd w:val="0"/>
              <w:snapToGrid w:val="0"/>
              <w:jc w:val="center"/>
              <w:rPr>
                <w:rFonts w:ascii="Times New Roman" w:hAnsi="Times New Roman" w:eastAsia="仿宋_GB2312"/>
                <w:kern w:val="0"/>
                <w:sz w:val="24"/>
                <w:szCs w:val="24"/>
              </w:rPr>
            </w:pPr>
            <w:r>
              <w:rPr>
                <w:rFonts w:hint="eastAsia" w:ascii="Times New Roman" w:hAnsi="Times New Roman" w:eastAsia="仿宋_GB2312"/>
                <w:spacing w:val="-8"/>
                <w:kern w:val="0"/>
                <w:sz w:val="24"/>
                <w:szCs w:val="24"/>
              </w:rPr>
              <w:t>按年度统计</w:t>
            </w:r>
          </w:p>
        </w:tc>
      </w:tr>
      <w:tr>
        <w:tblPrEx>
          <w:tblLayout w:type="fixed"/>
          <w:tblCellMar>
            <w:top w:w="0" w:type="dxa"/>
            <w:left w:w="108" w:type="dxa"/>
            <w:bottom w:w="0" w:type="dxa"/>
            <w:right w:w="108" w:type="dxa"/>
          </w:tblCellMar>
        </w:tblPrEx>
        <w:trPr>
          <w:trHeight w:val="391" w:hRule="atLeast"/>
          <w:jc w:val="center"/>
        </w:trPr>
        <w:tc>
          <w:tcPr>
            <w:tcW w:w="3085" w:type="dxa"/>
            <w:tcBorders>
              <w:top w:val="nil"/>
              <w:left w:val="single" w:color="auto" w:sz="4" w:space="0"/>
              <w:bottom w:val="single" w:color="auto" w:sz="4" w:space="0"/>
              <w:right w:val="single" w:color="auto" w:sz="4" w:space="0"/>
            </w:tcBorders>
            <w:vAlign w:val="center"/>
          </w:tcPr>
          <w:p>
            <w:pPr>
              <w:pBdr>
                <w:top w:val="none" w:color="auto" w:sz="0" w:space="1"/>
                <w:left w:val="none" w:color="auto" w:sz="0" w:space="4"/>
                <w:bottom w:val="none" w:color="auto" w:sz="0" w:space="1"/>
                <w:right w:val="none" w:color="auto" w:sz="0" w:space="4"/>
              </w:pBdr>
              <w:topLinePunct/>
              <w:adjustRightInd w:val="0"/>
              <w:snapToGrid w:val="0"/>
              <w:jc w:val="center"/>
              <w:rPr>
                <w:rFonts w:ascii="Times New Roman" w:hAnsi="Times New Roman" w:eastAsia="仿宋_GB2312"/>
                <w:snapToGrid w:val="0"/>
                <w:sz w:val="24"/>
                <w:szCs w:val="24"/>
              </w:rPr>
            </w:pPr>
            <w:r>
              <w:rPr>
                <w:rFonts w:ascii="Times New Roman" w:hAnsi="Times New Roman" w:eastAsia="仿宋_GB2312"/>
                <w:snapToGrid w:val="0"/>
                <w:sz w:val="24"/>
                <w:szCs w:val="24"/>
              </w:rPr>
              <w:t>九、限额以上社会消费品零售总额</w:t>
            </w:r>
          </w:p>
        </w:tc>
        <w:tc>
          <w:tcPr>
            <w:tcW w:w="2209" w:type="dxa"/>
            <w:tcBorders>
              <w:top w:val="nil"/>
              <w:left w:val="nil"/>
              <w:bottom w:val="single" w:color="auto" w:sz="4" w:space="0"/>
              <w:right w:val="single" w:color="auto" w:sz="4" w:space="0"/>
            </w:tcBorders>
            <w:vAlign w:val="center"/>
          </w:tcPr>
          <w:p>
            <w:pPr>
              <w:pBdr>
                <w:top w:val="none" w:color="auto" w:sz="0" w:space="1"/>
                <w:left w:val="none" w:color="auto" w:sz="0" w:space="4"/>
                <w:bottom w:val="none" w:color="auto" w:sz="0" w:space="1"/>
                <w:right w:val="none" w:color="auto" w:sz="0" w:space="4"/>
              </w:pBdr>
              <w:topLinePunct/>
              <w:adjustRightInd w:val="0"/>
              <w:snapToGrid w:val="0"/>
              <w:jc w:val="center"/>
              <w:rPr>
                <w:rFonts w:ascii="Times New Roman" w:hAnsi="Times New Roman" w:eastAsia="仿宋_GB2312"/>
                <w:snapToGrid w:val="0"/>
                <w:sz w:val="24"/>
                <w:szCs w:val="24"/>
              </w:rPr>
            </w:pPr>
            <w:r>
              <w:rPr>
                <w:rFonts w:ascii="Times New Roman" w:hAnsi="Times New Roman" w:eastAsia="仿宋_GB2312"/>
                <w:snapToGrid w:val="0"/>
                <w:sz w:val="24"/>
                <w:szCs w:val="24"/>
              </w:rPr>
              <w:t>与市级持平</w:t>
            </w:r>
          </w:p>
        </w:tc>
        <w:tc>
          <w:tcPr>
            <w:tcW w:w="2050" w:type="dxa"/>
            <w:tcBorders>
              <w:top w:val="nil"/>
              <w:left w:val="nil"/>
              <w:bottom w:val="single" w:color="auto" w:sz="4" w:space="0"/>
              <w:right w:val="single" w:color="auto" w:sz="4" w:space="0"/>
            </w:tcBorders>
            <w:vAlign w:val="center"/>
          </w:tcPr>
          <w:p>
            <w:pPr>
              <w:pBdr>
                <w:top w:val="none" w:color="auto" w:sz="0" w:space="1"/>
                <w:left w:val="none" w:color="auto" w:sz="0" w:space="4"/>
                <w:bottom w:val="none" w:color="auto" w:sz="0" w:space="1"/>
                <w:right w:val="none" w:color="auto" w:sz="0" w:space="4"/>
              </w:pBdr>
              <w:topLinePunct/>
              <w:adjustRightInd w:val="0"/>
              <w:snapToGrid w:val="0"/>
              <w:jc w:val="center"/>
              <w:rPr>
                <w:rFonts w:ascii="Times New Roman" w:hAnsi="Times New Roman" w:eastAsia="仿宋_GB2312"/>
                <w:snapToGrid w:val="0"/>
                <w:sz w:val="24"/>
                <w:szCs w:val="24"/>
              </w:rPr>
            </w:pPr>
            <w:r>
              <w:rPr>
                <w:rFonts w:ascii="Times New Roman" w:hAnsi="Times New Roman" w:eastAsia="仿宋_GB2312"/>
                <w:snapToGrid w:val="0"/>
                <w:sz w:val="24"/>
                <w:szCs w:val="24"/>
              </w:rPr>
              <w:t>-15.4%</w:t>
            </w:r>
          </w:p>
        </w:tc>
        <w:tc>
          <w:tcPr>
            <w:tcW w:w="1719" w:type="dxa"/>
            <w:tcBorders>
              <w:top w:val="nil"/>
              <w:left w:val="nil"/>
              <w:bottom w:val="single" w:color="auto" w:sz="4" w:space="0"/>
              <w:right w:val="single" w:color="auto" w:sz="4" w:space="0"/>
            </w:tcBorders>
            <w:vAlign w:val="center"/>
          </w:tcPr>
          <w:p>
            <w:pPr>
              <w:pBdr>
                <w:top w:val="none" w:color="auto" w:sz="0" w:space="1"/>
                <w:left w:val="none" w:color="auto" w:sz="0" w:space="4"/>
                <w:bottom w:val="none" w:color="auto" w:sz="0" w:space="1"/>
                <w:right w:val="none" w:color="auto" w:sz="0" w:space="4"/>
              </w:pBdr>
              <w:topLinePunct/>
              <w:adjustRightInd w:val="0"/>
              <w:snapToGrid w:val="0"/>
              <w:jc w:val="center"/>
              <w:rPr>
                <w:rFonts w:ascii="Times New Roman" w:hAnsi="Times New Roman" w:eastAsia="仿宋_GB2312"/>
                <w:snapToGrid w:val="0"/>
                <w:sz w:val="24"/>
                <w:szCs w:val="24"/>
              </w:rPr>
            </w:pPr>
            <w:r>
              <w:rPr>
                <w:rFonts w:ascii="Times New Roman" w:hAnsi="Times New Roman" w:eastAsia="仿宋_GB2312"/>
                <w:snapToGrid w:val="0"/>
                <w:sz w:val="24"/>
                <w:szCs w:val="24"/>
              </w:rPr>
              <w:t>稳步回升</w:t>
            </w:r>
          </w:p>
        </w:tc>
      </w:tr>
      <w:tr>
        <w:tblPrEx>
          <w:tblLayout w:type="fixed"/>
          <w:tblCellMar>
            <w:top w:w="0" w:type="dxa"/>
            <w:left w:w="108" w:type="dxa"/>
            <w:bottom w:w="0" w:type="dxa"/>
            <w:right w:w="108" w:type="dxa"/>
          </w:tblCellMar>
        </w:tblPrEx>
        <w:trPr>
          <w:trHeight w:val="391" w:hRule="atLeast"/>
          <w:jc w:val="center"/>
        </w:trPr>
        <w:tc>
          <w:tcPr>
            <w:tcW w:w="3085" w:type="dxa"/>
            <w:tcBorders>
              <w:top w:val="nil"/>
              <w:left w:val="single" w:color="auto" w:sz="4" w:space="0"/>
              <w:bottom w:val="single" w:color="auto" w:sz="4" w:space="0"/>
              <w:right w:val="single" w:color="auto" w:sz="4" w:space="0"/>
            </w:tcBorders>
            <w:vAlign w:val="center"/>
          </w:tcPr>
          <w:p>
            <w:pPr>
              <w:pBdr>
                <w:top w:val="none" w:color="auto" w:sz="0" w:space="1"/>
                <w:left w:val="none" w:color="auto" w:sz="0" w:space="4"/>
                <w:bottom w:val="none" w:color="auto" w:sz="0" w:space="1"/>
                <w:right w:val="none" w:color="auto" w:sz="0" w:space="4"/>
              </w:pBdr>
              <w:topLinePunct/>
              <w:adjustRightInd w:val="0"/>
              <w:snapToGrid w:val="0"/>
              <w:jc w:val="center"/>
              <w:rPr>
                <w:rFonts w:ascii="Times New Roman" w:hAnsi="Times New Roman" w:eastAsia="仿宋_GB2312"/>
                <w:snapToGrid w:val="0"/>
                <w:sz w:val="24"/>
                <w:szCs w:val="24"/>
              </w:rPr>
            </w:pPr>
            <w:r>
              <w:rPr>
                <w:rFonts w:ascii="Times New Roman" w:hAnsi="Times New Roman" w:eastAsia="仿宋_GB2312"/>
                <w:snapToGrid w:val="0"/>
                <w:sz w:val="24"/>
                <w:szCs w:val="24"/>
              </w:rPr>
              <w:t>十、人口自然增长率</w:t>
            </w:r>
          </w:p>
        </w:tc>
        <w:tc>
          <w:tcPr>
            <w:tcW w:w="2209" w:type="dxa"/>
            <w:tcBorders>
              <w:top w:val="nil"/>
              <w:left w:val="nil"/>
              <w:bottom w:val="single" w:color="auto" w:sz="4" w:space="0"/>
              <w:right w:val="single" w:color="auto" w:sz="4" w:space="0"/>
            </w:tcBorders>
            <w:vAlign w:val="center"/>
          </w:tcPr>
          <w:p>
            <w:pPr>
              <w:pBdr>
                <w:top w:val="none" w:color="auto" w:sz="0" w:space="1"/>
                <w:left w:val="none" w:color="auto" w:sz="0" w:space="4"/>
                <w:bottom w:val="none" w:color="auto" w:sz="0" w:space="1"/>
                <w:right w:val="none" w:color="auto" w:sz="0" w:space="4"/>
              </w:pBdr>
              <w:topLinePunct/>
              <w:adjustRightInd w:val="0"/>
              <w:snapToGrid w:val="0"/>
              <w:jc w:val="center"/>
              <w:rPr>
                <w:rFonts w:ascii="Times New Roman" w:hAnsi="Times New Roman" w:eastAsia="仿宋_GB2312"/>
                <w:snapToGrid w:val="0"/>
                <w:sz w:val="24"/>
                <w:szCs w:val="24"/>
                <w:lang w:val="zh-CN"/>
              </w:rPr>
            </w:pPr>
            <w:r>
              <w:rPr>
                <w:rFonts w:ascii="Times New Roman" w:hAnsi="Times New Roman" w:eastAsia="仿宋_GB2312"/>
                <w:spacing w:val="-8"/>
                <w:kern w:val="0"/>
                <w:sz w:val="24"/>
                <w:szCs w:val="24"/>
              </w:rPr>
              <w:t>7‰以内</w:t>
            </w:r>
          </w:p>
        </w:tc>
        <w:tc>
          <w:tcPr>
            <w:tcW w:w="2050" w:type="dxa"/>
            <w:tcBorders>
              <w:top w:val="nil"/>
              <w:left w:val="nil"/>
              <w:bottom w:val="single" w:color="auto" w:sz="4" w:space="0"/>
              <w:right w:val="single" w:color="auto" w:sz="4" w:space="0"/>
            </w:tcBorders>
            <w:vAlign w:val="center"/>
          </w:tcPr>
          <w:p>
            <w:pPr>
              <w:pBdr>
                <w:top w:val="none" w:color="auto" w:sz="0" w:space="1"/>
                <w:left w:val="none" w:color="auto" w:sz="0" w:space="4"/>
                <w:bottom w:val="none" w:color="auto" w:sz="0" w:space="1"/>
                <w:right w:val="none" w:color="auto" w:sz="0" w:space="4"/>
              </w:pBdr>
              <w:topLinePunct/>
              <w:adjustRightInd w:val="0"/>
              <w:snapToGrid w:val="0"/>
              <w:ind w:firstLine="672" w:firstLineChars="300"/>
              <w:rPr>
                <w:rFonts w:ascii="Times New Roman" w:hAnsi="Times New Roman" w:eastAsia="仿宋_GB2312"/>
                <w:spacing w:val="-8"/>
                <w:kern w:val="0"/>
                <w:sz w:val="24"/>
                <w:szCs w:val="24"/>
              </w:rPr>
            </w:pPr>
            <w:r>
              <w:rPr>
                <w:rFonts w:hint="eastAsia" w:ascii="Times New Roman" w:hAnsi="Times New Roman" w:eastAsia="仿宋_GB2312"/>
                <w:spacing w:val="-8"/>
                <w:kern w:val="0"/>
                <w:sz w:val="24"/>
                <w:szCs w:val="24"/>
              </w:rPr>
              <w:t>——</w:t>
            </w:r>
          </w:p>
        </w:tc>
        <w:tc>
          <w:tcPr>
            <w:tcW w:w="1719" w:type="dxa"/>
            <w:tcBorders>
              <w:top w:val="nil"/>
              <w:left w:val="nil"/>
              <w:bottom w:val="single" w:color="auto" w:sz="4" w:space="0"/>
              <w:right w:val="single" w:color="auto" w:sz="4" w:space="0"/>
            </w:tcBorders>
            <w:vAlign w:val="center"/>
          </w:tcPr>
          <w:p>
            <w:pPr>
              <w:pBdr>
                <w:top w:val="none" w:color="auto" w:sz="0" w:space="1"/>
                <w:left w:val="none" w:color="auto" w:sz="0" w:space="4"/>
                <w:bottom w:val="none" w:color="auto" w:sz="0" w:space="1"/>
                <w:right w:val="none" w:color="auto" w:sz="0" w:space="4"/>
              </w:pBdr>
              <w:topLinePunct/>
              <w:adjustRightInd w:val="0"/>
              <w:snapToGrid w:val="0"/>
              <w:ind w:firstLine="224" w:firstLineChars="100"/>
              <w:rPr>
                <w:rFonts w:ascii="Times New Roman" w:hAnsi="Times New Roman" w:eastAsia="仿宋_GB2312"/>
                <w:spacing w:val="-8"/>
                <w:kern w:val="0"/>
                <w:sz w:val="24"/>
                <w:szCs w:val="24"/>
              </w:rPr>
            </w:pPr>
            <w:r>
              <w:rPr>
                <w:rFonts w:hint="eastAsia" w:ascii="Times New Roman" w:hAnsi="Times New Roman" w:eastAsia="仿宋_GB2312"/>
                <w:spacing w:val="-8"/>
                <w:kern w:val="0"/>
                <w:sz w:val="24"/>
                <w:szCs w:val="24"/>
              </w:rPr>
              <w:t>按年度统计</w:t>
            </w:r>
          </w:p>
        </w:tc>
      </w:tr>
    </w:tbl>
    <w:p>
      <w:pPr>
        <w:pBdr>
          <w:top w:val="none" w:color="auto" w:sz="0" w:space="1"/>
          <w:left w:val="none" w:color="auto" w:sz="0" w:space="4"/>
          <w:bottom w:val="none" w:color="auto" w:sz="0" w:space="1"/>
          <w:right w:val="none" w:color="auto" w:sz="0" w:space="4"/>
        </w:pBdr>
        <w:topLinePunct/>
        <w:adjustRightInd w:val="0"/>
        <w:snapToGrid w:val="0"/>
        <w:spacing w:line="560" w:lineRule="exact"/>
        <w:ind w:firstLine="640" w:firstLineChars="200"/>
        <w:rPr>
          <w:rFonts w:ascii="Times New Roman" w:hAnsi="Times New Roman" w:eastAsia="楷体_GB2312"/>
          <w:snapToGrid w:val="0"/>
          <w:color w:val="000000" w:themeColor="text1"/>
          <w:sz w:val="32"/>
          <w:szCs w:val="32"/>
        </w:rPr>
      </w:pPr>
      <w:r>
        <w:rPr>
          <w:rFonts w:ascii="Times New Roman" w:hAnsi="Times New Roman" w:eastAsia="楷体_GB2312"/>
          <w:snapToGrid w:val="0"/>
          <w:color w:val="000000" w:themeColor="text1"/>
          <w:sz w:val="32"/>
          <w:szCs w:val="32"/>
        </w:rPr>
        <w:t>（一）精准发力，“三大攻坚战”扎实推进</w:t>
      </w:r>
    </w:p>
    <w:p>
      <w:pPr>
        <w:pBdr>
          <w:top w:val="none" w:color="auto" w:sz="0" w:space="1"/>
          <w:left w:val="none" w:color="auto" w:sz="0" w:space="4"/>
          <w:bottom w:val="none" w:color="auto" w:sz="0" w:space="1"/>
          <w:right w:val="none" w:color="auto" w:sz="0" w:space="4"/>
        </w:pBdr>
        <w:topLinePunct/>
        <w:adjustRightInd w:val="0"/>
        <w:snapToGrid w:val="0"/>
        <w:spacing w:line="560" w:lineRule="exact"/>
        <w:ind w:firstLine="643" w:firstLineChars="200"/>
        <w:rPr>
          <w:rFonts w:ascii="Times New Roman" w:hAnsi="Times New Roman" w:eastAsia="仿宋_GB2312"/>
          <w:snapToGrid w:val="0"/>
          <w:color w:val="000000"/>
          <w:sz w:val="32"/>
          <w:szCs w:val="32"/>
        </w:rPr>
      </w:pPr>
      <w:r>
        <w:rPr>
          <w:rFonts w:ascii="Times New Roman" w:hAnsi="Times New Roman" w:eastAsia="仿宋_GB2312"/>
          <w:b/>
          <w:snapToGrid w:val="0"/>
          <w:color w:val="000000"/>
          <w:sz w:val="32"/>
          <w:szCs w:val="32"/>
        </w:rPr>
        <w:t>风险防范化解处置有力。</w:t>
      </w:r>
      <w:r>
        <w:rPr>
          <w:rFonts w:ascii="Times New Roman" w:hAnsi="Times New Roman" w:eastAsia="仿宋_GB2312"/>
          <w:snapToGrid w:val="0"/>
          <w:color w:val="000000"/>
          <w:sz w:val="32"/>
          <w:szCs w:val="32"/>
        </w:rPr>
        <w:t>政府债务年初余额32.12亿元，2020年到期政府债券9.11亿元。上半年，通过申请再融资债券的方式化解到期政府债券2.1亿元，守住债务风险底线</w:t>
      </w:r>
      <w:r>
        <w:rPr>
          <w:rFonts w:ascii="Times New Roman" w:hAnsi="Times New Roman" w:eastAsia="仿宋_GB2312"/>
          <w:sz w:val="32"/>
          <w:szCs w:val="32"/>
        </w:rPr>
        <w:t>。甄别西山区兴禹水资源开发有限公司安置房建设的2020年到期隐性债务1.77</w:t>
      </w:r>
      <w:r>
        <w:rPr>
          <w:rFonts w:ascii="Times New Roman" w:hAnsi="Times New Roman" w:eastAsia="仿宋_GB2312"/>
          <w:snapToGrid w:val="0"/>
          <w:color w:val="000000"/>
          <w:sz w:val="32"/>
          <w:szCs w:val="32"/>
        </w:rPr>
        <w:t>亿元，</w:t>
      </w:r>
      <w:r>
        <w:rPr>
          <w:rFonts w:ascii="Times New Roman" w:hAnsi="Times New Roman" w:eastAsia="仿宋_GB2312"/>
          <w:sz w:val="32"/>
          <w:szCs w:val="32"/>
        </w:rPr>
        <w:t>拟定化解方案。安全生产、交通运输等</w:t>
      </w:r>
      <w:r>
        <w:rPr>
          <w:rFonts w:ascii="Times New Roman" w:hAnsi="Times New Roman" w:eastAsia="仿宋_GB2312"/>
          <w:snapToGrid w:val="0"/>
          <w:color w:val="000000"/>
          <w:sz w:val="32"/>
          <w:szCs w:val="32"/>
        </w:rPr>
        <w:t>各类重大风险总体可控。</w:t>
      </w:r>
    </w:p>
    <w:p>
      <w:pPr>
        <w:pBdr>
          <w:top w:val="none" w:color="auto" w:sz="0" w:space="1"/>
          <w:left w:val="none" w:color="auto" w:sz="0" w:space="4"/>
          <w:bottom w:val="none" w:color="auto" w:sz="0" w:space="1"/>
          <w:right w:val="none" w:color="auto" w:sz="0" w:space="4"/>
        </w:pBdr>
        <w:spacing w:line="560" w:lineRule="exact"/>
        <w:ind w:firstLine="643" w:firstLineChars="200"/>
        <w:rPr>
          <w:rFonts w:ascii="Times New Roman" w:hAnsi="Times New Roman" w:eastAsia="仿宋_GB2312"/>
          <w:sz w:val="32"/>
          <w:szCs w:val="32"/>
        </w:rPr>
      </w:pPr>
      <w:r>
        <w:rPr>
          <w:rFonts w:ascii="Times New Roman" w:hAnsi="Times New Roman" w:eastAsia="仿宋_GB2312"/>
          <w:b/>
          <w:snapToGrid w:val="0"/>
          <w:color w:val="000000"/>
          <w:sz w:val="32"/>
          <w:szCs w:val="32"/>
        </w:rPr>
        <w:t>脱贫脱困帮扶精准有为。</w:t>
      </w:r>
      <w:r>
        <w:rPr>
          <w:rFonts w:ascii="Times New Roman" w:hAnsi="Times New Roman" w:eastAsia="仿宋_GB2312"/>
          <w:sz w:val="32"/>
          <w:szCs w:val="32"/>
        </w:rPr>
        <w:t>投入上年度精准帮扶建设项目尾款76.64万元，巩固区内脱贫攻坚成果。发放义务教育家庭困难学生生活补助209.88万元，惠及学生5025人。建档立卡参保人数共计589人，参保率100%，支付医保统筹基金183万元惠及764人次，发挥医保扶贫托底功能。实施海口街道办事处小麦地灌溉、区级五小水利等系列水利工程，保障我区相对贫困地区饮水与灌溉用水。继续选派13名驻村队员、192名结对帮扶责任人，帮扶寻甸县和东川区的806户建档立卡贫困户</w:t>
      </w:r>
      <w:r>
        <w:rPr>
          <w:rFonts w:ascii="Times New Roman" w:hAnsi="Times New Roman" w:eastAsia="仿宋_GB2312"/>
          <w:sz w:val="32"/>
          <w:lang w:val="zh-CN"/>
        </w:rPr>
        <w:t>。</w:t>
      </w:r>
      <w:r>
        <w:rPr>
          <w:rFonts w:ascii="Times New Roman" w:hAnsi="Times New Roman" w:eastAsia="仿宋_GB2312"/>
          <w:sz w:val="32"/>
        </w:rPr>
        <w:t>吸收</w:t>
      </w:r>
      <w:r>
        <w:rPr>
          <w:rFonts w:ascii="Times New Roman" w:hAnsi="Times New Roman" w:eastAsia="仿宋_GB2312"/>
          <w:sz w:val="32"/>
          <w:lang w:val="zh-CN"/>
        </w:rPr>
        <w:t>贫困人口</w:t>
      </w:r>
      <w:r>
        <w:rPr>
          <w:rFonts w:ascii="Times New Roman" w:hAnsi="Times New Roman" w:eastAsia="仿宋_GB2312"/>
          <w:sz w:val="32"/>
        </w:rPr>
        <w:t>1246</w:t>
      </w:r>
      <w:r>
        <w:rPr>
          <w:rFonts w:ascii="Times New Roman" w:hAnsi="Times New Roman" w:eastAsia="仿宋_GB2312"/>
          <w:sz w:val="32"/>
          <w:lang w:val="zh-CN"/>
        </w:rPr>
        <w:t>人就业。</w:t>
      </w:r>
    </w:p>
    <w:p>
      <w:pPr>
        <w:pBdr>
          <w:top w:val="none" w:color="auto" w:sz="0" w:space="1"/>
          <w:left w:val="none" w:color="auto" w:sz="0" w:space="4"/>
          <w:bottom w:val="none" w:color="auto" w:sz="0" w:space="1"/>
          <w:right w:val="none" w:color="auto" w:sz="0" w:space="4"/>
        </w:pBdr>
        <w:topLinePunct/>
        <w:adjustRightInd w:val="0"/>
        <w:snapToGrid w:val="0"/>
        <w:spacing w:line="560" w:lineRule="exact"/>
        <w:ind w:firstLine="643" w:firstLineChars="200"/>
        <w:rPr>
          <w:rFonts w:ascii="Times New Roman" w:hAnsi="Times New Roman" w:eastAsia="仿宋_GB2312"/>
          <w:b/>
          <w:snapToGrid w:val="0"/>
          <w:color w:val="000000"/>
          <w:sz w:val="32"/>
          <w:szCs w:val="32"/>
        </w:rPr>
      </w:pPr>
      <w:r>
        <w:rPr>
          <w:rFonts w:ascii="Times New Roman" w:hAnsi="Times New Roman" w:eastAsia="仿宋_GB2312"/>
          <w:b/>
          <w:snapToGrid w:val="0"/>
          <w:color w:val="000000"/>
          <w:sz w:val="32"/>
          <w:szCs w:val="32"/>
        </w:rPr>
        <w:t>污染防治攻坚更加有效。</w:t>
      </w:r>
      <w:r>
        <w:rPr>
          <w:rFonts w:ascii="Times New Roman" w:hAnsi="Times New Roman" w:eastAsia="仿宋_GB2312"/>
          <w:sz w:val="32"/>
          <w:szCs w:val="32"/>
        </w:rPr>
        <w:t>空气质量优良率为100%。33家加油站全部完成油气回收综合治理工作，28家加油站完成地下油罐改造。第二次全国污染源普查工作顺利通过市级验收。争取水污染防治中央资金500万元。完成滇池保护治理“十三五”规划涉及我区任务12项，实现草海和外海水质稳定达到Ⅳ类目标。完成测土配方施肥技术推广3.45万亩，完成率137.86%，建立测土配方技术示范区0.39万亩，完成率131.1%。</w:t>
      </w:r>
    </w:p>
    <w:p>
      <w:pPr>
        <w:pBdr>
          <w:top w:val="none" w:color="auto" w:sz="0" w:space="1"/>
          <w:left w:val="none" w:color="auto" w:sz="0" w:space="4"/>
          <w:bottom w:val="none" w:color="auto" w:sz="0" w:space="1"/>
          <w:right w:val="none" w:color="auto" w:sz="0" w:space="4"/>
        </w:pBdr>
        <w:topLinePunct/>
        <w:adjustRightInd w:val="0"/>
        <w:snapToGrid w:val="0"/>
        <w:spacing w:line="560" w:lineRule="exact"/>
        <w:ind w:firstLine="640" w:firstLineChars="200"/>
        <w:rPr>
          <w:rFonts w:ascii="Times New Roman" w:hAnsi="Times New Roman" w:eastAsia="楷体_GB2312"/>
          <w:snapToGrid w:val="0"/>
          <w:color w:val="0000FF"/>
          <w:sz w:val="32"/>
          <w:szCs w:val="32"/>
        </w:rPr>
      </w:pPr>
      <w:r>
        <w:rPr>
          <w:rFonts w:ascii="Times New Roman" w:hAnsi="Times New Roman" w:eastAsia="楷体_GB2312"/>
          <w:snapToGrid w:val="0"/>
          <w:color w:val="000000" w:themeColor="text1"/>
          <w:sz w:val="32"/>
          <w:szCs w:val="32"/>
        </w:rPr>
        <w:t>（二）稳基本盘，经济质效持续提升</w:t>
      </w:r>
    </w:p>
    <w:p>
      <w:pPr>
        <w:pBdr>
          <w:top w:val="none" w:color="auto" w:sz="0" w:space="1"/>
          <w:left w:val="none" w:color="auto" w:sz="0" w:space="4"/>
          <w:bottom w:val="none" w:color="auto" w:sz="0" w:space="1"/>
          <w:right w:val="none" w:color="auto" w:sz="0" w:space="4"/>
        </w:pBdr>
        <w:topLinePunct/>
        <w:adjustRightInd w:val="0"/>
        <w:snapToGrid w:val="0"/>
        <w:spacing w:line="560" w:lineRule="exact"/>
        <w:ind w:firstLine="643" w:firstLineChars="200"/>
        <w:rPr>
          <w:rFonts w:ascii="Times New Roman" w:hAnsi="Times New Roman" w:eastAsia="仿宋_GB2312"/>
          <w:sz w:val="32"/>
          <w:szCs w:val="32"/>
        </w:rPr>
      </w:pPr>
      <w:r>
        <w:rPr>
          <w:rFonts w:ascii="Times New Roman" w:hAnsi="Times New Roman" w:eastAsia="仿宋_GB2312"/>
          <w:b/>
          <w:bCs/>
          <w:snapToGrid w:val="0"/>
          <w:color w:val="000000"/>
          <w:sz w:val="32"/>
          <w:szCs w:val="32"/>
        </w:rPr>
        <w:t>疫情防控和复工复产两手抓。</w:t>
      </w:r>
      <w:r>
        <w:rPr>
          <w:rFonts w:ascii="Times New Roman" w:hAnsi="Times New Roman" w:eastAsia="仿宋_GB2312"/>
          <w:sz w:val="32"/>
          <w:szCs w:val="32"/>
        </w:rPr>
        <w:t>贯彻落实中央、省、市应对疫情稳定经济社会运行各领域政策措施，出台并落实</w:t>
      </w:r>
      <w:r>
        <w:rPr>
          <w:rFonts w:ascii="Times New Roman" w:hAnsi="Times New Roman" w:eastAsia="仿宋_GB2312"/>
          <w:bCs/>
          <w:sz w:val="32"/>
          <w:szCs w:val="32"/>
        </w:rPr>
        <w:t>“20+10+7”系列援企惠民与</w:t>
      </w:r>
      <w:r>
        <w:rPr>
          <w:rFonts w:ascii="Times New Roman" w:hAnsi="Times New Roman" w:eastAsia="仿宋_GB2312"/>
          <w:sz w:val="32"/>
          <w:szCs w:val="32"/>
        </w:rPr>
        <w:t>复工复产</w:t>
      </w:r>
      <w:r>
        <w:rPr>
          <w:rFonts w:ascii="Times New Roman" w:hAnsi="Times New Roman" w:eastAsia="仿宋_GB2312"/>
          <w:bCs/>
          <w:sz w:val="32"/>
          <w:szCs w:val="32"/>
        </w:rPr>
        <w:t>政策</w:t>
      </w:r>
      <w:r>
        <w:rPr>
          <w:rFonts w:ascii="Times New Roman" w:hAnsi="Times New Roman" w:eastAsia="仿宋_GB2312"/>
          <w:sz w:val="32"/>
          <w:szCs w:val="32"/>
        </w:rPr>
        <w:t>，上半年，共计兑现系列政策扶持补助资金3316.63万元，惠及企业254户次，“四上”企业全部实现复工复产。1-6月全区新增减税降费6.15亿元。</w:t>
      </w:r>
      <w:r>
        <w:rPr>
          <w:rFonts w:ascii="Times New Roman" w:hAnsi="Times New Roman" w:eastAsia="仿宋_GB2312"/>
          <w:sz w:val="32"/>
        </w:rPr>
        <w:t>拨付疫情防控资金0.35亿元，</w:t>
      </w:r>
      <w:r>
        <w:rPr>
          <w:rFonts w:ascii="Times New Roman" w:hAnsi="Times New Roman" w:eastAsia="仿宋_GB2312"/>
          <w:kern w:val="0"/>
          <w:sz w:val="32"/>
          <w:szCs w:val="32"/>
        </w:rPr>
        <w:t>兑现受疫情直接影响的6户企业稳定岗位补贴66万元。</w:t>
      </w:r>
      <w:r>
        <w:rPr>
          <w:rFonts w:ascii="Times New Roman" w:hAnsi="Times New Roman" w:eastAsia="仿宋_GB2312"/>
          <w:sz w:val="32"/>
          <w:szCs w:val="32"/>
        </w:rPr>
        <w:t>发放创业担保贷款0.13亿元。26家企业通过银政企对接机制，获得贷款资金8.72亿元。</w:t>
      </w:r>
    </w:p>
    <w:p>
      <w:pPr>
        <w:pBdr>
          <w:top w:val="none" w:color="auto" w:sz="0" w:space="1"/>
          <w:left w:val="none" w:color="auto" w:sz="0" w:space="4"/>
          <w:bottom w:val="none" w:color="auto" w:sz="0" w:space="1"/>
          <w:right w:val="none" w:color="auto" w:sz="0" w:space="4"/>
        </w:pBdr>
        <w:spacing w:line="560" w:lineRule="exact"/>
        <w:ind w:firstLine="643" w:firstLineChars="200"/>
        <w:rPr>
          <w:rFonts w:ascii="Times New Roman" w:hAnsi="Times New Roman" w:eastAsia="仿宋_GB2312"/>
          <w:sz w:val="32"/>
          <w:szCs w:val="32"/>
        </w:rPr>
      </w:pPr>
      <w:r>
        <w:rPr>
          <w:rFonts w:ascii="Times New Roman" w:hAnsi="Times New Roman" w:eastAsia="仿宋_GB2312"/>
          <w:b/>
          <w:bCs/>
          <w:snapToGrid w:val="0"/>
          <w:sz w:val="32"/>
          <w:szCs w:val="32"/>
        </w:rPr>
        <w:t>产业和消费持续提优。</w:t>
      </w:r>
      <w:r>
        <w:rPr>
          <w:rFonts w:ascii="Times New Roman" w:hAnsi="Times New Roman" w:eastAsia="仿宋_GB2312"/>
          <w:snapToGrid w:val="0"/>
          <w:sz w:val="32"/>
          <w:szCs w:val="32"/>
        </w:rPr>
        <w:t>产业结构为0.5:12.4:87.1。推动构建“4×3”（房地产、新型化工、装备制造3个基础产业，大健康、数字经济、服务贸易3个主导产业，商贸物流、文化创意、主题旅游3个配套产业，生态农业、金融结算、军民融合3个机会产业）产业体系，</w:t>
      </w:r>
      <w:r>
        <w:rPr>
          <w:rFonts w:ascii="Times New Roman" w:hAnsi="Times New Roman" w:eastAsia="仿宋_GB2312"/>
          <w:b/>
          <w:bCs/>
          <w:color w:val="000000"/>
          <w:sz w:val="32"/>
          <w:szCs w:val="32"/>
        </w:rPr>
        <w:t>基础产业奠基</w:t>
      </w:r>
      <w:r>
        <w:rPr>
          <w:rFonts w:ascii="Times New Roman" w:hAnsi="Times New Roman" w:eastAsia="仿宋_GB2312"/>
          <w:color w:val="000000"/>
          <w:sz w:val="32"/>
          <w:szCs w:val="32"/>
        </w:rPr>
        <w:t>，</w:t>
      </w:r>
      <w:r>
        <w:rPr>
          <w:rFonts w:ascii="Times New Roman" w:hAnsi="Times New Roman" w:eastAsia="仿宋_GB2312"/>
          <w:sz w:val="32"/>
          <w:szCs w:val="32"/>
          <w:shd w:val="clear" w:color="auto" w:fill="FFFFFF"/>
        </w:rPr>
        <w:t>全区规上工业企业57户</w:t>
      </w:r>
      <w:r>
        <w:rPr>
          <w:rFonts w:ascii="Times New Roman" w:hAnsi="Times New Roman" w:eastAsia="仿宋_GB2312"/>
          <w:sz w:val="32"/>
          <w:szCs w:val="32"/>
        </w:rPr>
        <w:t>，1-6月实</w:t>
      </w:r>
      <w:r>
        <w:rPr>
          <w:rFonts w:ascii="Times New Roman" w:hAnsi="Times New Roman" w:eastAsia="仿宋_GB2312"/>
          <w:sz w:val="32"/>
          <w:szCs w:val="32"/>
          <w:shd w:val="clear" w:color="auto" w:fill="FFFFFF"/>
        </w:rPr>
        <w:t>现总产值68.74亿元，同比下降9.94%。</w:t>
      </w:r>
      <w:r>
        <w:rPr>
          <w:rFonts w:ascii="Times New Roman" w:hAnsi="Times New Roman" w:eastAsia="仿宋_GB2312"/>
          <w:sz w:val="32"/>
          <w:szCs w:val="32"/>
        </w:rPr>
        <w:t>组织云南三环中化化肥有限公司、昆明华信金属材料制造有限公司、云南磷化集团海口磷业有限公司3家企业申报工业企业能效“领跑者”，引导工业绿色发展。</w:t>
      </w:r>
      <w:r>
        <w:rPr>
          <w:rFonts w:ascii="Times New Roman" w:hAnsi="Times New Roman" w:eastAsia="仿宋_GB2312"/>
          <w:b/>
          <w:bCs/>
          <w:sz w:val="32"/>
          <w:szCs w:val="32"/>
        </w:rPr>
        <w:t>主导产业引领</w:t>
      </w:r>
      <w:r>
        <w:rPr>
          <w:rFonts w:ascii="Times New Roman" w:hAnsi="Times New Roman" w:eastAsia="仿宋_GB2312"/>
          <w:color w:val="000000"/>
          <w:sz w:val="32"/>
          <w:szCs w:val="32"/>
        </w:rPr>
        <w:t>，</w:t>
      </w:r>
      <w:r>
        <w:rPr>
          <w:rFonts w:ascii="Times New Roman" w:hAnsi="Times New Roman" w:eastAsia="仿宋_GB2312"/>
          <w:bCs/>
          <w:kern w:val="0"/>
          <w:sz w:val="32"/>
          <w:szCs w:val="32"/>
        </w:rPr>
        <w:t>制定出台《西山区2020-2021年大健康产业发展专项计划》，</w:t>
      </w:r>
      <w:r>
        <w:rPr>
          <w:rFonts w:ascii="Times New Roman" w:hAnsi="Times New Roman" w:eastAsia="仿宋_GB2312"/>
          <w:sz w:val="32"/>
          <w:szCs w:val="32"/>
        </w:rPr>
        <w:t>西山区人民医院三级医院、草海中医馆、白沙地片区一期配套社区医院等重点建设项目稳步推进。1-6月全区（含旅游度假区）规模以上互联网软件和相关服务业主营业务收入实现3.04亿元，增速为-4.42%。</w:t>
      </w:r>
      <w:r>
        <w:rPr>
          <w:rFonts w:ascii="Times New Roman" w:hAnsi="Times New Roman" w:eastAsia="仿宋_GB2312"/>
          <w:snapToGrid w:val="0"/>
          <w:color w:val="000000"/>
          <w:sz w:val="32"/>
          <w:szCs w:val="32"/>
        </w:rPr>
        <w:t>保有税收亿元楼宇6幢、税收千万元楼宇15幢。</w:t>
      </w:r>
      <w:r>
        <w:rPr>
          <w:rFonts w:ascii="Times New Roman" w:hAnsi="Times New Roman" w:eastAsia="仿宋_GB2312"/>
          <w:color w:val="000000"/>
          <w:sz w:val="32"/>
          <w:szCs w:val="32"/>
        </w:rPr>
        <w:t>响应昆明市“消费券+商户促销折扣”折上折活动，发放旅游消费券5248张，带动38.57万人消费，总消费金额1.84亿元，拉动消费系数达11.56（1元的消费券能够带动11.56元的消费）。</w:t>
      </w:r>
      <w:r>
        <w:rPr>
          <w:rFonts w:ascii="Times New Roman" w:hAnsi="Times New Roman" w:eastAsia="仿宋_GB2312"/>
          <w:sz w:val="32"/>
          <w:szCs w:val="32"/>
        </w:rPr>
        <w:t>设立“西山区疫情便民蔬果供应点”26个点，</w:t>
      </w:r>
      <w:r>
        <w:rPr>
          <w:rFonts w:ascii="Times New Roman" w:hAnsi="Times New Roman" w:eastAsia="仿宋_GB2312"/>
          <w:kern w:val="1"/>
          <w:sz w:val="32"/>
          <w:szCs w:val="32"/>
        </w:rPr>
        <w:t>推进中石油海源河、兴苑路2个加油站点建设。</w:t>
      </w:r>
      <w:r>
        <w:rPr>
          <w:rFonts w:ascii="Times New Roman" w:hAnsi="Times New Roman" w:eastAsia="仿宋_GB2312"/>
          <w:b/>
          <w:bCs/>
          <w:snapToGrid w:val="0"/>
          <w:color w:val="000000"/>
          <w:sz w:val="32"/>
          <w:szCs w:val="32"/>
        </w:rPr>
        <w:t>配套产业协同</w:t>
      </w:r>
      <w:r>
        <w:rPr>
          <w:rFonts w:ascii="Times New Roman" w:hAnsi="Times New Roman" w:eastAsia="仿宋_GB2312"/>
          <w:color w:val="000000"/>
          <w:sz w:val="32"/>
          <w:szCs w:val="32"/>
        </w:rPr>
        <w:t>，</w:t>
      </w:r>
      <w:r>
        <w:rPr>
          <w:rFonts w:ascii="Times New Roman" w:hAnsi="Times New Roman" w:eastAsia="仿宋_GB2312"/>
          <w:sz w:val="32"/>
          <w:szCs w:val="32"/>
        </w:rPr>
        <w:t>长坡物流产业园区重点入园项目港鑫国际汽车城累计完成投资19.89亿元，昆明中禄农副产品交易中心项目前置手续有序推进。保有各类出版物发行单位194家，上半年完成营业收入14.49亿元。推进以“中国第一座水电站”石龙坝为题材创作的影视剧拍摄，推动西山文化品牌“走岀去”。</w:t>
      </w:r>
      <w:r>
        <w:rPr>
          <w:rFonts w:ascii="Times New Roman" w:hAnsi="Times New Roman" w:eastAsia="仿宋_GB2312"/>
          <w:color w:val="000000"/>
          <w:sz w:val="32"/>
          <w:szCs w:val="32"/>
        </w:rPr>
        <w:t>推行景区门票优惠政策，辖区景区100%复工，</w:t>
      </w:r>
      <w:r>
        <w:rPr>
          <w:rFonts w:ascii="Times New Roman" w:hAnsi="Times New Roman" w:eastAsia="仿宋_GB2312"/>
          <w:sz w:val="32"/>
          <w:szCs w:val="32"/>
        </w:rPr>
        <w:t>1-6月累</w:t>
      </w:r>
      <w:r>
        <w:rPr>
          <w:rFonts w:ascii="Times New Roman" w:hAnsi="Times New Roman" w:eastAsia="仿宋_GB2312"/>
          <w:color w:val="000000"/>
          <w:sz w:val="32"/>
          <w:szCs w:val="32"/>
        </w:rPr>
        <w:t>计接待游客748.93万人次，实现旅游收入86.23亿元。整合商贸、文旅、康体等产业资源，融入云南省“大滇西旅游环线建设”，入选省级特色旅游城市</w:t>
      </w:r>
      <w:r>
        <w:rPr>
          <w:rFonts w:ascii="Times New Roman" w:hAnsi="Times New Roman" w:eastAsia="仿宋_GB2312"/>
          <w:color w:val="000000"/>
          <w:sz w:val="32"/>
          <w:szCs w:val="32"/>
          <w:shd w:val="clear" w:color="auto" w:fill="FFFFFF"/>
        </w:rPr>
        <w:t>。</w:t>
      </w:r>
      <w:r>
        <w:rPr>
          <w:rFonts w:ascii="Times New Roman" w:hAnsi="Times New Roman" w:eastAsia="仿宋_GB2312"/>
          <w:b/>
          <w:bCs/>
          <w:sz w:val="32"/>
          <w:szCs w:val="32"/>
        </w:rPr>
        <w:t>机会产业育能</w:t>
      </w:r>
      <w:r>
        <w:rPr>
          <w:rFonts w:ascii="Times New Roman" w:hAnsi="Times New Roman" w:eastAsia="仿宋_GB2312"/>
          <w:color w:val="000000"/>
          <w:sz w:val="32"/>
          <w:szCs w:val="32"/>
        </w:rPr>
        <w:t>，</w:t>
      </w:r>
      <w:r>
        <w:rPr>
          <w:rFonts w:ascii="Times New Roman" w:hAnsi="Times New Roman" w:eastAsia="仿宋_GB2312"/>
          <w:sz w:val="32"/>
          <w:szCs w:val="32"/>
        </w:rPr>
        <w:t>1-6月</w:t>
      </w:r>
      <w:r>
        <w:rPr>
          <w:rFonts w:hint="eastAsia" w:ascii="Times New Roman" w:hAnsi="Times New Roman" w:eastAsia="仿宋_GB2312"/>
          <w:sz w:val="32"/>
          <w:szCs w:val="32"/>
        </w:rPr>
        <w:t>，</w:t>
      </w:r>
      <w:r>
        <w:rPr>
          <w:rFonts w:hint="eastAsia" w:ascii="Times New Roman" w:hAnsi="Times New Roman" w:eastAsia="仿宋_GB2312"/>
          <w:sz w:val="32"/>
          <w:szCs w:val="32"/>
          <w:shd w:val="clear" w:color="auto" w:fill="FFFFFF"/>
        </w:rPr>
        <w:t>农业总产值3.38亿元，同比增速-0.6%</w:t>
      </w:r>
      <w:r>
        <w:rPr>
          <w:rFonts w:ascii="Times New Roman" w:hAnsi="Times New Roman" w:eastAsia="仿宋_GB2312"/>
          <w:sz w:val="32"/>
          <w:szCs w:val="32"/>
          <w:shd w:val="clear" w:color="auto" w:fill="FFFFFF"/>
        </w:rPr>
        <w:t>。</w:t>
      </w:r>
      <w:r>
        <w:rPr>
          <w:rFonts w:ascii="Times New Roman" w:hAnsi="Times New Roman" w:eastAsia="仿宋_GB2312"/>
          <w:sz w:val="32"/>
          <w:szCs w:val="32"/>
        </w:rPr>
        <w:t>完成粮食作物播种面积3.40万亩，经济作物面积2.34万亩。肉类产量1671.2吨，禽蛋产量73.4吨，羊奶产量180吨。2020年春防工作</w:t>
      </w:r>
      <w:r>
        <w:rPr>
          <w:rFonts w:ascii="Times New Roman" w:hAnsi="Times New Roman" w:eastAsia="仿宋_GB2312"/>
          <w:bCs/>
          <w:iCs/>
          <w:sz w:val="32"/>
          <w:szCs w:val="32"/>
        </w:rPr>
        <w:t>全面结束，</w:t>
      </w:r>
      <w:r>
        <w:rPr>
          <w:rFonts w:ascii="Times New Roman" w:hAnsi="Times New Roman" w:eastAsia="仿宋_GB2312"/>
          <w:snapToGrid w:val="0"/>
          <w:color w:val="000000"/>
          <w:spacing w:val="-4"/>
          <w:sz w:val="32"/>
          <w:szCs w:val="32"/>
        </w:rPr>
        <w:t>未发生区域性重大动物疫情。</w:t>
      </w:r>
      <w:r>
        <w:rPr>
          <w:rFonts w:ascii="Times New Roman" w:hAnsi="Times New Roman" w:eastAsia="仿宋_GB2312"/>
          <w:sz w:val="32"/>
          <w:szCs w:val="32"/>
        </w:rPr>
        <w:t>保有农业龙头企业45户，带动农户58.79万户。都市农庄企业完成投资4.66亿元。</w:t>
      </w:r>
    </w:p>
    <w:p>
      <w:pPr>
        <w:pBdr>
          <w:top w:val="none" w:color="auto" w:sz="0" w:space="1"/>
          <w:left w:val="none" w:color="auto" w:sz="0" w:space="4"/>
          <w:bottom w:val="none" w:color="auto" w:sz="0" w:space="1"/>
          <w:right w:val="none" w:color="auto" w:sz="0" w:space="4"/>
        </w:pBdr>
        <w:spacing w:line="560" w:lineRule="exact"/>
        <w:ind w:firstLine="643" w:firstLineChars="200"/>
        <w:rPr>
          <w:rFonts w:ascii="Times New Roman" w:hAnsi="Times New Roman" w:eastAsia="仿宋_GB2312"/>
          <w:sz w:val="32"/>
          <w:szCs w:val="32"/>
        </w:rPr>
      </w:pPr>
      <w:r>
        <w:rPr>
          <w:rFonts w:ascii="Times New Roman" w:hAnsi="Times New Roman" w:eastAsia="仿宋_GB2312"/>
          <w:b/>
          <w:sz w:val="32"/>
          <w:szCs w:val="32"/>
        </w:rPr>
        <w:t>投资结构和增速双提升。</w:t>
      </w:r>
      <w:r>
        <w:rPr>
          <w:rFonts w:ascii="Times New Roman" w:hAnsi="Times New Roman" w:eastAsia="仿宋_GB2312"/>
          <w:sz w:val="32"/>
          <w:szCs w:val="32"/>
        </w:rPr>
        <w:t>1-6月，规模以上固定资产投资完成209.38亿元，同比增长24.4%，增长强势，增速全市排名第一。全区共有49个新增项目入库，为去年同期的2.7倍，新增投资库</w:t>
      </w:r>
      <w:r>
        <w:rPr>
          <w:rFonts w:ascii="Times New Roman" w:hAnsi="Times New Roman" w:eastAsiaTheme="minorEastAsia"/>
        </w:rPr>
        <w:drawing>
          <wp:anchor distT="0" distB="0" distL="114300" distR="114300" simplePos="0" relativeHeight="251701248" behindDoc="0" locked="0" layoutInCell="1" allowOverlap="1">
            <wp:simplePos x="0" y="0"/>
            <wp:positionH relativeFrom="column">
              <wp:posOffset>-146685</wp:posOffset>
            </wp:positionH>
            <wp:positionV relativeFrom="paragraph">
              <wp:posOffset>157480</wp:posOffset>
            </wp:positionV>
            <wp:extent cx="3329305" cy="2498725"/>
            <wp:effectExtent l="4445" t="4445" r="19050" b="11430"/>
            <wp:wrapSquare wrapText="bothSides"/>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r>
        <w:rPr>
          <w:rFonts w:ascii="Times New Roman" w:hAnsi="Times New Roman" w:eastAsia="仿宋_GB2312"/>
          <w:sz w:val="32"/>
          <w:szCs w:val="32"/>
        </w:rPr>
        <w:t>容 346亿元，为去年同期的2.1倍。乡村振兴、水利基础设施、生态环保、教育基础设施、社会民生、文化旅游、道路基础设施7个行业投资有序推进，投资结构不断改善。</w:t>
      </w:r>
    </w:p>
    <w:p>
      <w:pPr>
        <w:pBdr>
          <w:top w:val="none" w:color="auto" w:sz="0" w:space="1"/>
          <w:left w:val="none" w:color="auto" w:sz="0" w:space="4"/>
          <w:bottom w:val="none" w:color="auto" w:sz="0" w:space="1"/>
          <w:right w:val="none" w:color="auto" w:sz="0" w:space="4"/>
        </w:pBdr>
        <w:spacing w:line="560" w:lineRule="exact"/>
        <w:ind w:firstLine="643" w:firstLineChars="200"/>
        <w:rPr>
          <w:rFonts w:ascii="Times New Roman" w:hAnsi="Times New Roman" w:eastAsia="仿宋_GB2312"/>
          <w:sz w:val="32"/>
          <w:szCs w:val="32"/>
        </w:rPr>
      </w:pPr>
      <w:r>
        <w:rPr>
          <w:rFonts w:ascii="Times New Roman" w:hAnsi="Times New Roman" w:eastAsia="仿宋_GB2312"/>
          <w:b/>
          <w:bCs/>
          <w:sz w:val="32"/>
          <w:szCs w:val="32"/>
        </w:rPr>
        <w:t>上级资金和</w:t>
      </w:r>
      <w:r>
        <w:rPr>
          <w:rFonts w:ascii="Times New Roman" w:hAnsi="Times New Roman" w:eastAsia="仿宋_GB2312"/>
          <w:b/>
          <w:sz w:val="32"/>
          <w:szCs w:val="32"/>
        </w:rPr>
        <w:t>债券调节</w:t>
      </w:r>
      <w:r>
        <w:rPr>
          <w:rFonts w:ascii="Times New Roman" w:hAnsi="Times New Roman" w:eastAsia="仿宋_GB2312"/>
          <w:b/>
          <w:bCs/>
          <w:snapToGrid w:val="0"/>
          <w:color w:val="000000"/>
          <w:sz w:val="32"/>
          <w:szCs w:val="32"/>
        </w:rPr>
        <w:t>双撬动</w:t>
      </w:r>
      <w:r>
        <w:rPr>
          <w:rFonts w:ascii="Times New Roman" w:hAnsi="Times New Roman" w:eastAsia="仿宋_GB2312"/>
          <w:b/>
          <w:sz w:val="32"/>
          <w:szCs w:val="32"/>
        </w:rPr>
        <w:t>。</w:t>
      </w:r>
      <w:r>
        <w:rPr>
          <w:rFonts w:ascii="Times New Roman" w:hAnsi="Times New Roman" w:eastAsia="仿宋_GB2312"/>
          <w:b/>
          <w:bCs/>
          <w:sz w:val="32"/>
          <w:szCs w:val="32"/>
        </w:rPr>
        <w:t>积极争取上级资金，</w:t>
      </w:r>
      <w:r>
        <w:rPr>
          <w:rFonts w:ascii="Times New Roman" w:hAnsi="Times New Roman" w:eastAsia="仿宋_GB2312"/>
          <w:sz w:val="32"/>
          <w:szCs w:val="32"/>
        </w:rPr>
        <w:t>上半年，我区共上报争取国家和省级资金58460.21万元，同比增长30.24%，其中，中央资金49031.82万元，省级资金9428.39万元，目前待市级审核认定。2020年老旧小区改造项目争取到472万元中央预算内资金。</w:t>
      </w:r>
      <w:r>
        <w:rPr>
          <w:rFonts w:ascii="Times New Roman" w:hAnsi="Times New Roman" w:eastAsia="仿宋_GB2312"/>
          <w:b/>
          <w:bCs/>
          <w:sz w:val="32"/>
          <w:szCs w:val="32"/>
        </w:rPr>
        <w:t>抢抓债券政策机遇，</w:t>
      </w:r>
      <w:r>
        <w:rPr>
          <w:rFonts w:ascii="Times New Roman" w:hAnsi="Times New Roman" w:eastAsia="仿宋_GB2312"/>
          <w:sz w:val="32"/>
          <w:szCs w:val="32"/>
        </w:rPr>
        <w:t>我区共申报2020年第二批地方政府专项债券项目37项，其中，</w:t>
      </w:r>
      <w:r>
        <w:rPr>
          <w:rFonts w:ascii="Times New Roman" w:hAnsi="Times New Roman" w:eastAsia="仿宋_GB2312"/>
          <w:snapToGrid w:val="0"/>
          <w:color w:val="000000"/>
          <w:sz w:val="32"/>
          <w:szCs w:val="32"/>
        </w:rPr>
        <w:t>“海口工业园区新区污水处理厂（含配套管网）工程新建项目”成功申报发行，专项债资金到位0.34亿元。</w:t>
      </w:r>
      <w:r>
        <w:rPr>
          <w:rFonts w:ascii="Times New Roman" w:hAnsi="Times New Roman" w:eastAsia="仿宋_GB2312"/>
          <w:sz w:val="32"/>
          <w:szCs w:val="32"/>
        </w:rPr>
        <w:t>申报抗疫特别国债73.06亿元，其中，二环外春雨路至成昆铁路水环境综合治理项目—新运粮河水质提升工程获准安排资金0.5亿元。</w:t>
      </w:r>
    </w:p>
    <w:p>
      <w:pPr>
        <w:pBdr>
          <w:top w:val="none" w:color="auto" w:sz="0" w:space="1"/>
          <w:left w:val="none" w:color="auto" w:sz="0" w:space="4"/>
          <w:bottom w:val="none" w:color="auto" w:sz="0" w:space="1"/>
          <w:right w:val="none" w:color="auto" w:sz="0" w:space="4"/>
        </w:pBdr>
        <w:topLinePunct/>
        <w:adjustRightInd w:val="0"/>
        <w:snapToGrid w:val="0"/>
        <w:spacing w:line="560" w:lineRule="exact"/>
        <w:ind w:firstLine="640" w:firstLineChars="200"/>
        <w:rPr>
          <w:rFonts w:ascii="Times New Roman" w:hAnsi="Times New Roman" w:eastAsia="楷体_GB2312"/>
          <w:snapToGrid w:val="0"/>
          <w:color w:val="0000FF"/>
          <w:sz w:val="32"/>
          <w:szCs w:val="32"/>
        </w:rPr>
      </w:pPr>
      <w:r>
        <w:rPr>
          <w:rFonts w:ascii="Times New Roman" w:hAnsi="Times New Roman" w:eastAsia="楷体_GB2312"/>
          <w:sz w:val="32"/>
          <w:szCs w:val="32"/>
        </w:rPr>
        <w:t xml:space="preserve"> </w:t>
      </w:r>
      <w:r>
        <w:rPr>
          <w:rFonts w:ascii="Times New Roman" w:hAnsi="Times New Roman" w:eastAsia="楷体_GB2312"/>
          <w:snapToGrid w:val="0"/>
          <w:color w:val="000000" w:themeColor="text1"/>
          <w:sz w:val="32"/>
          <w:szCs w:val="32"/>
        </w:rPr>
        <w:t>（三）创新引领，经济发展强后劲</w:t>
      </w:r>
    </w:p>
    <w:p>
      <w:pPr>
        <w:pBdr>
          <w:top w:val="none" w:color="auto" w:sz="0" w:space="1"/>
          <w:left w:val="none" w:color="auto" w:sz="0" w:space="4"/>
          <w:bottom w:val="none" w:color="auto" w:sz="0" w:space="1"/>
          <w:right w:val="none" w:color="auto" w:sz="0" w:space="4"/>
        </w:pBdr>
        <w:topLinePunct/>
        <w:adjustRightInd w:val="0"/>
        <w:snapToGrid w:val="0"/>
        <w:spacing w:line="560" w:lineRule="exact"/>
        <w:ind w:firstLine="643" w:firstLineChars="200"/>
        <w:rPr>
          <w:rFonts w:ascii="Times New Roman" w:hAnsi="Times New Roman" w:eastAsia="仿宋_GB2312"/>
          <w:sz w:val="32"/>
          <w:szCs w:val="32"/>
        </w:rPr>
      </w:pPr>
      <w:r>
        <w:rPr>
          <w:rFonts w:ascii="Times New Roman" w:hAnsi="Times New Roman" w:eastAsia="仿宋_GB2312"/>
          <w:b/>
          <w:bCs/>
          <w:snapToGrid w:val="0"/>
          <w:color w:val="000000"/>
          <w:sz w:val="32"/>
          <w:szCs w:val="32"/>
        </w:rPr>
        <w:t>创新创业不断推进。</w:t>
      </w:r>
      <w:r>
        <w:rPr>
          <w:rFonts w:ascii="Times New Roman" w:hAnsi="Times New Roman" w:eastAsia="仿宋_GB2312"/>
          <w:sz w:val="32"/>
          <w:szCs w:val="32"/>
        </w:rPr>
        <w:t>高新技术企业新增认定22家，累计达100家</w:t>
      </w:r>
      <w:r>
        <w:rPr>
          <w:rFonts w:ascii="Times New Roman" w:hAnsi="Times New Roman" w:eastAsia="仿宋_GB2312"/>
          <w:snapToGrid w:val="0"/>
          <w:color w:val="000000"/>
          <w:sz w:val="32"/>
          <w:szCs w:val="32"/>
        </w:rPr>
        <w:t>。</w:t>
      </w:r>
      <w:r>
        <w:rPr>
          <w:rFonts w:ascii="Times New Roman" w:hAnsi="Times New Roman" w:eastAsia="仿宋_GB2312"/>
          <w:color w:val="000000"/>
          <w:sz w:val="32"/>
          <w:szCs w:val="32"/>
        </w:rPr>
        <w:t>组织申报区级人才创新项目48个，智能智造、大健康、高原特色农业、社会工作等领域18个人才项目进入专家评审环节。</w:t>
      </w:r>
      <w:r>
        <w:rPr>
          <w:rFonts w:ascii="Times New Roman" w:hAnsi="Times New Roman" w:eastAsia="仿宋_GB2312"/>
          <w:sz w:val="32"/>
          <w:szCs w:val="32"/>
        </w:rPr>
        <w:t>组织辖区内的33家科研机构、167家规模以上企业申报R&amp;D经费12.03亿元。完成技能培训10957人次，落实创业担保贷款2114万元，支持146人（户）创业。</w:t>
      </w:r>
    </w:p>
    <w:p>
      <w:pPr>
        <w:pBdr>
          <w:top w:val="none" w:color="auto" w:sz="0" w:space="1"/>
          <w:left w:val="none" w:color="auto" w:sz="0" w:space="4"/>
          <w:bottom w:val="none" w:color="auto" w:sz="0" w:space="1"/>
          <w:right w:val="none" w:color="auto" w:sz="0" w:space="4"/>
        </w:pBdr>
        <w:topLinePunct/>
        <w:adjustRightInd w:val="0"/>
        <w:snapToGrid w:val="0"/>
        <w:spacing w:line="560" w:lineRule="exact"/>
        <w:ind w:firstLine="643" w:firstLineChars="200"/>
        <w:rPr>
          <w:rFonts w:ascii="Times New Roman" w:hAnsi="Times New Roman"/>
        </w:rPr>
      </w:pPr>
      <w:r>
        <w:rPr>
          <w:rFonts w:ascii="Times New Roman" w:hAnsi="Times New Roman" w:eastAsia="仿宋_GB2312"/>
          <w:b/>
          <w:bCs/>
          <w:snapToGrid w:val="0"/>
          <w:color w:val="000000"/>
          <w:sz w:val="32"/>
          <w:szCs w:val="32"/>
        </w:rPr>
        <w:t>改革领域步稳质高。</w:t>
      </w:r>
      <w:r>
        <w:rPr>
          <w:rFonts w:ascii="Times New Roman" w:hAnsi="Times New Roman" w:eastAsia="仿宋_GB2312"/>
          <w:sz w:val="32"/>
          <w:szCs w:val="32"/>
        </w:rPr>
        <w:t>深化“放管服”改革，</w:t>
      </w:r>
      <w:r>
        <w:rPr>
          <w:rFonts w:ascii="Times New Roman" w:hAnsi="Times New Roman" w:eastAsia="仿宋_GB2312"/>
          <w:sz w:val="32"/>
        </w:rPr>
        <w:t>取消行政审批事项11项、行政征收3项，压减制度性交易成本，</w:t>
      </w:r>
      <w:r>
        <w:rPr>
          <w:rFonts w:ascii="Times New Roman" w:hAnsi="Times New Roman" w:eastAsia="仿宋_GB2312"/>
          <w:color w:val="000000"/>
          <w:sz w:val="32"/>
          <w:szCs w:val="32"/>
          <w:shd w:val="clear" w:color="auto" w:fill="FFFFFF"/>
        </w:rPr>
        <w:t>“两印一照”免费行动、新开办企业免费刻制印章、错时延时服务惠民便民</w:t>
      </w:r>
      <w:r>
        <w:rPr>
          <w:rFonts w:ascii="Times New Roman" w:hAnsi="Times New Roman" w:eastAsia="仿宋_GB2312"/>
          <w:sz w:val="32"/>
        </w:rPr>
        <w:t>。</w:t>
      </w:r>
      <w:r>
        <w:rPr>
          <w:rFonts w:ascii="Times New Roman" w:hAnsi="Times New Roman" w:eastAsia="仿宋_GB2312"/>
          <w:sz w:val="32"/>
          <w:szCs w:val="32"/>
        </w:rPr>
        <w:t>调整权责清单2220余条，取消或调出行政职权374项。以</w:t>
      </w:r>
      <w:r>
        <w:rPr>
          <w:rFonts w:ascii="Times New Roman" w:hAnsi="Times New Roman" w:eastAsia="仿宋_GB2312"/>
          <w:color w:val="000000"/>
          <w:sz w:val="32"/>
          <w:szCs w:val="32"/>
          <w:shd w:val="clear" w:color="auto" w:fill="FFFFFF"/>
        </w:rPr>
        <w:t>“一网通办”为抓手，整合“一张表单”，精简“申报材料”，严管投资审批中介超市，规范许可依据和许可流程，梳理相关法律法规43部，细化条款81条。</w:t>
      </w:r>
      <w:r>
        <w:rPr>
          <w:rFonts w:ascii="Times New Roman" w:hAnsi="Times New Roman" w:eastAsia="仿宋_GB2312"/>
          <w:kern w:val="0"/>
          <w:sz w:val="32"/>
          <w:szCs w:val="32"/>
        </w:rPr>
        <w:t>不动产一般登记、抵押登记办理时间压缩至5个工作日内。</w:t>
      </w:r>
      <w:r>
        <w:rPr>
          <w:rFonts w:ascii="Times New Roman" w:hAnsi="Times New Roman" w:eastAsia="仿宋_GB2312"/>
          <w:sz w:val="32"/>
          <w:szCs w:val="32"/>
        </w:rPr>
        <w:t>“区管校聘”改革对教师队伍管理体制、编制资源、岗位设置等方面进行革新。</w:t>
      </w:r>
      <w:r>
        <w:rPr>
          <w:rFonts w:ascii="Times New Roman" w:hAnsi="Times New Roman" w:eastAsia="仿宋_GB2312"/>
          <w:color w:val="000000"/>
          <w:sz w:val="32"/>
          <w:szCs w:val="32"/>
          <w:shd w:val="clear" w:color="auto" w:fill="FFFFFF"/>
        </w:rPr>
        <w:t>医院管理改革，公立医院</w:t>
      </w:r>
      <w:r>
        <w:rPr>
          <w:rFonts w:ascii="Times New Roman" w:hAnsi="Times New Roman" w:eastAsia="仿宋_GB2312"/>
          <w:color w:val="000000"/>
          <w:sz w:val="32"/>
          <w:szCs w:val="32"/>
          <w:shd w:val="clear" w:color="auto" w:fill="FFFFFF"/>
          <w:lang w:val="zh-CN"/>
        </w:rPr>
        <w:t>“零差价销售”，</w:t>
      </w:r>
      <w:r>
        <w:rPr>
          <w:rFonts w:ascii="Times New Roman" w:hAnsi="Times New Roman" w:eastAsia="仿宋_GB2312"/>
          <w:color w:val="000000"/>
          <w:sz w:val="32"/>
          <w:szCs w:val="32"/>
          <w:shd w:val="clear" w:color="auto" w:fill="FFFFFF"/>
          <w:lang w:val="zh-TW" w:eastAsia="zh-TW"/>
        </w:rPr>
        <w:t>破除以药养医</w:t>
      </w:r>
      <w:r>
        <w:rPr>
          <w:rFonts w:ascii="Times New Roman" w:hAnsi="Times New Roman" w:eastAsia="仿宋_GB2312"/>
          <w:color w:val="000000"/>
          <w:sz w:val="32"/>
          <w:szCs w:val="32"/>
          <w:shd w:val="clear" w:color="auto" w:fill="FFFFFF"/>
          <w:lang w:val="zh-TW"/>
        </w:rPr>
        <w:t>，</w:t>
      </w:r>
      <w:r>
        <w:rPr>
          <w:rFonts w:ascii="Times New Roman" w:hAnsi="Times New Roman" w:eastAsia="仿宋_GB2312"/>
          <w:color w:val="000000"/>
          <w:sz w:val="32"/>
          <w:szCs w:val="32"/>
          <w:shd w:val="clear" w:color="auto" w:fill="FFFFFF"/>
        </w:rPr>
        <w:t>院长聘任制，推进院长职业化建设。</w:t>
      </w:r>
      <w:r>
        <w:rPr>
          <w:rFonts w:ascii="Times New Roman" w:hAnsi="Times New Roman" w:eastAsia="仿宋_GB2312"/>
          <w:color w:val="000000"/>
          <w:sz w:val="32"/>
          <w:szCs w:val="32"/>
        </w:rPr>
        <w:t>国企改革，完成区属企业高级管理人员身份脱钩工作，</w:t>
      </w:r>
      <w:r>
        <w:rPr>
          <w:rFonts w:ascii="Times New Roman" w:hAnsi="Times New Roman" w:eastAsia="仿宋_GB2312"/>
          <w:color w:val="000000"/>
          <w:sz w:val="32"/>
          <w:szCs w:val="32"/>
          <w:shd w:val="clear" w:color="auto" w:fill="FFFFFF"/>
        </w:rPr>
        <w:t>组建区属国有企业</w:t>
      </w:r>
      <w:r>
        <w:rPr>
          <w:rFonts w:ascii="Times New Roman" w:hAnsi="Times New Roman" w:eastAsia="仿宋_GB2312"/>
          <w:color w:val="000000"/>
          <w:kern w:val="0"/>
          <w:sz w:val="32"/>
          <w:szCs w:val="32"/>
        </w:rPr>
        <w:t>外部董事专家库。</w:t>
      </w:r>
      <w:r>
        <w:rPr>
          <w:rFonts w:ascii="Times New Roman" w:hAnsi="Times New Roman" w:eastAsia="仿宋_GB2312"/>
          <w:color w:val="000000"/>
          <w:sz w:val="32"/>
          <w:szCs w:val="32"/>
          <w:shd w:val="clear" w:color="auto" w:fill="FFFFFF"/>
        </w:rPr>
        <w:t>成立西山区教育投资公司。</w:t>
      </w:r>
      <w:r>
        <w:rPr>
          <w:rStyle w:val="16"/>
          <w:rFonts w:ascii="Times New Roman" w:hAnsi="Times New Roman" w:eastAsia="仿宋_GB2312"/>
          <w:b w:val="0"/>
          <w:bCs w:val="0"/>
          <w:sz w:val="32"/>
          <w:szCs w:val="32"/>
          <w:shd w:val="clear" w:color="auto" w:fill="FFFFFF"/>
        </w:rPr>
        <w:t>农村集体产权制度改革、农村承包地确权登记颁证按期完成。</w:t>
      </w:r>
    </w:p>
    <w:p>
      <w:pPr>
        <w:pStyle w:val="2"/>
        <w:ind w:firstLine="640"/>
        <w:rPr>
          <w:rFonts w:ascii="Times New Roman" w:hAnsi="Times New Roman"/>
        </w:rPr>
      </w:pPr>
      <w:r>
        <w:rPr>
          <w:rFonts w:ascii="Times New Roman" w:hAnsi="Times New Roman" w:eastAsiaTheme="minorEastAsia"/>
        </w:rPr>
        <w:drawing>
          <wp:anchor distT="0" distB="0" distL="114300" distR="114300" simplePos="0" relativeHeight="251675648" behindDoc="0" locked="0" layoutInCell="1" allowOverlap="1">
            <wp:simplePos x="0" y="0"/>
            <wp:positionH relativeFrom="column">
              <wp:posOffset>-146685</wp:posOffset>
            </wp:positionH>
            <wp:positionV relativeFrom="paragraph">
              <wp:posOffset>17780</wp:posOffset>
            </wp:positionV>
            <wp:extent cx="2837815" cy="2045335"/>
            <wp:effectExtent l="5080" t="4445" r="14605" b="7620"/>
            <wp:wrapSquare wrapText="bothSides"/>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Pr>
          <w:rFonts w:ascii="Times New Roman" w:hAnsi="Times New Roman" w:eastAsia="仿宋_GB2312"/>
          <w:b/>
          <w:snapToGrid w:val="0"/>
          <w:color w:val="000000"/>
        </w:rPr>
        <w:t>资金引进稳健高效。</w:t>
      </w:r>
      <w:r>
        <w:rPr>
          <w:rFonts w:ascii="Times New Roman" w:hAnsi="Times New Roman" w:eastAsia="仿宋_GB2312"/>
          <w:shd w:val="clear" w:color="auto" w:fill="FFFFFF"/>
        </w:rPr>
        <w:t>1-6月，</w:t>
      </w:r>
      <w:r>
        <w:rPr>
          <w:rFonts w:ascii="Times New Roman" w:hAnsi="Times New Roman" w:eastAsia="仿宋_GB2312"/>
          <w:color w:val="000000"/>
        </w:rPr>
        <w:t>我区</w:t>
      </w:r>
      <w:r>
        <w:rPr>
          <w:rFonts w:ascii="Times New Roman" w:hAnsi="Times New Roman" w:eastAsia="仿宋_GB2312"/>
          <w:snapToGrid w:val="0"/>
          <w:color w:val="000000"/>
        </w:rPr>
        <w:t>引进省外项目11个，到位资金</w:t>
      </w:r>
      <w:r>
        <w:rPr>
          <w:rFonts w:ascii="Times New Roman" w:hAnsi="Times New Roman" w:eastAsia="仿宋_GB2312"/>
          <w:shd w:val="clear" w:color="auto" w:fill="FFFFFF"/>
        </w:rPr>
        <w:t>67.2亿元，超计划进度9.47个百分点。</w:t>
      </w:r>
      <w:r>
        <w:rPr>
          <w:rFonts w:ascii="Times New Roman" w:hAnsi="Times New Roman" w:eastAsia="仿宋_GB2312"/>
          <w:snapToGrid w:val="0"/>
          <w:color w:val="000000"/>
        </w:rPr>
        <w:t>引进市外项目18个，到位资金</w:t>
      </w:r>
      <w:r>
        <w:rPr>
          <w:rFonts w:ascii="Times New Roman" w:hAnsi="Times New Roman" w:eastAsia="仿宋_GB2312"/>
          <w:shd w:val="clear" w:color="auto" w:fill="FFFFFF"/>
        </w:rPr>
        <w:t>68.18亿元，超计划进度2.45个百分点。</w:t>
      </w:r>
    </w:p>
    <w:p>
      <w:pPr>
        <w:pStyle w:val="12"/>
        <w:pBdr>
          <w:top w:val="none" w:color="auto" w:sz="0" w:space="1"/>
          <w:left w:val="none" w:color="auto" w:sz="0" w:space="4"/>
          <w:bottom w:val="none" w:color="auto" w:sz="0" w:space="1"/>
          <w:right w:val="none" w:color="auto" w:sz="0" w:space="4"/>
        </w:pBdr>
        <w:topLinePunct/>
        <w:adjustRightInd w:val="0"/>
        <w:snapToGrid w:val="0"/>
        <w:spacing w:before="0" w:after="0" w:line="560" w:lineRule="exact"/>
        <w:ind w:firstLine="640" w:firstLineChars="200"/>
        <w:rPr>
          <w:rFonts w:ascii="Times New Roman" w:hAnsi="Times New Roman" w:eastAsia="楷体_GB2312"/>
          <w:snapToGrid w:val="0"/>
          <w:color w:val="0000FF"/>
          <w:kern w:val="2"/>
          <w:sz w:val="32"/>
          <w:szCs w:val="32"/>
        </w:rPr>
      </w:pPr>
      <w:r>
        <w:rPr>
          <w:rFonts w:ascii="Times New Roman" w:hAnsi="Times New Roman" w:eastAsia="楷体_GB2312"/>
          <w:snapToGrid w:val="0"/>
          <w:color w:val="000000" w:themeColor="text1"/>
          <w:kern w:val="2"/>
          <w:sz w:val="32"/>
          <w:szCs w:val="32"/>
        </w:rPr>
        <w:t>（四）规划引领，城乡品质持续提升</w:t>
      </w:r>
    </w:p>
    <w:p>
      <w:pPr>
        <w:pStyle w:val="12"/>
        <w:pBdr>
          <w:top w:val="none" w:color="auto" w:sz="0" w:space="1"/>
          <w:left w:val="none" w:color="auto" w:sz="0" w:space="4"/>
          <w:bottom w:val="none" w:color="auto" w:sz="0" w:space="1"/>
          <w:right w:val="none" w:color="auto" w:sz="0" w:space="4"/>
        </w:pBdr>
        <w:spacing w:line="560" w:lineRule="exact"/>
        <w:ind w:firstLine="643" w:firstLineChars="200"/>
        <w:rPr>
          <w:rFonts w:ascii="Times New Roman" w:hAnsi="Times New Roman" w:eastAsia="仿宋_GB2312"/>
          <w:snapToGrid w:val="0"/>
          <w:color w:val="000000" w:themeColor="text1"/>
          <w:sz w:val="32"/>
          <w:szCs w:val="32"/>
          <w:shd w:val="clear" w:color="FFFFFF" w:fill="D9D9D9"/>
          <w:lang w:val="zh-CN"/>
        </w:rPr>
      </w:pPr>
      <w:r>
        <w:rPr>
          <w:rFonts w:ascii="Times New Roman" w:hAnsi="Times New Roman" w:eastAsia="仿宋_GB2312"/>
          <w:b/>
          <w:bCs/>
          <w:sz w:val="32"/>
          <w:szCs w:val="32"/>
          <w:lang w:val="zh-CN"/>
        </w:rPr>
        <w:t>坚持规划高位引领。</w:t>
      </w:r>
      <w:r>
        <w:rPr>
          <w:rFonts w:ascii="Times New Roman" w:hAnsi="Times New Roman" w:eastAsia="仿宋_GB2312"/>
          <w:bCs/>
          <w:snapToGrid w:val="0"/>
          <w:color w:val="000000" w:themeColor="text1"/>
          <w:sz w:val="32"/>
          <w:szCs w:val="32"/>
        </w:rPr>
        <w:t>落实《昆明市西山区发展战略规划》，立足“</w:t>
      </w:r>
      <w:r>
        <w:rPr>
          <w:rFonts w:ascii="Times New Roman" w:hAnsi="Times New Roman" w:eastAsia="仿宋_GB2312"/>
          <w:sz w:val="32"/>
          <w:szCs w:val="32"/>
        </w:rPr>
        <w:t>打造更具活力的区域性国际中心城市中枢门户区”的总体定位，细化全区功能价值定位。</w:t>
      </w:r>
      <w:r>
        <w:rPr>
          <w:rFonts w:ascii="Times New Roman" w:hAnsi="Times New Roman" w:eastAsia="仿宋_GB2312"/>
          <w:bCs/>
          <w:snapToGrid w:val="0"/>
          <w:color w:val="000000" w:themeColor="text1"/>
          <w:sz w:val="32"/>
          <w:szCs w:val="32"/>
        </w:rPr>
        <w:t>制定出台《西山区2020—2021年产业提质行动计划——赋能“4×3”产业，攻坚千亿GDP》。统筹</w:t>
      </w:r>
      <w:r>
        <w:rPr>
          <w:rFonts w:ascii="Times New Roman" w:hAnsi="Times New Roman" w:eastAsia="仿宋_GB2312"/>
          <w:sz w:val="32"/>
          <w:szCs w:val="32"/>
        </w:rPr>
        <w:t>“十四五”规划的22个前期课题与36个专项规划编制工作按时按质推进。全面启动西山区国土空间总体规划编制，开展生态保护红线评估调整工作，推动编制县域村庄布局规划和村庄建设规划；</w:t>
      </w:r>
      <w:r>
        <w:rPr>
          <w:rFonts w:ascii="Times New Roman" w:hAnsi="Times New Roman" w:eastAsia="仿宋_GB2312"/>
          <w:snapToGrid w:val="0"/>
          <w:color w:val="000000" w:themeColor="text1"/>
          <w:sz w:val="32"/>
          <w:szCs w:val="32"/>
        </w:rPr>
        <w:t>积极推动</w:t>
      </w:r>
      <w:r>
        <w:rPr>
          <w:rFonts w:ascii="Times New Roman" w:hAnsi="Times New Roman" w:eastAsia="仿宋_GB2312"/>
          <w:sz w:val="32"/>
          <w:szCs w:val="32"/>
        </w:rPr>
        <w:t>碧鸡建设项目用地报批，</w:t>
      </w:r>
      <w:r>
        <w:rPr>
          <w:rFonts w:ascii="Times New Roman" w:hAnsi="Times New Roman" w:eastAsia="仿宋_GB2312"/>
          <w:snapToGrid w:val="0"/>
          <w:color w:val="000000" w:themeColor="text1"/>
          <w:sz w:val="32"/>
          <w:szCs w:val="32"/>
        </w:rPr>
        <w:t>完善</w:t>
      </w:r>
      <w:r>
        <w:rPr>
          <w:rFonts w:ascii="Times New Roman" w:hAnsi="Times New Roman" w:eastAsia="仿宋_GB2312"/>
          <w:sz w:val="32"/>
          <w:szCs w:val="32"/>
        </w:rPr>
        <w:t>滇池西岸等控制性详细规划，办理多个城中村改造片区多个地块规划手续。</w:t>
      </w:r>
    </w:p>
    <w:p>
      <w:pPr>
        <w:pBdr>
          <w:top w:val="none" w:color="auto" w:sz="0" w:space="1"/>
          <w:left w:val="none" w:color="auto" w:sz="0" w:space="4"/>
          <w:bottom w:val="none" w:color="auto" w:sz="0" w:space="1"/>
          <w:right w:val="none" w:color="auto" w:sz="0" w:space="4"/>
        </w:pBdr>
        <w:spacing w:line="560" w:lineRule="exact"/>
        <w:ind w:firstLine="643" w:firstLineChars="200"/>
        <w:rPr>
          <w:rFonts w:ascii="Times New Roman" w:hAnsi="Times New Roman" w:eastAsia="仿宋_GB2312"/>
          <w:sz w:val="32"/>
          <w:szCs w:val="32"/>
        </w:rPr>
      </w:pPr>
      <w:r>
        <w:rPr>
          <w:rFonts w:ascii="Times New Roman" w:hAnsi="Times New Roman" w:eastAsia="仿宋_GB2312"/>
          <w:b/>
          <w:bCs/>
          <w:sz w:val="32"/>
          <w:szCs w:val="32"/>
          <w:lang w:val="zh-CN"/>
        </w:rPr>
        <w:t>基础设施建设稳步推进</w:t>
      </w:r>
      <w:r>
        <w:rPr>
          <w:rFonts w:ascii="Times New Roman" w:hAnsi="Times New Roman" w:eastAsia="仿宋_GB2312"/>
          <w:sz w:val="32"/>
          <w:szCs w:val="32"/>
          <w:lang w:val="zh-CN"/>
        </w:rPr>
        <w:t>。</w:t>
      </w:r>
      <w:r>
        <w:rPr>
          <w:rFonts w:ascii="Times New Roman" w:hAnsi="Times New Roman" w:eastAsia="仿宋_GB2312"/>
          <w:b/>
          <w:bCs/>
          <w:kern w:val="0"/>
          <w:sz w:val="32"/>
          <w:szCs w:val="32"/>
        </w:rPr>
        <w:t>路网</w:t>
      </w:r>
      <w:r>
        <w:rPr>
          <w:rFonts w:ascii="Times New Roman" w:hAnsi="Times New Roman" w:eastAsia="仿宋_GB2312"/>
          <w:kern w:val="0"/>
          <w:sz w:val="32"/>
          <w:szCs w:val="32"/>
        </w:rPr>
        <w:t>方面，继续抓好昆楚扩容工程征迁工作，配合渝昆高铁昆明段开工建设，加快推进昆明西客站“站城一体化”前期工作、</w:t>
      </w:r>
      <w:r>
        <w:rPr>
          <w:rFonts w:ascii="Times New Roman" w:hAnsi="Times New Roman" w:eastAsia="仿宋_GB2312"/>
          <w:color w:val="000000"/>
          <w:sz w:val="32"/>
          <w:szCs w:val="32"/>
        </w:rPr>
        <w:t>草海公交首末站建设、</w:t>
      </w:r>
      <w:r>
        <w:rPr>
          <w:rFonts w:ascii="Times New Roman" w:hAnsi="Times New Roman" w:eastAsia="仿宋_GB2312"/>
          <w:kern w:val="0"/>
          <w:sz w:val="32"/>
          <w:szCs w:val="32"/>
        </w:rPr>
        <w:t>“团结水毁”工程建设，突击完成碧鸡路1.42公里和王筇路西山段的大修及安保工程；稳步推进农村公路生命防护工程和养护建设，积极推进“四好农村路”建设，碧鸡街道办事处成功通过市级审核验收并获得荣誉，</w:t>
      </w:r>
      <w:r>
        <w:rPr>
          <w:rFonts w:ascii="Times New Roman" w:hAnsi="Times New Roman" w:eastAsia="仿宋_GB2312"/>
          <w:bCs/>
          <w:snapToGrid w:val="0"/>
          <w:color w:val="000000" w:themeColor="text1"/>
          <w:sz w:val="32"/>
          <w:szCs w:val="32"/>
        </w:rPr>
        <w:t>按时序实施完成草海文化旅游项目市政及公共配套基础设施建设工作。</w:t>
      </w:r>
      <w:r>
        <w:rPr>
          <w:rFonts w:ascii="Times New Roman" w:hAnsi="Times New Roman" w:eastAsia="仿宋_GB2312"/>
          <w:b/>
          <w:bCs/>
          <w:kern w:val="0"/>
          <w:sz w:val="32"/>
          <w:szCs w:val="32"/>
        </w:rPr>
        <w:t>水网</w:t>
      </w:r>
      <w:r>
        <w:rPr>
          <w:rFonts w:ascii="Times New Roman" w:hAnsi="Times New Roman" w:eastAsia="仿宋_GB2312"/>
          <w:kern w:val="0"/>
          <w:sz w:val="32"/>
          <w:szCs w:val="32"/>
        </w:rPr>
        <w:t>方面，</w:t>
      </w:r>
      <w:r>
        <w:rPr>
          <w:rFonts w:ascii="Times New Roman" w:hAnsi="Times New Roman" w:eastAsia="仿宋_GB2312"/>
          <w:sz w:val="32"/>
          <w:szCs w:val="32"/>
        </w:rPr>
        <w:t>滇中引水工程建设</w:t>
      </w:r>
      <w:r>
        <w:rPr>
          <w:rFonts w:ascii="Times New Roman" w:hAnsi="Times New Roman" w:eastAsia="仿宋_GB2312"/>
          <w:kern w:val="32"/>
          <w:sz w:val="32"/>
          <w:szCs w:val="32"/>
        </w:rPr>
        <w:t>完成征地任务的93.7%，</w:t>
      </w:r>
      <w:r>
        <w:rPr>
          <w:rFonts w:ascii="Times New Roman" w:hAnsi="Times New Roman" w:eastAsia="仿宋_GB2312"/>
          <w:sz w:val="32"/>
          <w:szCs w:val="32"/>
        </w:rPr>
        <w:t>明朗、牛鼻村2个续建水源工程建设加快推进，完成团结豹子箐高效节水灌溉项目、海口双哨社区下哨片区山区小水网建设项目，推进龙潭、妥吉高效节水项目，实施完成</w:t>
      </w:r>
      <w:r>
        <w:rPr>
          <w:rFonts w:ascii="Times New Roman" w:hAnsi="Times New Roman" w:eastAsia="仿宋_GB2312"/>
          <w:snapToGrid w:val="0"/>
          <w:color w:val="000000" w:themeColor="text1"/>
          <w:sz w:val="32"/>
          <w:szCs w:val="32"/>
        </w:rPr>
        <w:t>第一批15个</w:t>
      </w:r>
      <w:r>
        <w:rPr>
          <w:rFonts w:ascii="Times New Roman" w:hAnsi="Times New Roman" w:eastAsia="仿宋_GB2312"/>
          <w:sz w:val="32"/>
          <w:szCs w:val="32"/>
        </w:rPr>
        <w:t>农</w:t>
      </w:r>
      <w:r>
        <w:rPr>
          <w:rFonts w:ascii="Times New Roman" w:hAnsi="Times New Roman" w:eastAsia="仿宋_GB2312"/>
          <w:snapToGrid w:val="0"/>
          <w:color w:val="000000" w:themeColor="text1"/>
          <w:sz w:val="32"/>
          <w:szCs w:val="32"/>
        </w:rPr>
        <w:t>村饮水安全巩固提升改造工程</w:t>
      </w:r>
      <w:r>
        <w:rPr>
          <w:rFonts w:ascii="Times New Roman" w:hAnsi="Times New Roman" w:eastAsia="仿宋_GB2312"/>
          <w:sz w:val="32"/>
          <w:szCs w:val="32"/>
        </w:rPr>
        <w:t>。</w:t>
      </w:r>
      <w:r>
        <w:rPr>
          <w:rFonts w:ascii="Times New Roman" w:hAnsi="Times New Roman" w:eastAsia="仿宋_GB2312"/>
          <w:b/>
          <w:bCs/>
          <w:sz w:val="32"/>
          <w:szCs w:val="32"/>
        </w:rPr>
        <w:t>能源网</w:t>
      </w:r>
      <w:r>
        <w:rPr>
          <w:rFonts w:ascii="Times New Roman" w:hAnsi="Times New Roman" w:eastAsia="仿宋_GB2312"/>
          <w:sz w:val="32"/>
          <w:szCs w:val="32"/>
        </w:rPr>
        <w:t>方面，新建充电桩站7个，累计建成充电桩315个；有序推进农村能源环境建设，完成农村太阳能热水器推广安装项目的监理、造价招标，农村节柴灶示范推广项目采购招标，</w:t>
      </w:r>
      <w:r>
        <w:rPr>
          <w:rFonts w:ascii="Times New Roman" w:hAnsi="Times New Roman" w:eastAsia="仿宋_GB2312"/>
          <w:color w:val="000000"/>
          <w:kern w:val="0"/>
          <w:sz w:val="32"/>
          <w:szCs w:val="32"/>
        </w:rPr>
        <w:t>“燃气下乡”</w:t>
      </w:r>
      <w:r>
        <w:rPr>
          <w:rFonts w:ascii="Times New Roman" w:hAnsi="Times New Roman" w:eastAsia="仿宋_GB2312"/>
          <w:sz w:val="32"/>
          <w:szCs w:val="32"/>
        </w:rPr>
        <w:t>严家地小区施工验收，深入开展老旧小区天然气改造</w:t>
      </w:r>
      <w:r>
        <w:rPr>
          <w:rFonts w:ascii="Times New Roman" w:hAnsi="Times New Roman" w:eastAsia="仿宋_GB2312"/>
          <w:snapToGrid w:val="0"/>
          <w:color w:val="000000" w:themeColor="text1"/>
          <w:sz w:val="32"/>
          <w:szCs w:val="32"/>
        </w:rPr>
        <w:t>；</w:t>
      </w:r>
      <w:r>
        <w:rPr>
          <w:rFonts w:ascii="Times New Roman" w:hAnsi="Times New Roman" w:eastAsia="仿宋_GB2312"/>
          <w:bCs/>
          <w:snapToGrid w:val="0"/>
          <w:color w:val="000000" w:themeColor="text1"/>
          <w:sz w:val="32"/>
          <w:szCs w:val="32"/>
        </w:rPr>
        <w:t>推进110KV草海西输变电工程</w:t>
      </w:r>
      <w:r>
        <w:rPr>
          <w:rFonts w:ascii="Times New Roman" w:hAnsi="Times New Roman" w:eastAsia="仿宋_GB2312"/>
          <w:snapToGrid w:val="0"/>
          <w:color w:val="000000" w:themeColor="text1"/>
          <w:sz w:val="32"/>
          <w:szCs w:val="32"/>
        </w:rPr>
        <w:t>。</w:t>
      </w:r>
      <w:r>
        <w:rPr>
          <w:rFonts w:ascii="Times New Roman" w:hAnsi="Times New Roman" w:eastAsia="仿宋_GB2312"/>
          <w:b/>
          <w:bCs/>
          <w:sz w:val="32"/>
          <w:szCs w:val="32"/>
        </w:rPr>
        <w:t>互联网</w:t>
      </w:r>
      <w:r>
        <w:rPr>
          <w:rFonts w:ascii="Times New Roman" w:hAnsi="Times New Roman" w:eastAsia="仿宋_GB2312"/>
          <w:sz w:val="32"/>
          <w:szCs w:val="32"/>
        </w:rPr>
        <w:t>方面，做好互联网基础设施建设工作，建成5G基站777个，辖区内行政村光网和无线通信信号覆盖率为100%；自然村光网和无线通信信号覆盖率达98.5%。建成覆盖区政府办公大楼、62家区政府大楼外单位、10个街道办事处及108个社区的电子政务外网基础网络，</w:t>
      </w:r>
      <w:r>
        <w:rPr>
          <w:rFonts w:ascii="Times New Roman" w:hAnsi="Times New Roman" w:eastAsia="仿宋_GB2312"/>
          <w:snapToGrid w:val="0"/>
          <w:color w:val="000000" w:themeColor="text1"/>
          <w:sz w:val="32"/>
          <w:szCs w:val="32"/>
        </w:rPr>
        <w:t>28个“智慧城市”信息化项目</w:t>
      </w:r>
      <w:r>
        <w:rPr>
          <w:rFonts w:ascii="Times New Roman" w:hAnsi="Times New Roman" w:eastAsia="仿宋_GB2312"/>
          <w:sz w:val="32"/>
          <w:szCs w:val="32"/>
        </w:rPr>
        <w:t>完成前期评审工作。</w:t>
      </w:r>
    </w:p>
    <w:p>
      <w:pPr>
        <w:pBdr>
          <w:top w:val="none" w:color="auto" w:sz="0" w:space="1"/>
          <w:left w:val="none" w:color="auto" w:sz="0" w:space="4"/>
          <w:bottom w:val="none" w:color="auto" w:sz="0" w:space="1"/>
          <w:right w:val="none" w:color="auto" w:sz="0" w:space="4"/>
        </w:pBdr>
        <w:spacing w:line="560" w:lineRule="exact"/>
        <w:ind w:firstLine="643" w:firstLineChars="200"/>
        <w:rPr>
          <w:rFonts w:ascii="Times New Roman" w:hAnsi="Times New Roman" w:eastAsia="仿宋_GB2312"/>
          <w:snapToGrid w:val="0"/>
          <w:spacing w:val="4"/>
          <w:sz w:val="32"/>
          <w:szCs w:val="32"/>
        </w:rPr>
      </w:pPr>
      <w:r>
        <w:rPr>
          <w:rFonts w:ascii="Times New Roman" w:hAnsi="Times New Roman" w:eastAsia="仿宋_GB2312"/>
          <w:b/>
          <w:snapToGrid w:val="0"/>
          <w:color w:val="000000" w:themeColor="text1"/>
          <w:sz w:val="32"/>
          <w:szCs w:val="32"/>
        </w:rPr>
        <w:t>城乡人居环境不断改善。</w:t>
      </w:r>
      <w:r>
        <w:rPr>
          <w:rFonts w:ascii="Times New Roman" w:hAnsi="Times New Roman" w:eastAsia="仿宋"/>
          <w:sz w:val="32"/>
          <w:szCs w:val="32"/>
        </w:rPr>
        <w:t>城市“四治三改一拆一增”</w:t>
      </w:r>
      <w:r>
        <w:rPr>
          <w:rFonts w:ascii="Times New Roman" w:hAnsi="Times New Roman" w:eastAsia="仿宋_GB2312"/>
          <w:color w:val="000000"/>
          <w:kern w:val="0"/>
          <w:sz w:val="32"/>
          <w:szCs w:val="32"/>
        </w:rPr>
        <w:t>有序开展，城中村改造完成</w:t>
      </w:r>
      <w:r>
        <w:rPr>
          <w:rFonts w:ascii="Times New Roman" w:hAnsi="Times New Roman" w:eastAsia="仿宋_GB2312"/>
          <w:color w:val="000000"/>
          <w:sz w:val="32"/>
          <w:szCs w:val="32"/>
        </w:rPr>
        <w:t>交付安置房26.09万平方米</w:t>
      </w:r>
      <w:r>
        <w:rPr>
          <w:rFonts w:ascii="Times New Roman" w:hAnsi="Times New Roman" w:eastAsia="仿宋_GB2312"/>
          <w:color w:val="000000"/>
          <w:kern w:val="0"/>
          <w:sz w:val="32"/>
          <w:szCs w:val="32"/>
        </w:rPr>
        <w:t>，</w:t>
      </w:r>
      <w:r>
        <w:rPr>
          <w:rFonts w:ascii="Times New Roman" w:hAnsi="Times New Roman" w:eastAsia="仿宋_GB2312"/>
          <w:snapToGrid w:val="0"/>
          <w:color w:val="000000" w:themeColor="text1"/>
          <w:sz w:val="32"/>
          <w:szCs w:val="32"/>
        </w:rPr>
        <w:t>积极推进城中村7号（二、三期）等4个片区改造前期工作，扎实推进春雨路等4条道路沿线“三旧”连片开发改造，</w:t>
      </w:r>
      <w:r>
        <w:rPr>
          <w:rFonts w:ascii="Times New Roman" w:hAnsi="Times New Roman" w:eastAsia="仿宋_GB2312"/>
          <w:color w:val="000000"/>
          <w:kern w:val="0"/>
          <w:sz w:val="32"/>
          <w:szCs w:val="32"/>
        </w:rPr>
        <w:t>启动</w:t>
      </w:r>
      <w:r>
        <w:rPr>
          <w:rFonts w:ascii="Times New Roman" w:hAnsi="Times New Roman" w:eastAsia="仿宋_GB2312"/>
          <w:sz w:val="32"/>
          <w:szCs w:val="32"/>
        </w:rPr>
        <w:t>13个</w:t>
      </w:r>
      <w:r>
        <w:rPr>
          <w:rFonts w:ascii="Times New Roman" w:hAnsi="Times New Roman" w:eastAsia="仿宋_GB2312"/>
          <w:color w:val="000000"/>
          <w:kern w:val="0"/>
          <w:sz w:val="32"/>
          <w:szCs w:val="32"/>
        </w:rPr>
        <w:t>老旧小区</w:t>
      </w:r>
      <w:r>
        <w:rPr>
          <w:rFonts w:ascii="Times New Roman" w:hAnsi="Times New Roman" w:eastAsia="仿宋_GB2312"/>
          <w:sz w:val="32"/>
          <w:szCs w:val="32"/>
        </w:rPr>
        <w:t>10293户、334栋77.44万平方米</w:t>
      </w:r>
      <w:r>
        <w:rPr>
          <w:rFonts w:ascii="Times New Roman" w:hAnsi="Times New Roman" w:eastAsia="仿宋_GB2312"/>
          <w:color w:val="000000"/>
          <w:kern w:val="0"/>
          <w:sz w:val="32"/>
          <w:szCs w:val="32"/>
        </w:rPr>
        <w:t>改造工作，</w:t>
      </w:r>
      <w:r>
        <w:rPr>
          <w:rFonts w:ascii="Times New Roman" w:hAnsi="Times New Roman" w:eastAsia="仿宋"/>
          <w:sz w:val="32"/>
          <w:szCs w:val="32"/>
        </w:rPr>
        <w:t>加快约55万平方米回迁安置房建设，</w:t>
      </w:r>
      <w:r>
        <w:rPr>
          <w:rFonts w:ascii="Times New Roman" w:hAnsi="Times New Roman" w:eastAsia="仿宋_GB2312"/>
          <w:sz w:val="32"/>
          <w:szCs w:val="32"/>
        </w:rPr>
        <w:t>完成大棚房整治工作</w:t>
      </w:r>
      <w:r>
        <w:rPr>
          <w:rFonts w:ascii="Times New Roman" w:hAnsi="Times New Roman" w:eastAsia="仿宋_GB2312"/>
          <w:color w:val="000000"/>
          <w:kern w:val="0"/>
          <w:sz w:val="32"/>
          <w:szCs w:val="32"/>
        </w:rPr>
        <w:t>；违法违规建筑拆除完成214宗，面积37.01万平方米；城市新增绿地建设14.712公顷，新建花卉主题游园1个，建成立体绿化示范点2个；23条道路提升整治工程全面开工；有序</w:t>
      </w:r>
      <w:r>
        <w:rPr>
          <w:rFonts w:ascii="Times New Roman" w:hAnsi="Times New Roman" w:eastAsia="仿宋_GB2312"/>
          <w:sz w:val="32"/>
          <w:szCs w:val="32"/>
        </w:rPr>
        <w:t>开展垃圾分类试点工作，全面推进农村生活垃圾和生活污水治理</w:t>
      </w:r>
      <w:r>
        <w:rPr>
          <w:rFonts w:ascii="Times New Roman" w:hAnsi="Times New Roman" w:eastAsia="仿宋"/>
          <w:sz w:val="32"/>
          <w:szCs w:val="32"/>
        </w:rPr>
        <w:t>；</w:t>
      </w:r>
      <w:r>
        <w:rPr>
          <w:rFonts w:ascii="Times New Roman" w:hAnsi="Times New Roman" w:eastAsia="仿宋_GB2312"/>
          <w:snapToGrid w:val="0"/>
          <w:color w:val="000000" w:themeColor="text1"/>
          <w:sz w:val="32"/>
          <w:szCs w:val="32"/>
        </w:rPr>
        <w:t>推进传统村落保护和省级规划建设示范村工作；</w:t>
      </w:r>
      <w:r>
        <w:rPr>
          <w:rFonts w:ascii="Times New Roman" w:hAnsi="Times New Roman" w:eastAsia="仿宋_GB2312"/>
          <w:snapToGrid w:val="0"/>
          <w:spacing w:val="4"/>
          <w:sz w:val="32"/>
          <w:szCs w:val="32"/>
        </w:rPr>
        <w:t>稳步推进美丽宜居乡村建设，</w:t>
      </w:r>
      <w:r>
        <w:rPr>
          <w:rFonts w:ascii="Times New Roman" w:hAnsi="Times New Roman" w:eastAsia="仿宋_GB2312"/>
          <w:sz w:val="32"/>
          <w:szCs w:val="32"/>
        </w:rPr>
        <w:t>分类推进农村“厕所革命”，</w:t>
      </w:r>
      <w:r>
        <w:rPr>
          <w:rFonts w:ascii="Times New Roman" w:hAnsi="Times New Roman" w:eastAsia="仿宋_GB2312"/>
          <w:snapToGrid w:val="0"/>
          <w:spacing w:val="4"/>
          <w:sz w:val="32"/>
          <w:szCs w:val="32"/>
        </w:rPr>
        <w:t>完成新建和改造公厕建设任务13座。</w:t>
      </w:r>
      <w:r>
        <w:rPr>
          <w:rFonts w:ascii="Times New Roman" w:hAnsi="Times New Roman" w:eastAsia="仿宋_GB2312"/>
          <w:sz w:val="32"/>
          <w:szCs w:val="32"/>
        </w:rPr>
        <w:t>碧鸡、海口、团结街道3个街道办事处创建为省级卫生乡镇，34家涉农社区居委会创建为省级卫生村。</w:t>
      </w:r>
    </w:p>
    <w:p>
      <w:pPr>
        <w:pBdr>
          <w:top w:val="none" w:color="auto" w:sz="0" w:space="1"/>
          <w:left w:val="none" w:color="auto" w:sz="0" w:space="4"/>
          <w:bottom w:val="none" w:color="auto" w:sz="0" w:space="1"/>
          <w:right w:val="none" w:color="auto" w:sz="0" w:space="4"/>
        </w:pBdr>
        <w:spacing w:line="560" w:lineRule="exact"/>
        <w:ind w:firstLine="643" w:firstLineChars="200"/>
        <w:rPr>
          <w:rFonts w:ascii="Times New Roman" w:hAnsi="Times New Roman" w:eastAsia="楷体_GB2312"/>
          <w:snapToGrid w:val="0"/>
          <w:color w:val="000000" w:themeColor="text1"/>
          <w:sz w:val="32"/>
          <w:szCs w:val="32"/>
        </w:rPr>
      </w:pPr>
      <w:r>
        <w:rPr>
          <w:rFonts w:ascii="Times New Roman" w:hAnsi="Times New Roman" w:eastAsia="仿宋_GB2312"/>
          <w:b/>
          <w:bCs/>
          <w:sz w:val="32"/>
          <w:szCs w:val="32"/>
          <w:lang w:val="zh-CN"/>
        </w:rPr>
        <w:t>生态环境建设有序推进</w:t>
      </w:r>
      <w:r>
        <w:rPr>
          <w:rFonts w:ascii="Times New Roman" w:hAnsi="Times New Roman" w:eastAsia="仿宋_GB2312"/>
          <w:sz w:val="32"/>
          <w:szCs w:val="32"/>
          <w:lang w:val="zh-CN"/>
        </w:rPr>
        <w:t>。</w:t>
      </w:r>
      <w:r>
        <w:rPr>
          <w:rFonts w:ascii="Times New Roman" w:hAnsi="Times New Roman" w:eastAsia="仿宋_GB2312"/>
          <w:snapToGrid w:val="0"/>
          <w:color w:val="000000" w:themeColor="text1"/>
          <w:sz w:val="32"/>
          <w:szCs w:val="32"/>
        </w:rPr>
        <w:t>西山区数字环保系统通过初步验收；</w:t>
      </w:r>
      <w:r>
        <w:rPr>
          <w:rFonts w:ascii="Times New Roman" w:hAnsi="Times New Roman" w:eastAsia="仿宋_GB2312"/>
          <w:sz w:val="32"/>
          <w:szCs w:val="32"/>
        </w:rPr>
        <w:t>智慧水务管理体系实现区、街道、社区三级河长和联系部门全覆盖；清除河（湖库渠）垃圾2894.57吨，清理整治占用河道面积5.5亩</w:t>
      </w:r>
      <w:r>
        <w:rPr>
          <w:rFonts w:ascii="Times New Roman" w:hAnsi="Times New Roman" w:eastAsia="仿宋_GB2312"/>
          <w:snapToGrid w:val="0"/>
          <w:color w:val="000000" w:themeColor="text1"/>
          <w:sz w:val="32"/>
          <w:szCs w:val="32"/>
        </w:rPr>
        <w:t>；8条出入滇河道</w:t>
      </w:r>
      <w:r>
        <w:rPr>
          <w:rFonts w:ascii="Times New Roman" w:hAnsi="Times New Roman" w:eastAsia="仿宋_GB2312"/>
          <w:sz w:val="32"/>
          <w:szCs w:val="32"/>
        </w:rPr>
        <w:t>综合评定达到或优于Ⅲ类</w:t>
      </w:r>
      <w:r>
        <w:rPr>
          <w:rFonts w:ascii="Times New Roman" w:hAnsi="Times New Roman" w:eastAsia="仿宋_GB2312"/>
          <w:snapToGrid w:val="0"/>
          <w:color w:val="000000" w:themeColor="text1"/>
          <w:sz w:val="32"/>
          <w:szCs w:val="32"/>
        </w:rPr>
        <w:t>，</w:t>
      </w:r>
      <w:r>
        <w:rPr>
          <w:rFonts w:ascii="Times New Roman" w:hAnsi="Times New Roman" w:eastAsia="仿宋_GB2312"/>
          <w:sz w:val="32"/>
          <w:szCs w:val="32"/>
        </w:rPr>
        <w:t>其余河道均达到年度水质目标；</w:t>
      </w:r>
      <w:r>
        <w:rPr>
          <w:rFonts w:ascii="Times New Roman" w:hAnsi="Times New Roman" w:eastAsia="仿宋_GB2312"/>
          <w:snapToGrid w:val="0"/>
          <w:color w:val="000000" w:themeColor="text1"/>
          <w:sz w:val="32"/>
          <w:szCs w:val="32"/>
        </w:rPr>
        <w:t>地表水断面达标率94.1%，</w:t>
      </w:r>
      <w:r>
        <w:rPr>
          <w:rFonts w:ascii="Times New Roman" w:hAnsi="Times New Roman" w:eastAsia="仿宋_GB2312"/>
          <w:sz w:val="32"/>
          <w:szCs w:val="32"/>
        </w:rPr>
        <w:t>明朗水库、大坝水库2个县级饮用水源地水质达标率100%</w:t>
      </w:r>
      <w:r>
        <w:rPr>
          <w:rFonts w:ascii="Times New Roman" w:hAnsi="Times New Roman" w:eastAsia="仿宋_GB2312"/>
          <w:snapToGrid w:val="0"/>
          <w:color w:val="000000" w:themeColor="text1"/>
          <w:sz w:val="32"/>
          <w:szCs w:val="32"/>
        </w:rPr>
        <w:t>；</w:t>
      </w:r>
      <w:r>
        <w:rPr>
          <w:rFonts w:ascii="Times New Roman" w:hAnsi="Times New Roman" w:eastAsia="仿宋_GB2312"/>
          <w:sz w:val="32"/>
          <w:szCs w:val="32"/>
        </w:rPr>
        <w:t>完成“一河一策”工作61项，推动“一河一策”与美丽河道方案编制相统一；完成草海片区湖滨生态湿地、草海五号片区湿地、王家堆湿地、观音山南湿地、观音山北湿地、西华湿地共5个湿地修复建设工程；全力开展滇池一级保护区省级单位搬迁工作，云南国资水泥海口有限公司已签订搬迁协议，32015部队、昆明蓝彩云温泉度假村搬迁工作有序进行；完成关停矿山生态修复294.72亩，公益林生态效益补偿42.53万亩；</w:t>
      </w:r>
      <w:r>
        <w:rPr>
          <w:rFonts w:ascii="Times New Roman" w:hAnsi="Times New Roman" w:eastAsia="仿宋_GB2312"/>
          <w:sz w:val="32"/>
          <w:szCs w:val="32"/>
          <w:lang w:val="zh-CN"/>
        </w:rPr>
        <w:t>申报省级森林乡村</w:t>
      </w:r>
      <w:r>
        <w:rPr>
          <w:rFonts w:ascii="Times New Roman" w:hAnsi="Times New Roman" w:eastAsia="仿宋_GB2312"/>
          <w:sz w:val="32"/>
          <w:szCs w:val="32"/>
        </w:rPr>
        <w:t>10个；实施完成国家森林抚育试点2.9万亩（含国有林场面积）、天然林管护76.89万亩。</w:t>
      </w:r>
    </w:p>
    <w:p>
      <w:pPr>
        <w:pStyle w:val="8"/>
        <w:pBdr>
          <w:top w:val="none" w:color="auto" w:sz="0" w:space="1"/>
          <w:left w:val="none" w:color="auto" w:sz="0" w:space="4"/>
          <w:bottom w:val="none" w:color="auto" w:sz="0" w:space="1"/>
          <w:right w:val="none" w:color="auto" w:sz="0" w:space="4"/>
        </w:pBdr>
        <w:topLinePunct/>
        <w:adjustRightInd w:val="0"/>
        <w:snapToGrid w:val="0"/>
        <w:spacing w:line="560" w:lineRule="exact"/>
        <w:outlineLvl w:val="0"/>
        <w:rPr>
          <w:rFonts w:eastAsia="楷体_GB2312"/>
          <w:snapToGrid w:val="0"/>
          <w:color w:val="0000FF"/>
          <w:szCs w:val="32"/>
        </w:rPr>
      </w:pPr>
      <w:r>
        <w:rPr>
          <w:rFonts w:eastAsia="楷体_GB2312"/>
          <w:snapToGrid w:val="0"/>
          <w:color w:val="000000" w:themeColor="text1"/>
          <w:szCs w:val="32"/>
        </w:rPr>
        <w:t>（五）民生为本，社会大局和谐稳定</w:t>
      </w:r>
    </w:p>
    <w:p>
      <w:pPr>
        <w:pBdr>
          <w:top w:val="none" w:color="auto" w:sz="0" w:space="1"/>
          <w:left w:val="none" w:color="auto" w:sz="0" w:space="4"/>
          <w:bottom w:val="none" w:color="auto" w:sz="0" w:space="1"/>
          <w:right w:val="none" w:color="auto" w:sz="0" w:space="4"/>
        </w:pBdr>
        <w:spacing w:line="560" w:lineRule="exact"/>
        <w:ind w:firstLine="643" w:firstLineChars="200"/>
        <w:rPr>
          <w:rFonts w:ascii="Times New Roman" w:hAnsi="Times New Roman" w:eastAsia="仿宋_GB2312"/>
          <w:sz w:val="32"/>
        </w:rPr>
      </w:pPr>
      <w:r>
        <w:rPr>
          <w:rFonts w:ascii="Times New Roman" w:hAnsi="Times New Roman" w:eastAsia="仿宋_GB2312"/>
          <w:b/>
          <w:bCs/>
          <w:sz w:val="32"/>
          <w:szCs w:val="32"/>
          <w:lang w:val="zh-CN"/>
        </w:rPr>
        <w:t>就业社保继续加强</w:t>
      </w:r>
      <w:r>
        <w:rPr>
          <w:rFonts w:ascii="Times New Roman" w:hAnsi="Times New Roman" w:eastAsia="仿宋_GB2312"/>
          <w:sz w:val="32"/>
          <w:szCs w:val="32"/>
          <w:lang w:val="zh-CN"/>
        </w:rPr>
        <w:t>。</w:t>
      </w:r>
      <w:r>
        <w:rPr>
          <w:rFonts w:ascii="Times New Roman" w:hAnsi="Times New Roman" w:eastAsia="仿宋_GB2312"/>
          <w:sz w:val="32"/>
        </w:rPr>
        <w:t>收集有效就业岗位1.29万个，实现城镇新增就业1.38万人，城镇登记失业率3.25%，开发482个公益性岗位，安置221名就业困难人员上岗，完成农村劳动力转移就业2898人；实名登记高校毕业生就业率90%，困难高校毕业生100%实现就业；基本社会保险参保63.02万人次，各类社会保险参保覆盖率保持在96%以上；</w:t>
      </w:r>
      <w:r>
        <w:rPr>
          <w:rFonts w:ascii="Times New Roman" w:hAnsi="Times New Roman" w:eastAsia="仿宋_GB2312"/>
          <w:snapToGrid w:val="0"/>
          <w:color w:val="000000" w:themeColor="text1"/>
          <w:sz w:val="32"/>
          <w:szCs w:val="32"/>
        </w:rPr>
        <w:t>疫情期间阶段性为6919户企业退医保费4416.73万元，办理536家参保单位缓缴3800万元；</w:t>
      </w:r>
      <w:r>
        <w:rPr>
          <w:rFonts w:ascii="Times New Roman" w:hAnsi="Times New Roman" w:eastAsia="仿宋_GB2312"/>
          <w:sz w:val="32"/>
          <w:szCs w:val="32"/>
        </w:rPr>
        <w:t>城中村改造项目完成2672套安置房分房工作</w:t>
      </w:r>
      <w:r>
        <w:rPr>
          <w:rFonts w:ascii="Times New Roman" w:hAnsi="Times New Roman" w:eastAsia="仿宋_GB2312"/>
          <w:color w:val="0000FF"/>
          <w:sz w:val="32"/>
          <w:szCs w:val="32"/>
        </w:rPr>
        <w:t>。</w:t>
      </w:r>
      <w:r>
        <w:rPr>
          <w:rFonts w:ascii="Times New Roman" w:hAnsi="Times New Roman" w:eastAsia="仿宋_GB2312"/>
          <w:sz w:val="32"/>
          <w:szCs w:val="32"/>
        </w:rPr>
        <w:t>累计发放低保资</w:t>
      </w:r>
      <w:r>
        <w:rPr>
          <w:rFonts w:ascii="Times New Roman" w:hAnsi="Times New Roman" w:eastAsia="仿宋_GB2312"/>
          <w:sz w:val="32"/>
        </w:rPr>
        <w:t>金1937.08万元，惠及4535户低保户；规范有序开展社会救助，支出临时救助资金50.27万元，发放特困供养金130.36万元；发放价格临时补贴342.18万元；全区民办养老机构达25家，新增机构养老床位206张，上半年对14家民办养老机构发放补助221.09万元，为19家养老机构发放疫情期间一次性运营补贴22.22万元；314名养老机构护理员持证上岗；完成535名困境儿童的信息录入和审核工作，孤弃、留守、困境儿童的保障水平逐步提升；发放残疾人“两项”补贴194.51万元；实现劳动保障监察“两网化”管理全覆盖。</w:t>
      </w:r>
    </w:p>
    <w:p>
      <w:pPr>
        <w:pBdr>
          <w:top w:val="none" w:color="auto" w:sz="0" w:space="1"/>
          <w:left w:val="none" w:color="auto" w:sz="0" w:space="4"/>
          <w:bottom w:val="none" w:color="auto" w:sz="0" w:space="1"/>
          <w:right w:val="none" w:color="auto" w:sz="0" w:space="4"/>
        </w:pBdr>
        <w:tabs>
          <w:tab w:val="left" w:pos="7140"/>
        </w:tabs>
        <w:spacing w:line="560" w:lineRule="exact"/>
        <w:ind w:firstLine="643" w:firstLineChars="200"/>
        <w:rPr>
          <w:rFonts w:ascii="Times New Roman" w:hAnsi="Times New Roman" w:eastAsia="仿宋_GB2312"/>
          <w:sz w:val="32"/>
          <w:szCs w:val="32"/>
        </w:rPr>
      </w:pPr>
      <w:r>
        <w:rPr>
          <w:rFonts w:ascii="Times New Roman" w:hAnsi="Times New Roman" w:eastAsia="仿宋_GB2312"/>
          <w:b/>
          <w:bCs/>
          <w:sz w:val="32"/>
          <w:szCs w:val="32"/>
          <w:lang w:val="zh-CN"/>
        </w:rPr>
        <w:t>教育体育健康发展</w:t>
      </w:r>
      <w:r>
        <w:rPr>
          <w:rFonts w:ascii="Times New Roman" w:hAnsi="Times New Roman" w:eastAsia="仿宋_GB2312"/>
          <w:sz w:val="32"/>
          <w:szCs w:val="32"/>
          <w:lang w:val="zh-CN"/>
        </w:rPr>
        <w:t>。</w:t>
      </w:r>
      <w:r>
        <w:rPr>
          <w:rFonts w:ascii="Times New Roman" w:hAnsi="Times New Roman" w:eastAsia="仿宋_GB2312"/>
          <w:sz w:val="32"/>
          <w:szCs w:val="32"/>
        </w:rPr>
        <w:t>学前三年毛入园率达101.38%，户籍适龄儿童少年九年义务教育巩固率达99.22%，高中阶段毛入学率达97%；新增普惠性民办幼儿园3所、学位330个；加快推进华东师范大学实验学校、5个城市更新改造配套学校建设；推进集团化办学，扩充优质教育资源，增设书林二小福海校区等3个校区117个班额，公费学位6435名；完成现代教育示范学校区级初评2所，申报市级现代教育示范学校2所、幼儿园2所，昆一中西山学校晋升一级一等完中接受省级终评；新增“春城计划教师名师”2人、昆明市“名班主任”55人，名师工作室5个；现有区“职业教育名师工作室”1个、区“名匠工作室1个、产教融合基地6个、特色骨干专业6个；</w:t>
      </w:r>
      <w:r>
        <w:rPr>
          <w:rFonts w:ascii="Times New Roman" w:hAnsi="Times New Roman" w:eastAsia="仿宋_GB2312"/>
          <w:kern w:val="0"/>
          <w:sz w:val="32"/>
          <w:szCs w:val="20"/>
        </w:rPr>
        <w:t>加快实施教育信息化2.0工程，“1+N”互动课堂正式入驻云南省教育厅“滇教云”直播平台，增设12所试点学校并完成互动教室的建设及教师培训工作</w:t>
      </w:r>
      <w:r>
        <w:rPr>
          <w:rFonts w:ascii="Times New Roman" w:hAnsi="Times New Roman" w:eastAsia="仿宋_GB2312"/>
          <w:sz w:val="32"/>
          <w:szCs w:val="32"/>
        </w:rPr>
        <w:t>。西山区体育场项目整体移交西山区发展公司，预计年内开工建设。</w:t>
      </w:r>
    </w:p>
    <w:p>
      <w:pPr>
        <w:pBdr>
          <w:top w:val="none" w:color="auto" w:sz="0" w:space="1"/>
          <w:left w:val="none" w:color="auto" w:sz="0" w:space="4"/>
          <w:bottom w:val="none" w:color="auto" w:sz="0" w:space="1"/>
          <w:right w:val="none" w:color="auto" w:sz="0" w:space="4"/>
        </w:pBdr>
        <w:tabs>
          <w:tab w:val="left" w:pos="7140"/>
        </w:tabs>
        <w:spacing w:line="560" w:lineRule="exact"/>
        <w:ind w:firstLine="643" w:firstLineChars="200"/>
        <w:rPr>
          <w:rFonts w:ascii="Times New Roman" w:hAnsi="Times New Roman" w:eastAsia="仿宋_GB2312"/>
          <w:sz w:val="32"/>
          <w:szCs w:val="32"/>
        </w:rPr>
      </w:pPr>
      <w:r>
        <w:rPr>
          <w:rFonts w:ascii="Times New Roman" w:hAnsi="Times New Roman" w:eastAsia="仿宋_GB2312"/>
          <w:b/>
          <w:bCs/>
          <w:sz w:val="32"/>
          <w:szCs w:val="32"/>
        </w:rPr>
        <w:t>卫生健康稳步发展</w:t>
      </w:r>
      <w:r>
        <w:rPr>
          <w:rFonts w:ascii="Times New Roman" w:hAnsi="Times New Roman" w:eastAsia="仿宋_GB2312"/>
          <w:sz w:val="32"/>
          <w:szCs w:val="32"/>
        </w:rPr>
        <w:t>。继续推进4+X家庭医生团队建设，建立家庭医生团队384个，家庭医生签约续约人数约13万，新签人数约5万余人；新增昆明市西山区新康养老护理院、昆明市西山区观音山养老中心2家医养结合机构；区人民医院通过“县级医院提质达标”省级验收；推广“医联体”“专科联盟”模式，持续推进区人民医院“云胶片”“胸痛中心”“脑卒中中心”等“四大中心”建设；建立“健康西山”平台，推行智慧医院App服务，使用国家基本公共卫生服务信息化管理平台，完成居民电子健康档案建档率77.37%，建档人数61.33万人；推进落实分级诊疗制度；艾滋病感染者管理工作核心指标完成情况领先全市水平；儿童免疫接种率均达到95%以上；连续四年实现孕产妇零死亡率；10家公立社区卫生服务中心均开设了中医药服务工作，覆盖率100%；疫情防控工作保持常态化，建立联防联控工作机制，对境外返昆留观人员，规范做好核酸检测采样及医学服务监测，派出4名护理人员前往武汉汉阳方舱医院参与救治工作。</w:t>
      </w:r>
    </w:p>
    <w:p>
      <w:pPr>
        <w:pBdr>
          <w:top w:val="none" w:color="auto" w:sz="0" w:space="1"/>
          <w:left w:val="none" w:color="auto" w:sz="0" w:space="4"/>
          <w:bottom w:val="none" w:color="auto" w:sz="0" w:space="1"/>
          <w:right w:val="none" w:color="auto" w:sz="0" w:space="4"/>
        </w:pBdr>
        <w:tabs>
          <w:tab w:val="left" w:pos="7140"/>
        </w:tabs>
        <w:spacing w:line="560" w:lineRule="exact"/>
        <w:ind w:firstLine="643" w:firstLineChars="200"/>
        <w:rPr>
          <w:rFonts w:ascii="Times New Roman" w:hAnsi="Times New Roman" w:eastAsia="仿宋_GB2312"/>
          <w:color w:val="000000"/>
          <w:sz w:val="32"/>
          <w:szCs w:val="32"/>
        </w:rPr>
      </w:pPr>
      <w:r>
        <w:rPr>
          <w:rFonts w:ascii="Times New Roman" w:hAnsi="Times New Roman" w:eastAsia="仿宋_GB2312"/>
          <w:b/>
          <w:bCs/>
          <w:sz w:val="32"/>
          <w:szCs w:val="32"/>
        </w:rPr>
        <w:t>文化惠民不断深化</w:t>
      </w:r>
      <w:r>
        <w:rPr>
          <w:rFonts w:ascii="Times New Roman" w:hAnsi="Times New Roman" w:eastAsia="仿宋_GB2312"/>
          <w:sz w:val="32"/>
          <w:szCs w:val="32"/>
        </w:rPr>
        <w:t>。</w:t>
      </w:r>
      <w:r>
        <w:rPr>
          <w:rFonts w:ascii="Times New Roman" w:hAnsi="Times New Roman" w:eastAsia="仿宋_GB2312"/>
          <w:color w:val="000000"/>
          <w:sz w:val="32"/>
          <w:szCs w:val="32"/>
        </w:rPr>
        <w:t>深入开展文化惠民活动，成功举办“三下乡”春节系列活动</w:t>
      </w:r>
      <w:r>
        <w:rPr>
          <w:rFonts w:ascii="Times New Roman" w:hAnsi="Times New Roman" w:eastAsia="仿宋_GB2312"/>
          <w:color w:val="000000"/>
          <w:sz w:val="32"/>
          <w:szCs w:val="32"/>
          <w:shd w:val="clear" w:color="auto" w:fill="FFFFFF"/>
        </w:rPr>
        <w:t>；依托“西山文旅云APP”公共数字文化服务平台，推出“防疫”文艺作品展、“亲子阅读21天”“绘本故事库”“讲述西山故事”等线上公共文化服务；开展“全民阅读”等各类公共文化服务活动10余次，惠及群众2余万人；建设“西山区图书馆武警分馆”“西山区图书馆优客工场分馆”，推动文化资源共建共享；有序推进基层综合性文化服务中心达标建设；提升</w:t>
      </w:r>
      <w:r>
        <w:rPr>
          <w:rFonts w:ascii="Times New Roman" w:hAnsi="Times New Roman" w:eastAsia="仿宋_GB2312"/>
          <w:color w:val="000000"/>
          <w:sz w:val="32"/>
          <w:szCs w:val="32"/>
        </w:rPr>
        <w:t>打造广福社区公共文化学校公共文化服务示范点，发放20万元融创文旅惠民消费手册；恒式御林武术、掐丝珐琅彩画、古法手工榨油技艺申报市级非遗项目，完成区级文物保护单位“陆鼎恒墓”修缮工作，有序推进“马街中村魁星阁”修缮项目和滇池博物馆设计施工工作。</w:t>
      </w:r>
    </w:p>
    <w:p>
      <w:pPr>
        <w:pBdr>
          <w:top w:val="none" w:color="auto" w:sz="0" w:space="1"/>
          <w:left w:val="none" w:color="auto" w:sz="0" w:space="4"/>
          <w:bottom w:val="none" w:color="auto" w:sz="0" w:space="1"/>
          <w:right w:val="none" w:color="auto" w:sz="0" w:space="4"/>
        </w:pBdr>
        <w:tabs>
          <w:tab w:val="left" w:pos="7140"/>
        </w:tabs>
        <w:spacing w:line="560" w:lineRule="exact"/>
        <w:ind w:firstLine="643" w:firstLineChars="200"/>
        <w:rPr>
          <w:rFonts w:ascii="Times New Roman" w:hAnsi="Times New Roman" w:eastAsia="仿宋_GB2312"/>
          <w:sz w:val="32"/>
          <w:szCs w:val="32"/>
        </w:rPr>
      </w:pPr>
      <w:r>
        <w:rPr>
          <w:rFonts w:ascii="Times New Roman" w:hAnsi="Times New Roman" w:eastAsia="仿宋_GB2312"/>
          <w:b/>
          <w:bCs/>
          <w:sz w:val="32"/>
          <w:szCs w:val="32"/>
        </w:rPr>
        <w:t>社会治理协同推进。</w:t>
      </w:r>
      <w:r>
        <w:rPr>
          <w:rFonts w:ascii="Times New Roman" w:hAnsi="Times New Roman" w:eastAsia="仿宋_GB2312"/>
          <w:sz w:val="32"/>
          <w:szCs w:val="32"/>
        </w:rPr>
        <w:t>整合各方力量</w:t>
      </w:r>
      <w:r>
        <w:rPr>
          <w:rFonts w:hint="eastAsia" w:ascii="Times New Roman" w:hAnsi="Times New Roman" w:eastAsia="仿宋_GB2312"/>
          <w:sz w:val="32"/>
          <w:szCs w:val="32"/>
        </w:rPr>
        <w:t>打造</w:t>
      </w:r>
      <w:r>
        <w:rPr>
          <w:rFonts w:ascii="Times New Roman" w:hAnsi="Times New Roman" w:eastAsia="仿宋_GB2312"/>
          <w:sz w:val="32"/>
          <w:szCs w:val="32"/>
        </w:rPr>
        <w:t>“共建、共治、共享”</w:t>
      </w:r>
      <w:r>
        <w:rPr>
          <w:rFonts w:hint="eastAsia" w:ascii="Times New Roman" w:hAnsi="Times New Roman" w:eastAsia="仿宋_GB2312"/>
          <w:sz w:val="32"/>
          <w:szCs w:val="32"/>
        </w:rPr>
        <w:t>社会治理格局</w:t>
      </w:r>
      <w:r>
        <w:rPr>
          <w:rFonts w:ascii="Times New Roman" w:hAnsi="Times New Roman" w:eastAsia="仿宋_GB2312"/>
          <w:sz w:val="32"/>
          <w:szCs w:val="32"/>
        </w:rPr>
        <w:t>，开展13个“三社联动”社区治理创新项目，109个城乡社区成立社区协商议事委员会，社区协商议事委员会占比达90%以上；建立了西山区首个智能化社会动员平台“西山e志愿”，登记注册志愿者5679人；</w:t>
      </w:r>
      <w:r>
        <w:rPr>
          <w:rFonts w:ascii="Times New Roman" w:hAnsi="Times New Roman" w:eastAsia="仿宋_GB2312"/>
          <w:snapToGrid w:val="0"/>
          <w:color w:val="000000" w:themeColor="text1"/>
          <w:sz w:val="32"/>
          <w:szCs w:val="32"/>
        </w:rPr>
        <w:t>推动“</w:t>
      </w:r>
      <w:r>
        <w:rPr>
          <w:rFonts w:ascii="Times New Roman" w:hAnsi="Times New Roman" w:eastAsia="仿宋_GB2312"/>
          <w:sz w:val="32"/>
          <w:szCs w:val="32"/>
        </w:rPr>
        <w:t>智慧消防”精细化建设，开展“打通生命通道”联动试点工作；启</w:t>
      </w:r>
      <w:r>
        <w:rPr>
          <w:rFonts w:ascii="Times New Roman" w:hAnsi="Times New Roman" w:eastAsia="仿宋_GB2312"/>
          <w:bCs/>
          <w:sz w:val="32"/>
          <w:szCs w:val="32"/>
        </w:rPr>
        <w:t>用113台高空鹰眼联动接入</w:t>
      </w:r>
      <w:r>
        <w:rPr>
          <w:rFonts w:ascii="Times New Roman" w:hAnsi="Times New Roman" w:eastAsia="仿宋_GB2312"/>
          <w:snapToGrid w:val="0"/>
          <w:color w:val="000000" w:themeColor="text1"/>
          <w:sz w:val="32"/>
          <w:szCs w:val="32"/>
        </w:rPr>
        <w:t>市级网格中心指挥大厅</w:t>
      </w:r>
      <w:r>
        <w:rPr>
          <w:rFonts w:ascii="Times New Roman" w:hAnsi="Times New Roman" w:eastAsia="仿宋_GB2312"/>
          <w:bCs/>
          <w:sz w:val="32"/>
          <w:szCs w:val="32"/>
        </w:rPr>
        <w:t>，发现并</w:t>
      </w:r>
      <w:r>
        <w:rPr>
          <w:rFonts w:ascii="Times New Roman" w:hAnsi="Times New Roman" w:eastAsia="仿宋_GB2312"/>
          <w:sz w:val="32"/>
          <w:szCs w:val="32"/>
        </w:rPr>
        <w:t>立案并处置案件1114起；</w:t>
      </w:r>
      <w:r>
        <w:rPr>
          <w:rFonts w:ascii="Times New Roman" w:hAnsi="Times New Roman" w:eastAsia="仿宋_GB2312"/>
          <w:color w:val="000000" w:themeColor="text1"/>
          <w:sz w:val="32"/>
          <w:szCs w:val="32"/>
        </w:rPr>
        <w:t>实现区级公共法律服务实体平台全覆盖；春雨路社区等14个社区获得授予市级“民主法治社区”称号；深入推进智慧安防小区建设，建成智慧安防小区147个，全区737个小区实现零发案，建成人脸识别前端260个、视频监控机动车辆卡口432个、电子围栏130套，刑事警情体量持续保持主城区最低；</w:t>
      </w:r>
      <w:r>
        <w:rPr>
          <w:rFonts w:ascii="Times New Roman" w:hAnsi="Times New Roman" w:eastAsia="仿宋_GB2312"/>
          <w:sz w:val="32"/>
          <w:szCs w:val="32"/>
        </w:rPr>
        <w:t>继续实施动物标识及疫病可追溯体系建设，产地检疫率100%。</w:t>
      </w:r>
    </w:p>
    <w:p>
      <w:pPr>
        <w:pBdr>
          <w:top w:val="none" w:color="auto" w:sz="0" w:space="1"/>
          <w:left w:val="none" w:color="auto" w:sz="0" w:space="4"/>
          <w:bottom w:val="none" w:color="auto" w:sz="0" w:space="1"/>
          <w:right w:val="none" w:color="auto" w:sz="0" w:space="4"/>
        </w:pBdr>
        <w:tabs>
          <w:tab w:val="left" w:pos="7140"/>
        </w:tabs>
        <w:spacing w:line="560" w:lineRule="exact"/>
        <w:ind w:firstLine="640" w:firstLineChars="200"/>
        <w:rPr>
          <w:rFonts w:ascii="Times New Roman" w:hAnsi="Times New Roman" w:eastAsia="仿宋_GB2312"/>
          <w:sz w:val="32"/>
          <w:szCs w:val="32"/>
        </w:rPr>
      </w:pPr>
      <w:r>
        <w:rPr>
          <w:rFonts w:ascii="Times New Roman" w:hAnsi="Times New Roman" w:eastAsia="黑体"/>
          <w:snapToGrid w:val="0"/>
          <w:color w:val="000000" w:themeColor="text1"/>
          <w:sz w:val="32"/>
          <w:szCs w:val="32"/>
        </w:rPr>
        <w:t>二、财政性投资建设项目推进情况</w:t>
      </w:r>
    </w:p>
    <w:p>
      <w:pPr>
        <w:pBdr>
          <w:top w:val="none" w:color="auto" w:sz="0" w:space="1"/>
          <w:left w:val="none" w:color="auto" w:sz="0" w:space="4"/>
          <w:bottom w:val="none" w:color="auto" w:sz="0" w:space="1"/>
          <w:right w:val="none" w:color="auto" w:sz="0" w:space="4"/>
        </w:pBdr>
        <w:tabs>
          <w:tab w:val="left" w:pos="7140"/>
        </w:tabs>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上半年，共安排2020年前期工作经费5086万元，用于支持政府投资项目加快推进前期工作，提高项目成熟度。2020年纳入财政性投资建设项目共94项，计划总投资89.28亿元，年内计划投资52.79亿元，上半年完成投资18.24亿元，完成年度计划的34.56%。其中，续建项目31项，完成投资6.77亿元，完成年度计划投资的32.66%；新开工项目43项，完成投资11.47亿元，完成年度计划投资的35.79%。纳入储备的政府投资项目共52项，计划总投资61.4亿元，上半年已开工1项，计划总投资1.8亿元，累计完成投资0.58亿元；已完成前期工作，待片区具备开工条件即可启动建设的14项，计划总投资5.97亿元；剩余37项正在全力推进前期工作，计划总投资53.64亿元。</w:t>
      </w:r>
    </w:p>
    <w:p>
      <w:pPr>
        <w:pBdr>
          <w:top w:val="none" w:color="auto" w:sz="0" w:space="1"/>
          <w:left w:val="none" w:color="auto" w:sz="0" w:space="4"/>
          <w:bottom w:val="none" w:color="auto" w:sz="0" w:space="1"/>
          <w:right w:val="none" w:color="auto" w:sz="0" w:space="4"/>
        </w:pBdr>
        <w:tabs>
          <w:tab w:val="left" w:pos="7140"/>
        </w:tabs>
        <w:spacing w:line="560" w:lineRule="exact"/>
        <w:ind w:firstLine="420" w:firstLineChars="200"/>
        <w:rPr>
          <w:rFonts w:ascii="Times New Roman" w:hAnsi="Times New Roman" w:eastAsia="仿宋_GB2312"/>
          <w:sz w:val="32"/>
          <w:szCs w:val="32"/>
        </w:rPr>
      </w:pPr>
      <w:r>
        <w:rPr>
          <w:rFonts w:ascii="Times New Roman" w:hAnsi="Times New Roman" w:eastAsiaTheme="minorEastAsia"/>
        </w:rPr>
        <w:drawing>
          <wp:anchor distT="0" distB="0" distL="114300" distR="114300" simplePos="0" relativeHeight="251698176" behindDoc="0" locked="0" layoutInCell="1" allowOverlap="1">
            <wp:simplePos x="0" y="0"/>
            <wp:positionH relativeFrom="column">
              <wp:posOffset>-330200</wp:posOffset>
            </wp:positionH>
            <wp:positionV relativeFrom="paragraph">
              <wp:posOffset>135255</wp:posOffset>
            </wp:positionV>
            <wp:extent cx="3181350" cy="2263140"/>
            <wp:effectExtent l="4445" t="5080" r="14605" b="17780"/>
            <wp:wrapSquare wrapText="bothSides"/>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Pr>
          <w:rFonts w:ascii="Times New Roman" w:hAnsi="Times New Roman" w:eastAsia="仿宋_GB2312"/>
          <w:sz w:val="32"/>
          <w:szCs w:val="32"/>
        </w:rPr>
        <w:t xml:space="preserve">2020年我区纳入省“四个一百”重点项目4项，年内计划投资40.42亿元，1-6月完成投资9.88亿元。纳入市级重点项目52项，年内计划投资400.18亿元，1-6月完成投资147.06亿元。纳入区级重点项目45项，年内计划投资411.5亿元，1-6月完成投资144.7亿元。 </w:t>
      </w:r>
    </w:p>
    <w:p>
      <w:pPr>
        <w:pBdr>
          <w:top w:val="none" w:color="auto" w:sz="0" w:space="1"/>
          <w:left w:val="none" w:color="auto" w:sz="0" w:space="4"/>
          <w:bottom w:val="none" w:color="auto" w:sz="0" w:space="1"/>
          <w:right w:val="none" w:color="auto" w:sz="0" w:space="4"/>
        </w:pBdr>
        <w:tabs>
          <w:tab w:val="left" w:pos="7140"/>
        </w:tabs>
        <w:spacing w:line="560" w:lineRule="exact"/>
        <w:ind w:firstLine="640" w:firstLineChars="200"/>
        <w:rPr>
          <w:rFonts w:ascii="Times New Roman" w:hAnsi="Times New Roman" w:eastAsia="黑体"/>
          <w:snapToGrid w:val="0"/>
          <w:color w:val="000000" w:themeColor="text1"/>
          <w:szCs w:val="32"/>
        </w:rPr>
      </w:pPr>
      <w:r>
        <w:rPr>
          <w:rFonts w:ascii="Times New Roman" w:hAnsi="Times New Roman" w:eastAsia="黑体"/>
          <w:snapToGrid w:val="0"/>
          <w:color w:val="000000" w:themeColor="text1"/>
          <w:sz w:val="32"/>
          <w:szCs w:val="32"/>
        </w:rPr>
        <w:t>三、国民经济和社会发展中存在的机遇和挑战</w:t>
      </w:r>
    </w:p>
    <w:p>
      <w:pPr>
        <w:pBdr>
          <w:top w:val="none" w:color="auto" w:sz="0" w:space="1"/>
          <w:left w:val="none" w:color="auto" w:sz="0" w:space="4"/>
          <w:bottom w:val="none" w:color="auto" w:sz="0" w:space="1"/>
          <w:right w:val="none" w:color="auto" w:sz="0" w:space="4"/>
        </w:pBdr>
        <w:tabs>
          <w:tab w:val="left" w:pos="7140"/>
        </w:tabs>
        <w:spacing w:line="560" w:lineRule="exact"/>
        <w:ind w:firstLine="640" w:firstLineChars="200"/>
        <w:rPr>
          <w:rFonts w:ascii="Times New Roman" w:hAnsi="Times New Roman" w:eastAsia="仿宋_GB2312"/>
          <w:snapToGrid w:val="0"/>
          <w:color w:val="000000" w:themeColor="text1"/>
          <w:sz w:val="32"/>
          <w:szCs w:val="32"/>
        </w:rPr>
      </w:pPr>
      <w:r>
        <w:rPr>
          <w:rFonts w:ascii="Times New Roman" w:hAnsi="Times New Roman" w:eastAsia="仿宋_GB2312"/>
          <w:snapToGrid w:val="0"/>
          <w:color w:val="000000" w:themeColor="text1"/>
          <w:sz w:val="32"/>
          <w:szCs w:val="32"/>
        </w:rPr>
        <w:t>上半年，疫情防控成果不断巩固，经济呈现恢复性增长势头，成绩来之不易，对标新时代的使命责任，对标高质量发展的目标要求，未来西山发展机遇与挑战同在。</w:t>
      </w:r>
      <w:r>
        <w:rPr>
          <w:rFonts w:ascii="Times New Roman" w:hAnsi="Times New Roman" w:eastAsia="仿宋_GB2312"/>
          <w:b/>
          <w:bCs/>
          <w:snapToGrid w:val="0"/>
          <w:color w:val="000000" w:themeColor="text1"/>
          <w:sz w:val="32"/>
          <w:szCs w:val="32"/>
        </w:rPr>
        <w:t>发展机遇：一是</w:t>
      </w:r>
      <w:r>
        <w:rPr>
          <w:rFonts w:ascii="Times New Roman" w:hAnsi="Times New Roman" w:eastAsia="仿宋_GB2312"/>
          <w:snapToGrid w:val="0"/>
          <w:color w:val="000000" w:themeColor="text1"/>
          <w:sz w:val="32"/>
          <w:szCs w:val="32"/>
        </w:rPr>
        <w:t>新发展理念落地生根，高质量发展势能强劲。</w:t>
      </w:r>
      <w:r>
        <w:rPr>
          <w:rFonts w:ascii="Times New Roman" w:hAnsi="Times New Roman" w:eastAsia="仿宋_GB2312"/>
          <w:b/>
          <w:bCs/>
          <w:snapToGrid w:val="0"/>
          <w:color w:val="000000" w:themeColor="text1"/>
          <w:sz w:val="32"/>
          <w:szCs w:val="32"/>
        </w:rPr>
        <w:t>二是</w:t>
      </w:r>
      <w:r>
        <w:rPr>
          <w:rFonts w:ascii="Times New Roman" w:hAnsi="Times New Roman" w:eastAsia="仿宋_GB2312"/>
          <w:snapToGrid w:val="0"/>
          <w:color w:val="000000" w:themeColor="text1"/>
          <w:sz w:val="32"/>
          <w:szCs w:val="32"/>
        </w:rPr>
        <w:t>在疫情防控中萌生的新经济形态与时俱进，积蓄着越来越强的城乡发展新动能。</w:t>
      </w:r>
      <w:r>
        <w:rPr>
          <w:rFonts w:ascii="Times New Roman" w:hAnsi="Times New Roman" w:eastAsia="仿宋_GB2312"/>
          <w:b/>
          <w:bCs/>
          <w:snapToGrid w:val="0"/>
          <w:color w:val="000000" w:themeColor="text1"/>
          <w:sz w:val="32"/>
          <w:szCs w:val="32"/>
        </w:rPr>
        <w:t>三是</w:t>
      </w:r>
      <w:r>
        <w:rPr>
          <w:rFonts w:ascii="Times New Roman" w:hAnsi="Times New Roman" w:eastAsia="仿宋_GB2312"/>
          <w:snapToGrid w:val="0"/>
          <w:color w:val="000000" w:themeColor="text1"/>
          <w:sz w:val="32"/>
          <w:szCs w:val="32"/>
        </w:rPr>
        <w:t>推进产业格局构建成为经济转型升级和人才升级的重要基础和动力。</w:t>
      </w:r>
      <w:r>
        <w:rPr>
          <w:rFonts w:ascii="Times New Roman" w:hAnsi="Times New Roman" w:eastAsia="仿宋_GB2312"/>
          <w:b/>
          <w:bCs/>
          <w:snapToGrid w:val="0"/>
          <w:color w:val="000000" w:themeColor="text1"/>
          <w:sz w:val="32"/>
          <w:szCs w:val="32"/>
        </w:rPr>
        <w:t>四是</w:t>
      </w:r>
      <w:r>
        <w:rPr>
          <w:rFonts w:ascii="Times New Roman" w:hAnsi="Times New Roman" w:eastAsia="仿宋_GB2312"/>
          <w:snapToGrid w:val="0"/>
          <w:color w:val="000000" w:themeColor="text1"/>
          <w:sz w:val="32"/>
          <w:szCs w:val="32"/>
        </w:rPr>
        <w:t>稳定经济增长的迫切需求下，专项债券和特别国债成为积极财政政策的重要工具，将为稳投资、扩内需、补短板带来重要机遇。</w:t>
      </w:r>
      <w:r>
        <w:rPr>
          <w:rFonts w:ascii="Times New Roman" w:hAnsi="Times New Roman" w:eastAsia="仿宋_GB2312"/>
          <w:b/>
          <w:bCs/>
          <w:snapToGrid w:val="0"/>
          <w:color w:val="000000" w:themeColor="text1"/>
          <w:sz w:val="32"/>
          <w:szCs w:val="32"/>
        </w:rPr>
        <w:t>面临挑战：一是</w:t>
      </w:r>
      <w:r>
        <w:rPr>
          <w:rFonts w:ascii="Times New Roman" w:hAnsi="Times New Roman" w:eastAsia="仿宋_GB2312"/>
          <w:snapToGrid w:val="0"/>
          <w:color w:val="000000" w:themeColor="text1"/>
          <w:sz w:val="32"/>
          <w:szCs w:val="32"/>
        </w:rPr>
        <w:t>当前外部环境不确定因素依然突出，后疫情时期的经济社会转型发展需要大量的回补和支撑，经济发展的阶段性压力加大。</w:t>
      </w:r>
      <w:r>
        <w:rPr>
          <w:rFonts w:ascii="Times New Roman" w:hAnsi="Times New Roman" w:eastAsia="仿宋_GB2312"/>
          <w:b/>
          <w:bCs/>
          <w:snapToGrid w:val="0"/>
          <w:color w:val="000000" w:themeColor="text1"/>
          <w:sz w:val="32"/>
          <w:szCs w:val="32"/>
        </w:rPr>
        <w:t>二是</w:t>
      </w:r>
      <w:r>
        <w:rPr>
          <w:rFonts w:ascii="Times New Roman" w:hAnsi="Times New Roman" w:eastAsia="仿宋_GB2312"/>
          <w:snapToGrid w:val="0"/>
          <w:color w:val="000000" w:themeColor="text1"/>
          <w:sz w:val="32"/>
          <w:szCs w:val="32"/>
        </w:rPr>
        <w:t>打造“更具活力的区域性国际中心城市中枢门户区”对转变发展方式提出了更为迫切的要求，需要我们摆脱传统路径依赖，进一步推动经济发展深刻转型。</w:t>
      </w:r>
      <w:r>
        <w:rPr>
          <w:rFonts w:ascii="Times New Roman" w:hAnsi="Times New Roman" w:eastAsia="仿宋_GB2312"/>
          <w:b/>
          <w:bCs/>
          <w:snapToGrid w:val="0"/>
          <w:color w:val="000000" w:themeColor="text1"/>
          <w:sz w:val="32"/>
          <w:szCs w:val="32"/>
        </w:rPr>
        <w:t>三是</w:t>
      </w:r>
      <w:r>
        <w:rPr>
          <w:rFonts w:ascii="Times New Roman" w:hAnsi="Times New Roman" w:eastAsia="仿宋_GB2312"/>
          <w:snapToGrid w:val="0"/>
          <w:color w:val="000000" w:themeColor="text1"/>
          <w:sz w:val="32"/>
          <w:szCs w:val="32"/>
        </w:rPr>
        <w:t>人口资源环境矛盾仍然突出，生态环境、城市功能尚有诸多短板，城市管理方式有待加强。</w:t>
      </w:r>
      <w:r>
        <w:rPr>
          <w:rFonts w:ascii="Times New Roman" w:hAnsi="Times New Roman" w:eastAsia="仿宋_GB2312"/>
          <w:b/>
          <w:bCs/>
          <w:snapToGrid w:val="0"/>
          <w:color w:val="000000" w:themeColor="text1"/>
          <w:sz w:val="32"/>
          <w:szCs w:val="32"/>
        </w:rPr>
        <w:t>四是</w:t>
      </w:r>
      <w:r>
        <w:rPr>
          <w:rFonts w:ascii="Times New Roman" w:hAnsi="Times New Roman" w:eastAsia="仿宋_GB2312"/>
          <w:snapToGrid w:val="0"/>
          <w:color w:val="000000" w:themeColor="text1"/>
          <w:sz w:val="32"/>
          <w:szCs w:val="32"/>
        </w:rPr>
        <w:t>城乡精细化管理、社会治理水平还不高，公共服务供给与群众的美好期待还有较大差距。</w:t>
      </w:r>
    </w:p>
    <w:p>
      <w:pPr>
        <w:pBdr>
          <w:top w:val="none" w:color="auto" w:sz="0" w:space="1"/>
          <w:left w:val="none" w:color="auto" w:sz="0" w:space="4"/>
          <w:bottom w:val="none" w:color="auto" w:sz="0" w:space="1"/>
          <w:right w:val="none" w:color="auto" w:sz="0" w:space="4"/>
        </w:pBdr>
        <w:tabs>
          <w:tab w:val="left" w:pos="7140"/>
        </w:tabs>
        <w:spacing w:line="560" w:lineRule="exact"/>
        <w:ind w:firstLine="640" w:firstLineChars="200"/>
        <w:rPr>
          <w:rFonts w:ascii="Times New Roman" w:hAnsi="Times New Roman" w:eastAsia="黑体"/>
          <w:snapToGrid w:val="0"/>
          <w:color w:val="000000"/>
          <w:sz w:val="32"/>
          <w:szCs w:val="32"/>
        </w:rPr>
      </w:pPr>
      <w:r>
        <w:rPr>
          <w:rFonts w:ascii="Times New Roman" w:hAnsi="Times New Roman" w:eastAsia="黑体"/>
          <w:snapToGrid w:val="0"/>
          <w:color w:val="000000"/>
          <w:sz w:val="32"/>
          <w:szCs w:val="32"/>
        </w:rPr>
        <w:t>四、下半年全区经济社会发展的工作重点和主要措施</w:t>
      </w:r>
    </w:p>
    <w:p>
      <w:pPr>
        <w:pBdr>
          <w:top w:val="none" w:color="auto" w:sz="0" w:space="1"/>
          <w:left w:val="none" w:color="auto" w:sz="0" w:space="4"/>
          <w:bottom w:val="none" w:color="auto" w:sz="0" w:space="1"/>
          <w:right w:val="none" w:color="auto" w:sz="0" w:space="4"/>
        </w:pBdr>
        <w:tabs>
          <w:tab w:val="left" w:pos="7140"/>
        </w:tabs>
        <w:spacing w:line="560" w:lineRule="exact"/>
        <w:ind w:firstLine="640" w:firstLineChars="200"/>
        <w:rPr>
          <w:rFonts w:ascii="Times New Roman" w:hAnsi="Times New Roman" w:eastAsia="仿宋_GB2312"/>
          <w:snapToGrid w:val="0"/>
          <w:sz w:val="32"/>
          <w:szCs w:val="32"/>
        </w:rPr>
      </w:pPr>
      <w:r>
        <w:rPr>
          <w:rFonts w:ascii="Times New Roman" w:hAnsi="Times New Roman" w:eastAsia="仿宋_GB2312"/>
          <w:snapToGrid w:val="0"/>
          <w:color w:val="000000" w:themeColor="text1"/>
          <w:sz w:val="32"/>
          <w:szCs w:val="32"/>
        </w:rPr>
        <w:t>下半年，全区将</w:t>
      </w:r>
      <w:r>
        <w:rPr>
          <w:rFonts w:ascii="Times New Roman" w:hAnsi="Times New Roman" w:eastAsia="仿宋_GB2312"/>
          <w:snapToGrid w:val="0"/>
          <w:color w:val="000000" w:themeColor="text1"/>
          <w:sz w:val="32"/>
          <w:szCs w:val="32"/>
          <w:lang w:val="zh-TW"/>
        </w:rPr>
        <w:t>坚持稳中求进工作总基调，不断巩固防疫战果，扎实做好“六稳”工作，全面落实“六保”任务，积极用好国家发行特别国债、增加地方政府专项债券规模等逆周期调节政策，围绕打造更具</w:t>
      </w:r>
      <w:r>
        <w:rPr>
          <w:rFonts w:ascii="Times New Roman" w:hAnsi="Times New Roman" w:eastAsia="仿宋_GB2312"/>
          <w:snapToGrid w:val="0"/>
          <w:color w:val="000000" w:themeColor="text1"/>
          <w:sz w:val="32"/>
          <w:szCs w:val="32"/>
        </w:rPr>
        <w:t>活力的区域性国际中心城市中枢门户区发展目标，</w:t>
      </w:r>
      <w:r>
        <w:rPr>
          <w:rFonts w:ascii="Times New Roman" w:hAnsi="Times New Roman" w:eastAsia="仿宋_GB2312"/>
          <w:bCs/>
          <w:snapToGrid w:val="0"/>
          <w:color w:val="000000" w:themeColor="text1"/>
          <w:sz w:val="32"/>
          <w:szCs w:val="32"/>
        </w:rPr>
        <w:t>坚定信心，推动经济增速回升到合理区间，实现经济量的合理增长和质的稳步提升，围绕完成全年目标任务，</w:t>
      </w:r>
      <w:r>
        <w:rPr>
          <w:rFonts w:ascii="Times New Roman" w:hAnsi="Times New Roman" w:eastAsia="仿宋_GB2312"/>
          <w:snapToGrid w:val="0"/>
          <w:sz w:val="32"/>
          <w:szCs w:val="32"/>
        </w:rPr>
        <w:t>全力实施</w:t>
      </w:r>
      <w:r>
        <w:rPr>
          <w:rFonts w:ascii="Times New Roman" w:hAnsi="Times New Roman"/>
          <w:snapToGrid w:val="0"/>
          <w:sz w:val="32"/>
          <w:szCs w:val="32"/>
        </w:rPr>
        <w:t>好</w:t>
      </w:r>
      <w:r>
        <w:rPr>
          <w:rFonts w:ascii="Times New Roman" w:hAnsi="Times New Roman" w:eastAsia="仿宋_GB2312"/>
          <w:snapToGrid w:val="0"/>
          <w:sz w:val="32"/>
          <w:szCs w:val="32"/>
        </w:rPr>
        <w:t>5大方面</w:t>
      </w:r>
      <w:r>
        <w:rPr>
          <w:rFonts w:ascii="Times New Roman" w:hAnsi="Times New Roman"/>
          <w:snapToGrid w:val="0"/>
          <w:sz w:val="32"/>
          <w:szCs w:val="32"/>
        </w:rPr>
        <w:t>15</w:t>
      </w:r>
      <w:r>
        <w:rPr>
          <w:rFonts w:ascii="Times New Roman" w:hAnsi="Times New Roman" w:eastAsia="仿宋_GB2312"/>
          <w:snapToGrid w:val="0"/>
          <w:sz w:val="32"/>
          <w:szCs w:val="32"/>
        </w:rPr>
        <w:t>项重点工作：</w:t>
      </w:r>
    </w:p>
    <w:p>
      <w:pPr>
        <w:pBdr>
          <w:top w:val="none" w:color="auto" w:sz="0" w:space="1"/>
          <w:left w:val="none" w:color="auto" w:sz="0" w:space="4"/>
          <w:bottom w:val="none" w:color="auto" w:sz="0" w:space="1"/>
          <w:right w:val="none" w:color="auto" w:sz="0" w:space="4"/>
        </w:pBdr>
        <w:topLinePunct/>
        <w:adjustRightInd w:val="0"/>
        <w:snapToGrid w:val="0"/>
        <w:spacing w:line="560" w:lineRule="exact"/>
        <w:ind w:firstLine="640" w:firstLineChars="200"/>
        <w:rPr>
          <w:rFonts w:ascii="Times New Roman" w:hAnsi="Times New Roman" w:eastAsia="楷体_GB2312"/>
          <w:snapToGrid w:val="0"/>
          <w:color w:val="0000FF"/>
          <w:sz w:val="32"/>
          <w:szCs w:val="32"/>
        </w:rPr>
      </w:pPr>
      <w:r>
        <w:rPr>
          <w:rFonts w:ascii="Times New Roman" w:hAnsi="Times New Roman" w:eastAsia="楷体_GB2312"/>
          <w:snapToGrid w:val="0"/>
          <w:color w:val="000000" w:themeColor="text1"/>
          <w:sz w:val="32"/>
          <w:szCs w:val="32"/>
        </w:rPr>
        <w:t>（一）抢抓发展机遇，聚力产业消费扩容升级</w:t>
      </w:r>
    </w:p>
    <w:p>
      <w:pPr>
        <w:pBdr>
          <w:top w:val="none" w:color="auto" w:sz="0" w:space="1"/>
          <w:left w:val="none" w:color="auto" w:sz="0" w:space="4"/>
          <w:bottom w:val="none" w:color="auto" w:sz="0" w:space="1"/>
          <w:right w:val="none" w:color="auto" w:sz="0" w:space="4"/>
        </w:pBdr>
        <w:topLinePunct/>
        <w:adjustRightInd w:val="0"/>
        <w:snapToGrid w:val="0"/>
        <w:spacing w:line="560" w:lineRule="exact"/>
        <w:ind w:firstLine="643" w:firstLineChars="200"/>
        <w:rPr>
          <w:rFonts w:ascii="Times New Roman" w:hAnsi="Times New Roman" w:eastAsia="仿宋_GB2312"/>
          <w:b/>
          <w:snapToGrid w:val="0"/>
          <w:color w:val="000000" w:themeColor="text1"/>
          <w:sz w:val="32"/>
          <w:szCs w:val="32"/>
        </w:rPr>
      </w:pPr>
      <w:r>
        <w:rPr>
          <w:rFonts w:ascii="Times New Roman" w:hAnsi="Times New Roman" w:eastAsia="仿宋_GB2312"/>
          <w:b/>
          <w:bCs/>
          <w:snapToGrid w:val="0"/>
          <w:color w:val="000000" w:themeColor="text1"/>
          <w:sz w:val="32"/>
          <w:szCs w:val="32"/>
        </w:rPr>
        <w:t>1.加速构建“4×3”产业新格局，保产业链供应链稳定</w:t>
      </w:r>
    </w:p>
    <w:p>
      <w:pPr>
        <w:pStyle w:val="7"/>
        <w:pBdr>
          <w:top w:val="none" w:color="auto" w:sz="0" w:space="1"/>
          <w:left w:val="none" w:color="auto" w:sz="0" w:space="4"/>
          <w:bottom w:val="none" w:color="auto" w:sz="0" w:space="1"/>
          <w:right w:val="none" w:color="auto" w:sz="0" w:space="4"/>
        </w:pBdr>
        <w:spacing w:line="560" w:lineRule="exact"/>
        <w:ind w:firstLine="643" w:firstLineChars="200"/>
        <w:rPr>
          <w:rFonts w:ascii="Times New Roman" w:hAnsi="Times New Roman" w:eastAsia="仿宋_GB2312"/>
          <w:sz w:val="32"/>
          <w:szCs w:val="32"/>
          <w:highlight w:val="cyan"/>
        </w:rPr>
      </w:pPr>
      <w:r>
        <w:rPr>
          <w:rFonts w:ascii="Times New Roman" w:hAnsi="Times New Roman" w:eastAsia="仿宋_GB2312"/>
          <w:b/>
          <w:bCs/>
          <w:snapToGrid w:val="0"/>
          <w:color w:val="000000" w:themeColor="text1"/>
          <w:sz w:val="32"/>
          <w:szCs w:val="32"/>
        </w:rPr>
        <w:t>房地产、新型化工、装备智造3个基础产业。</w:t>
      </w:r>
      <w:r>
        <w:rPr>
          <w:rFonts w:ascii="Times New Roman" w:hAnsi="Times New Roman" w:eastAsia="仿宋_GB2312"/>
          <w:sz w:val="32"/>
          <w:szCs w:val="32"/>
        </w:rPr>
        <w:t>抓好房地产企业新增项目入库、前期审批，加强对</w:t>
      </w:r>
      <w:r>
        <w:rPr>
          <w:rFonts w:ascii="Times New Roman" w:hAnsi="Times New Roman" w:eastAsia="仿宋_GB2312"/>
          <w:color w:val="000000"/>
          <w:sz w:val="32"/>
          <w:szCs w:val="32"/>
        </w:rPr>
        <w:t>物业服务企业监管，</w:t>
      </w:r>
      <w:r>
        <w:rPr>
          <w:rFonts w:ascii="Times New Roman" w:hAnsi="Times New Roman" w:eastAsia="仿宋_GB2312"/>
          <w:sz w:val="32"/>
          <w:szCs w:val="32"/>
        </w:rPr>
        <w:t>引导房地产发挥多元效益。强化监测海口磷业7万吨、中化化肥、昆明中药厂、汉素、滇凯等重点企业运行状况，紧盯盛宏公司磷酸盐项目和文笔山风电项目。加强推进华信、昆明客车技改项目。大力推进精细磷化工、先进装备制造、生物医药、精密光机电产业的发展。</w:t>
      </w:r>
    </w:p>
    <w:p>
      <w:pPr>
        <w:pBdr>
          <w:top w:val="none" w:color="auto" w:sz="0" w:space="1"/>
          <w:left w:val="none" w:color="auto" w:sz="0" w:space="4"/>
          <w:bottom w:val="none" w:color="auto" w:sz="0" w:space="1"/>
          <w:right w:val="none" w:color="auto" w:sz="0" w:space="4"/>
        </w:pBdr>
        <w:topLinePunct/>
        <w:adjustRightInd w:val="0"/>
        <w:snapToGrid w:val="0"/>
        <w:spacing w:line="560" w:lineRule="exact"/>
        <w:ind w:firstLine="643" w:firstLineChars="200"/>
        <w:rPr>
          <w:rFonts w:ascii="Times New Roman" w:hAnsi="Times New Roman" w:eastAsia="仿宋_GB2312"/>
          <w:bCs/>
          <w:kern w:val="0"/>
          <w:sz w:val="32"/>
          <w:szCs w:val="32"/>
          <w:shd w:val="clear" w:color="FFFFFF" w:fill="D9D9D9"/>
        </w:rPr>
      </w:pPr>
      <w:r>
        <w:rPr>
          <w:rFonts w:ascii="Times New Roman" w:hAnsi="Times New Roman" w:eastAsia="仿宋_GB2312"/>
          <w:b/>
          <w:bCs/>
          <w:snapToGrid w:val="0"/>
          <w:color w:val="000000" w:themeColor="text1"/>
          <w:sz w:val="32"/>
          <w:szCs w:val="32"/>
        </w:rPr>
        <w:t>大健康、数字经济、服务贸易3个主导产业。</w:t>
      </w:r>
      <w:r>
        <w:rPr>
          <w:rFonts w:ascii="Times New Roman" w:hAnsi="Times New Roman" w:eastAsia="仿宋_GB2312"/>
          <w:bCs/>
          <w:snapToGrid w:val="0"/>
          <w:color w:val="000000" w:themeColor="text1"/>
          <w:sz w:val="32"/>
          <w:szCs w:val="32"/>
        </w:rPr>
        <w:t>全力落实</w:t>
      </w:r>
      <w:r>
        <w:rPr>
          <w:rFonts w:ascii="Times New Roman" w:hAnsi="Times New Roman" w:eastAsia="仿宋_GB2312"/>
          <w:bCs/>
          <w:kern w:val="0"/>
          <w:sz w:val="32"/>
          <w:szCs w:val="32"/>
        </w:rPr>
        <w:t>《西山区2020-2021年大健康产业发展专项计划》</w:t>
      </w:r>
      <w:r>
        <w:rPr>
          <w:rFonts w:ascii="Times New Roman" w:hAnsi="Times New Roman" w:eastAsia="仿宋_GB2312"/>
          <w:sz w:val="32"/>
          <w:szCs w:val="32"/>
        </w:rPr>
        <w:t>。</w:t>
      </w:r>
      <w:r>
        <w:rPr>
          <w:rFonts w:ascii="Times New Roman" w:hAnsi="Times New Roman" w:eastAsia="仿宋_GB2312"/>
          <w:bCs/>
          <w:kern w:val="0"/>
          <w:sz w:val="32"/>
          <w:szCs w:val="32"/>
        </w:rPr>
        <w:t>拓展数字经济发展空间，力争实现互联网软件和相关服务业主营业务收入增长20%</w:t>
      </w:r>
      <w:r>
        <w:rPr>
          <w:rFonts w:ascii="Times New Roman" w:hAnsi="Times New Roman" w:eastAsia="仿宋_GB2312"/>
          <w:sz w:val="32"/>
          <w:szCs w:val="32"/>
        </w:rPr>
        <w:t>。</w:t>
      </w:r>
      <w:r>
        <w:rPr>
          <w:rFonts w:ascii="Times New Roman" w:hAnsi="Times New Roman" w:eastAsia="仿宋_GB2312"/>
          <w:snapToGrid w:val="0"/>
          <w:spacing w:val="4"/>
          <w:sz w:val="32"/>
          <w:szCs w:val="32"/>
        </w:rPr>
        <w:t>支持民营经济健康发展，</w:t>
      </w:r>
      <w:r>
        <w:rPr>
          <w:rFonts w:ascii="Times New Roman" w:hAnsi="Times New Roman" w:eastAsia="仿宋_GB2312"/>
          <w:sz w:val="32"/>
          <w:szCs w:val="32"/>
        </w:rPr>
        <w:t>年增加值实现385亿元以上。鼓励总部经济和特色楼宇发展，</w:t>
      </w:r>
      <w:r>
        <w:rPr>
          <w:rFonts w:ascii="Times New Roman" w:hAnsi="Times New Roman" w:eastAsia="仿宋_GB2312"/>
          <w:bCs/>
          <w:kern w:val="0"/>
          <w:sz w:val="32"/>
          <w:szCs w:val="32"/>
        </w:rPr>
        <w:t>保有税收亿元楼宇6幢、千万元楼宇15幢，新培育总部企业2家。</w:t>
      </w:r>
    </w:p>
    <w:p>
      <w:pPr>
        <w:widowControl/>
        <w:pBdr>
          <w:top w:val="none" w:color="auto" w:sz="0" w:space="1"/>
          <w:left w:val="none" w:color="auto" w:sz="0" w:space="4"/>
          <w:bottom w:val="none" w:color="auto" w:sz="0" w:space="1"/>
          <w:right w:val="none" w:color="auto" w:sz="0" w:space="4"/>
        </w:pBdr>
        <w:topLinePunct/>
        <w:autoSpaceDE w:val="0"/>
        <w:adjustRightInd w:val="0"/>
        <w:spacing w:line="560" w:lineRule="exact"/>
        <w:ind w:firstLine="643" w:firstLineChars="200"/>
        <w:rPr>
          <w:rFonts w:ascii="Times New Roman" w:hAnsi="Times New Roman" w:eastAsia="仿宋_GB2312"/>
          <w:sz w:val="32"/>
          <w:szCs w:val="32"/>
        </w:rPr>
      </w:pPr>
      <w:r>
        <w:rPr>
          <w:rFonts w:ascii="Times New Roman" w:hAnsi="Times New Roman" w:eastAsia="仿宋_GB2312"/>
          <w:b/>
          <w:bCs/>
          <w:snapToGrid w:val="0"/>
          <w:color w:val="000000" w:themeColor="text1"/>
          <w:sz w:val="32"/>
          <w:szCs w:val="32"/>
        </w:rPr>
        <w:t>商贸物流、文化创意、主题旅游3个配套产业。</w:t>
      </w:r>
      <w:r>
        <w:rPr>
          <w:rFonts w:ascii="Times New Roman" w:hAnsi="Times New Roman" w:eastAsia="仿宋_GB2312"/>
          <w:sz w:val="32"/>
          <w:szCs w:val="32"/>
        </w:rPr>
        <w:t>编制好《昆明长坡泛亚国际物流园区产业发展总体规划》，加块推进园区整体运营。全力推进以石龙坝水电站为题材的影视剧摄制。开展区级文创园区、产业融合示范基地申报认定与省市区级文化产业专项资金申报。新建2座、改建3座旅游厕所，推动大观公园、西山风景区2个4A景区开展 “一部手机游云南”智慧景区的升级迭代；进一步落实西山区5G试点工作。建立“西山区旅游经济指标监测数据库”，全年力争实现游客接待1800万人次，旅游收入240亿元。</w:t>
      </w:r>
    </w:p>
    <w:p>
      <w:pPr>
        <w:pStyle w:val="4"/>
        <w:pBdr>
          <w:top w:val="none" w:color="auto" w:sz="0" w:space="1"/>
          <w:left w:val="none" w:color="auto" w:sz="0" w:space="4"/>
          <w:bottom w:val="none" w:color="auto" w:sz="0" w:space="1"/>
          <w:right w:val="none" w:color="auto" w:sz="0" w:space="4"/>
        </w:pBdr>
        <w:spacing w:line="560" w:lineRule="exact"/>
        <w:ind w:left="0" w:leftChars="0" w:firstLine="643" w:firstLineChars="200"/>
        <w:rPr>
          <w:rFonts w:eastAsia="仿宋_GB2312"/>
          <w:snapToGrid w:val="0"/>
          <w:color w:val="C00000"/>
          <w:spacing w:val="4"/>
          <w:sz w:val="32"/>
          <w:szCs w:val="32"/>
        </w:rPr>
      </w:pPr>
      <w:r>
        <w:rPr>
          <w:rFonts w:eastAsia="仿宋_GB2312"/>
          <w:b/>
          <w:bCs/>
          <w:snapToGrid w:val="0"/>
          <w:color w:val="000000" w:themeColor="text1"/>
          <w:sz w:val="32"/>
          <w:szCs w:val="32"/>
        </w:rPr>
        <w:t>生态农业、金融结算、军民融合3个机会产业。</w:t>
      </w:r>
      <w:r>
        <w:rPr>
          <w:rFonts w:eastAsia="仿宋_GB2312"/>
          <w:snapToGrid w:val="0"/>
          <w:color w:val="000000" w:themeColor="text1"/>
          <w:sz w:val="32"/>
          <w:szCs w:val="32"/>
        </w:rPr>
        <w:t>全面完成上级下达的粮食和物资储备任务，加快我区粮食和物资仓储设施设备提升改造项目实施，协助做好区内中石油管道、昆仑燃气安全运行工作，</w:t>
      </w:r>
      <w:r>
        <w:rPr>
          <w:rFonts w:eastAsia="仿宋_GB2312"/>
          <w:b/>
          <w:snapToGrid w:val="0"/>
          <w:spacing w:val="4"/>
          <w:sz w:val="32"/>
          <w:szCs w:val="32"/>
        </w:rPr>
        <w:t>保粮食能源安全。</w:t>
      </w:r>
      <w:r>
        <w:rPr>
          <w:rFonts w:eastAsia="仿宋_GB2312"/>
          <w:sz w:val="32"/>
          <w:szCs w:val="32"/>
          <w:shd w:val="clear" w:color="auto" w:fill="FFFFFF"/>
        </w:rPr>
        <w:t>完成“三品一标”农产品认证6个，</w:t>
      </w:r>
      <w:r>
        <w:rPr>
          <w:rFonts w:eastAsia="仿宋_GB2312"/>
          <w:sz w:val="32"/>
          <w:szCs w:val="32"/>
        </w:rPr>
        <w:t>实施测土配方施肥技术推广2.5万亩、病虫害绿色防控示范1000亩，农作物秸秆还田2.5万亩。确保完成播种粮食面积3万亩、蔬菜2万亩，</w:t>
      </w:r>
      <w:r>
        <w:rPr>
          <w:rFonts w:eastAsia="仿宋_GB2312"/>
          <w:kern w:val="0"/>
          <w:sz w:val="32"/>
          <w:szCs w:val="32"/>
        </w:rPr>
        <w:t>花卉园艺种植1万亩。</w:t>
      </w:r>
      <w:r>
        <w:rPr>
          <w:rFonts w:eastAsia="仿宋_GB2312"/>
          <w:sz w:val="32"/>
          <w:szCs w:val="32"/>
        </w:rPr>
        <w:t>引种水果新品种5个，新建水果标准化种植基地100亩。</w:t>
      </w:r>
      <w:r>
        <w:rPr>
          <w:rFonts w:eastAsia="仿宋_GB2312"/>
          <w:kern w:val="0"/>
          <w:sz w:val="32"/>
          <w:szCs w:val="32"/>
        </w:rPr>
        <w:t>力争年内新增农民专业合作社1-2个，新增培育家庭农场2个以上</w:t>
      </w:r>
      <w:r>
        <w:rPr>
          <w:rFonts w:eastAsia="仿宋_GB2312"/>
          <w:sz w:val="32"/>
          <w:szCs w:val="32"/>
          <w:shd w:val="clear" w:color="auto" w:fill="FFFFFF"/>
        </w:rPr>
        <w:t>。</w:t>
      </w:r>
      <w:r>
        <w:rPr>
          <w:rFonts w:eastAsia="仿宋_GB2312"/>
          <w:sz w:val="32"/>
          <w:szCs w:val="32"/>
        </w:rPr>
        <w:t>以</w:t>
      </w:r>
      <w:r>
        <w:rPr>
          <w:rFonts w:eastAsia="仿宋_GB2312"/>
          <w:snapToGrid w:val="0"/>
          <w:spacing w:val="4"/>
          <w:sz w:val="32"/>
          <w:szCs w:val="32"/>
        </w:rPr>
        <w:t>云投</w:t>
      </w:r>
      <w:r>
        <w:rPr>
          <w:rFonts w:eastAsia="仿宋_GB2312"/>
          <w:sz w:val="32"/>
          <w:szCs w:val="32"/>
        </w:rPr>
        <w:t>金融小镇为依托，吸引金融机构入驻西山区，金融业年内增加值实现140亿元以上</w:t>
      </w:r>
      <w:r>
        <w:rPr>
          <w:rFonts w:eastAsia="仿宋_GB2312"/>
          <w:snapToGrid w:val="0"/>
          <w:spacing w:val="4"/>
          <w:sz w:val="32"/>
          <w:szCs w:val="32"/>
        </w:rPr>
        <w:t>。</w:t>
      </w:r>
    </w:p>
    <w:p>
      <w:pPr>
        <w:pBdr>
          <w:top w:val="none" w:color="auto" w:sz="0" w:space="1"/>
          <w:left w:val="none" w:color="auto" w:sz="0" w:space="4"/>
          <w:bottom w:val="none" w:color="auto" w:sz="0" w:space="1"/>
          <w:right w:val="none" w:color="auto" w:sz="0" w:space="4"/>
        </w:pBdr>
        <w:topLinePunct/>
        <w:adjustRightInd w:val="0"/>
        <w:snapToGrid w:val="0"/>
        <w:spacing w:line="560" w:lineRule="exact"/>
        <w:ind w:firstLine="643" w:firstLineChars="200"/>
        <w:rPr>
          <w:rFonts w:ascii="Times New Roman" w:hAnsi="Times New Roman" w:eastAsia="仿宋_GB2312"/>
          <w:b/>
          <w:bCs/>
          <w:sz w:val="32"/>
          <w:szCs w:val="32"/>
        </w:rPr>
      </w:pPr>
      <w:r>
        <w:rPr>
          <w:rFonts w:ascii="Times New Roman" w:hAnsi="Times New Roman" w:eastAsia="仿宋_GB2312"/>
          <w:b/>
          <w:bCs/>
          <w:sz w:val="32"/>
          <w:szCs w:val="32"/>
        </w:rPr>
        <w:t>2.突出项目建设，扩大消费需求</w:t>
      </w:r>
    </w:p>
    <w:p>
      <w:pPr>
        <w:pBdr>
          <w:top w:val="none" w:color="auto" w:sz="0" w:space="1"/>
          <w:left w:val="none" w:color="auto" w:sz="0" w:space="4"/>
          <w:bottom w:val="none" w:color="auto" w:sz="0" w:space="1"/>
          <w:right w:val="none" w:color="auto" w:sz="0" w:space="4"/>
        </w:pBdr>
        <w:topLinePunct/>
        <w:adjustRightInd w:val="0"/>
        <w:snapToGrid w:val="0"/>
        <w:spacing w:line="560" w:lineRule="exact"/>
        <w:ind w:firstLine="643" w:firstLineChars="200"/>
        <w:rPr>
          <w:rFonts w:ascii="Times New Roman" w:hAnsi="Times New Roman" w:eastAsia="仿宋_GB2312"/>
          <w:sz w:val="32"/>
          <w:szCs w:val="32"/>
        </w:rPr>
      </w:pPr>
      <w:r>
        <w:rPr>
          <w:rFonts w:ascii="Times New Roman" w:hAnsi="Times New Roman" w:eastAsia="仿宋_GB2312"/>
          <w:b/>
          <w:sz w:val="32"/>
          <w:szCs w:val="32"/>
        </w:rPr>
        <w:t>抓好重大项目建设。</w:t>
      </w:r>
      <w:r>
        <w:rPr>
          <w:rFonts w:ascii="Times New Roman" w:hAnsi="Times New Roman" w:eastAsia="仿宋_GB2312"/>
          <w:sz w:val="32"/>
          <w:szCs w:val="32"/>
        </w:rPr>
        <w:t>重点支持既促消费惠民生又调结构增后劲的“两新一重”建设，优选项目，尽快形成实物工作量，让投资持续发挥效益。健全市场化投融资机制, 鼓励和引导社会资本进入重大项目建设，支持民营企业平等参与。继续全面落实“123”投资项目精细化管理协调机制，</w:t>
      </w:r>
      <w:r>
        <w:rPr>
          <w:rFonts w:ascii="Times New Roman" w:hAnsi="Times New Roman" w:eastAsia="仿宋_GB2312"/>
          <w:snapToGrid w:val="0"/>
          <w:spacing w:val="4"/>
          <w:sz w:val="32"/>
          <w:szCs w:val="32"/>
        </w:rPr>
        <w:t>强化项目跟踪协调服务</w:t>
      </w:r>
      <w:r>
        <w:rPr>
          <w:rFonts w:ascii="Times New Roman" w:hAnsi="Times New Roman" w:eastAsia="仿宋_GB2312"/>
          <w:sz w:val="32"/>
          <w:szCs w:val="32"/>
        </w:rPr>
        <w:t>。做好”十四五“规划期间政府投资项目的谋划、包装、储备工作。</w:t>
      </w:r>
      <w:r>
        <w:rPr>
          <w:rFonts w:ascii="Times New Roman" w:hAnsi="Times New Roman" w:eastAsia="仿宋_GB2312"/>
          <w:snapToGrid w:val="0"/>
          <w:color w:val="000000" w:themeColor="text1"/>
          <w:sz w:val="32"/>
          <w:szCs w:val="32"/>
        </w:rPr>
        <w:t>力争年内实现2589亩土地收储、2409.94亩土地供应，实现土地出让收入173.23亿元以上</w:t>
      </w:r>
      <w:r>
        <w:rPr>
          <w:rFonts w:ascii="Times New Roman" w:hAnsi="Times New Roman" w:eastAsia="仿宋_GB2312"/>
          <w:sz w:val="32"/>
          <w:szCs w:val="32"/>
        </w:rPr>
        <w:t>。</w:t>
      </w:r>
      <w:r>
        <w:rPr>
          <w:rFonts w:ascii="Times New Roman" w:hAnsi="Times New Roman" w:eastAsia="仿宋_GB2312"/>
          <w:snapToGrid w:val="0"/>
          <w:spacing w:val="4"/>
          <w:sz w:val="32"/>
          <w:szCs w:val="32"/>
        </w:rPr>
        <w:t>抓好</w:t>
      </w:r>
      <w:r>
        <w:rPr>
          <w:rFonts w:ascii="Times New Roman" w:hAnsi="Times New Roman" w:eastAsia="仿宋_GB2312"/>
          <w:sz w:val="32"/>
          <w:szCs w:val="32"/>
        </w:rPr>
        <w:t>王家堆湿地建设工程和隆盛华府花园建设2项省级及其余23项市级、20项区级重点续建项目，推动昆明铁路枢纽西客站综合交通工程和云南省癌症中心2项省级及其余9项市级、16项区级重点建设项目开工。积极争取上级资金，强化培育四上企业项目入库，扎实做好跟踪监测。继续做好债券申报工作，抓住补充发行机遇，补充申报昆明市西山区二环内水环境综合治理等5个已通过国家发改委审核的第一批专项债项目。继续补充完善抗疫特别国债项目库，抢抓可能再度开启的申报或补充申报窗口期。</w:t>
      </w:r>
    </w:p>
    <w:p>
      <w:pPr>
        <w:pBdr>
          <w:top w:val="none" w:color="auto" w:sz="0" w:space="1"/>
          <w:left w:val="none" w:color="auto" w:sz="0" w:space="4"/>
          <w:bottom w:val="none" w:color="auto" w:sz="0" w:space="1"/>
          <w:right w:val="none" w:color="auto" w:sz="0" w:space="4"/>
        </w:pBdr>
        <w:topLinePunct/>
        <w:adjustRightInd w:val="0"/>
        <w:snapToGrid w:val="0"/>
        <w:spacing w:line="560" w:lineRule="exact"/>
        <w:ind w:firstLine="643" w:firstLineChars="200"/>
        <w:rPr>
          <w:rFonts w:ascii="Times New Roman" w:hAnsi="Times New Roman" w:eastAsia="仿宋_GB2312"/>
          <w:sz w:val="32"/>
          <w:szCs w:val="32"/>
        </w:rPr>
      </w:pPr>
      <w:r>
        <w:rPr>
          <w:rFonts w:ascii="Times New Roman" w:hAnsi="Times New Roman" w:eastAsia="仿宋_GB2312"/>
          <w:b/>
          <w:sz w:val="32"/>
          <w:szCs w:val="32"/>
        </w:rPr>
        <w:t>挖掘内需增长潜力。</w:t>
      </w:r>
      <w:r>
        <w:rPr>
          <w:rFonts w:ascii="Times New Roman" w:hAnsi="Times New Roman" w:eastAsia="仿宋_GB2312"/>
          <w:snapToGrid w:val="0"/>
          <w:color w:val="000000" w:themeColor="text1"/>
          <w:sz w:val="32"/>
          <w:szCs w:val="32"/>
        </w:rPr>
        <w:t>深度挖掘零售批发、餐饮住宿等消费潜力，促进消费回补和潜力释放。编好《西山区楼宇经济产业生态圈发展专项规划》，</w:t>
      </w:r>
      <w:r>
        <w:rPr>
          <w:rFonts w:ascii="Times New Roman" w:hAnsi="Times New Roman" w:eastAsia="仿宋_GB2312"/>
          <w:snapToGrid w:val="0"/>
          <w:color w:val="000000" w:themeColor="text1"/>
          <w:sz w:val="32"/>
          <w:szCs w:val="32"/>
          <w:lang w:val="zh-CN"/>
        </w:rPr>
        <w:t>打造楼宇经济产业生态商圈；编好《西山区“夜间经济”发展专项规划》，重点打造昆明融创文旅城、万达广场、南亚风情第壹城、金马碧鸡商城、大悦城和春雨937 工业遗产文化街区等夜间经济聚集区。</w:t>
      </w:r>
      <w:r>
        <w:rPr>
          <w:rFonts w:ascii="Times New Roman" w:hAnsi="Times New Roman" w:eastAsia="仿宋_GB2312"/>
          <w:snapToGrid w:val="0"/>
          <w:color w:val="000000" w:themeColor="text1"/>
          <w:sz w:val="32"/>
          <w:szCs w:val="32"/>
        </w:rPr>
        <w:t>支持鼓励新能源汽车等绿色消费，鼓励体育、旅游、养老、文化、健康、教育消费，推动消费升级扩容。</w:t>
      </w:r>
      <w:r>
        <w:rPr>
          <w:rFonts w:ascii="Times New Roman" w:hAnsi="Times New Roman" w:eastAsia="仿宋_GB2312"/>
          <w:sz w:val="32"/>
          <w:szCs w:val="32"/>
        </w:rPr>
        <w:t>发放第二批西山文化惠民消费券30万元</w:t>
      </w:r>
      <w:r>
        <w:rPr>
          <w:rFonts w:ascii="Times New Roman" w:hAnsi="Times New Roman" w:eastAsia="仿宋_GB2312"/>
          <w:snapToGrid w:val="0"/>
          <w:color w:val="000000" w:themeColor="text1"/>
          <w:sz w:val="32"/>
          <w:szCs w:val="32"/>
        </w:rPr>
        <w:t>，</w:t>
      </w:r>
      <w:r>
        <w:rPr>
          <w:rFonts w:ascii="Times New Roman" w:hAnsi="Times New Roman" w:eastAsia="仿宋_GB2312"/>
          <w:bCs/>
          <w:sz w:val="32"/>
          <w:szCs w:val="32"/>
        </w:rPr>
        <w:t>策划举办</w:t>
      </w:r>
      <w:r>
        <w:rPr>
          <w:rFonts w:ascii="Times New Roman" w:hAnsi="Times New Roman" w:eastAsia="仿宋_GB2312"/>
          <w:color w:val="000000"/>
          <w:sz w:val="32"/>
          <w:szCs w:val="32"/>
        </w:rPr>
        <w:t>观音山民俗活动、第三届“西山睡美人”文化艺术节、第33届西山音乐节等品牌文化活动</w:t>
      </w:r>
      <w:r>
        <w:rPr>
          <w:rFonts w:ascii="Times New Roman" w:hAnsi="Times New Roman" w:eastAsia="仿宋_GB2312"/>
          <w:sz w:val="32"/>
          <w:szCs w:val="32"/>
        </w:rPr>
        <w:t>。</w:t>
      </w:r>
    </w:p>
    <w:p>
      <w:pPr>
        <w:pBdr>
          <w:top w:val="none" w:color="auto" w:sz="0" w:space="1"/>
          <w:left w:val="none" w:color="auto" w:sz="0" w:space="4"/>
          <w:bottom w:val="none" w:color="auto" w:sz="0" w:space="1"/>
          <w:right w:val="none" w:color="auto" w:sz="0" w:space="4"/>
        </w:pBdr>
        <w:topLinePunct/>
        <w:adjustRightInd w:val="0"/>
        <w:snapToGrid w:val="0"/>
        <w:spacing w:line="560" w:lineRule="exact"/>
        <w:ind w:firstLine="640" w:firstLineChars="200"/>
        <w:rPr>
          <w:rFonts w:ascii="Times New Roman" w:hAnsi="Times New Roman" w:eastAsia="楷体_GB2312"/>
          <w:snapToGrid w:val="0"/>
          <w:color w:val="000000" w:themeColor="text1"/>
          <w:sz w:val="32"/>
          <w:szCs w:val="32"/>
        </w:rPr>
      </w:pPr>
      <w:r>
        <w:rPr>
          <w:rFonts w:ascii="Times New Roman" w:hAnsi="Times New Roman" w:eastAsia="楷体_GB2312"/>
          <w:snapToGrid w:val="0"/>
          <w:color w:val="000000" w:themeColor="text1"/>
          <w:sz w:val="32"/>
          <w:szCs w:val="32"/>
        </w:rPr>
        <w:t>（二）聚焦创新发展，改革开放走深走实</w:t>
      </w:r>
    </w:p>
    <w:p>
      <w:pPr>
        <w:pBdr>
          <w:top w:val="none" w:color="auto" w:sz="0" w:space="1"/>
          <w:left w:val="none" w:color="auto" w:sz="0" w:space="4"/>
          <w:bottom w:val="none" w:color="auto" w:sz="0" w:space="1"/>
          <w:right w:val="none" w:color="auto" w:sz="0" w:space="4"/>
        </w:pBdr>
        <w:topLinePunct/>
        <w:adjustRightInd w:val="0"/>
        <w:snapToGrid w:val="0"/>
        <w:spacing w:line="560" w:lineRule="exact"/>
        <w:ind w:firstLine="643" w:firstLineChars="200"/>
        <w:rPr>
          <w:rFonts w:ascii="Times New Roman" w:hAnsi="Times New Roman" w:eastAsia="仿宋_GB2312"/>
          <w:sz w:val="32"/>
          <w:szCs w:val="32"/>
        </w:rPr>
      </w:pPr>
      <w:r>
        <w:rPr>
          <w:rFonts w:ascii="Times New Roman" w:hAnsi="Times New Roman" w:eastAsia="仿宋_GB2312"/>
          <w:b/>
          <w:sz w:val="32"/>
          <w:szCs w:val="32"/>
        </w:rPr>
        <w:t>3.着力拓展改革深度。</w:t>
      </w:r>
      <w:r>
        <w:rPr>
          <w:rFonts w:ascii="Times New Roman" w:hAnsi="Times New Roman" w:eastAsia="仿宋_GB2312"/>
          <w:bCs/>
          <w:sz w:val="32"/>
          <w:szCs w:val="32"/>
        </w:rPr>
        <w:t>全面落实助企纾困和激发市场活力规模性政策，按季度落实系列政策扶持资金，加大政策红利释放，</w:t>
      </w:r>
      <w:r>
        <w:rPr>
          <w:rFonts w:ascii="Times New Roman" w:hAnsi="Times New Roman" w:eastAsia="仿宋_GB2312"/>
          <w:b/>
          <w:sz w:val="32"/>
          <w:szCs w:val="32"/>
        </w:rPr>
        <w:t>保市场主体。</w:t>
      </w:r>
      <w:r>
        <w:rPr>
          <w:rFonts w:ascii="Times New Roman" w:hAnsi="Times New Roman" w:eastAsia="仿宋_GB2312"/>
          <w:sz w:val="32"/>
          <w:szCs w:val="32"/>
        </w:rPr>
        <w:t>全力保障新冠肺炎防控财税政策落实和“三保”资金需求，巩固减税降费成效</w:t>
      </w:r>
      <w:r>
        <w:rPr>
          <w:rFonts w:ascii="Times New Roman" w:hAnsi="Times New Roman" w:eastAsia="仿宋_GB2312"/>
          <w:snapToGrid w:val="0"/>
          <w:spacing w:val="4"/>
          <w:sz w:val="32"/>
          <w:szCs w:val="32"/>
        </w:rPr>
        <w:t>。深化</w:t>
      </w:r>
      <w:r>
        <w:rPr>
          <w:rStyle w:val="18"/>
          <w:rFonts w:ascii="Times New Roman" w:hAnsi="Times New Roman" w:eastAsia="仿宋_GB2312"/>
          <w:snapToGrid w:val="0"/>
          <w:sz w:val="32"/>
          <w:szCs w:val="32"/>
        </w:rPr>
        <w:t>“放管服”改革，</w:t>
      </w:r>
      <w:r>
        <w:rPr>
          <w:rFonts w:ascii="Times New Roman" w:hAnsi="Times New Roman" w:eastAsia="仿宋_GB2312"/>
          <w:sz w:val="32"/>
          <w:szCs w:val="32"/>
        </w:rPr>
        <w:t>取消行政审批事项11项，推进“互联网+监管”，认领监管事项747项，事项认领率提升至72%，全程网办事项比重力争达到68%（上海水平）。</w:t>
      </w:r>
      <w:r>
        <w:rPr>
          <w:rFonts w:ascii="Times New Roman" w:hAnsi="Times New Roman" w:eastAsia="仿宋_GB2312"/>
          <w:bCs/>
          <w:sz w:val="32"/>
          <w:szCs w:val="32"/>
        </w:rPr>
        <w:t>持续优化营商环境。</w:t>
      </w:r>
      <w:r>
        <w:rPr>
          <w:rFonts w:ascii="Times New Roman" w:hAnsi="Times New Roman" w:eastAsia="仿宋_GB2312"/>
          <w:sz w:val="32"/>
          <w:szCs w:val="32"/>
        </w:rPr>
        <w:t>充分实施“一把手”工程，打造“15分钟生活办事圈”。按照“五级十二同”标准要求，全面推行行政审批标准化，</w:t>
      </w:r>
      <w:r>
        <w:rPr>
          <w:rFonts w:ascii="Times New Roman" w:hAnsi="Times New Roman" w:eastAsia="仿宋_GB2312"/>
          <w:bCs/>
          <w:sz w:val="32"/>
          <w:szCs w:val="32"/>
        </w:rPr>
        <w:t>加快要素的自由流动和有效配置，提高供给质量和效率，降低制度成本，</w:t>
      </w:r>
      <w:r>
        <w:rPr>
          <w:rFonts w:ascii="Times New Roman" w:hAnsi="Times New Roman" w:eastAsia="仿宋_GB2312"/>
          <w:sz w:val="32"/>
          <w:szCs w:val="32"/>
        </w:rPr>
        <w:t>提高全要素生产率</w:t>
      </w:r>
      <w:r>
        <w:rPr>
          <w:rFonts w:hint="eastAsia" w:ascii="Times New Roman" w:hAnsi="Times New Roman" w:eastAsia="仿宋_GB2312"/>
          <w:sz w:val="32"/>
          <w:szCs w:val="32"/>
        </w:rPr>
        <w:t>，</w:t>
      </w:r>
      <w:r>
        <w:rPr>
          <w:rFonts w:ascii="Times New Roman" w:hAnsi="Times New Roman" w:eastAsia="仿宋_GB2312"/>
          <w:sz w:val="32"/>
          <w:szCs w:val="32"/>
        </w:rPr>
        <w:t>助推经济高质量发展。加快推进“一颗印章管审批”、行政审批技术评审。持续完善“好差评”系统工作。</w:t>
      </w:r>
      <w:r>
        <w:rPr>
          <w:rFonts w:ascii="Times New Roman" w:hAnsi="Times New Roman" w:eastAsia="仿宋_GB2312"/>
          <w:snapToGrid w:val="0"/>
          <w:color w:val="000000" w:themeColor="text1"/>
          <w:sz w:val="32"/>
          <w:szCs w:val="32"/>
          <w:lang w:val="zh-CN"/>
        </w:rPr>
        <w:t>做好滇池度假区海埂片区</w:t>
      </w:r>
      <w:r>
        <w:rPr>
          <w:rFonts w:ascii="Times New Roman" w:hAnsi="Times New Roman" w:eastAsia="仿宋_GB2312"/>
          <w:snapToGrid w:val="0"/>
          <w:color w:val="000000" w:themeColor="text1"/>
          <w:sz w:val="32"/>
          <w:szCs w:val="32"/>
        </w:rPr>
        <w:t>10个社区的社会管理工作，推进海口工业园区优化提升整合移交工作。</w:t>
      </w:r>
    </w:p>
    <w:p>
      <w:pPr>
        <w:pBdr>
          <w:top w:val="none" w:color="auto" w:sz="0" w:space="1"/>
          <w:left w:val="none" w:color="auto" w:sz="0" w:space="4"/>
          <w:bottom w:val="none" w:color="auto" w:sz="0" w:space="1"/>
          <w:right w:val="none" w:color="auto" w:sz="0" w:space="4"/>
        </w:pBdr>
        <w:topLinePunct/>
        <w:adjustRightInd w:val="0"/>
        <w:snapToGrid w:val="0"/>
        <w:spacing w:line="560" w:lineRule="exact"/>
        <w:ind w:firstLine="643" w:firstLineChars="200"/>
        <w:rPr>
          <w:rFonts w:ascii="Times New Roman" w:hAnsi="Times New Roman" w:eastAsia="仿宋_GB2312"/>
          <w:sz w:val="32"/>
          <w:szCs w:val="32"/>
        </w:rPr>
      </w:pPr>
      <w:r>
        <w:rPr>
          <w:rFonts w:ascii="Times New Roman" w:hAnsi="Times New Roman" w:eastAsia="仿宋_GB2312"/>
          <w:b/>
          <w:sz w:val="32"/>
          <w:szCs w:val="32"/>
        </w:rPr>
        <w:t>4.加快提升创新驱动力。</w:t>
      </w:r>
      <w:r>
        <w:rPr>
          <w:rFonts w:ascii="Times New Roman" w:hAnsi="Times New Roman" w:eastAsia="仿宋_GB2312"/>
          <w:sz w:val="32"/>
          <w:szCs w:val="32"/>
        </w:rPr>
        <w:t>强化包联企业机制与运行监测，做好企业服务工作。强化企业技术创新主体地位，推进企业装备智能改造，培育发展一批智能车间、智能工厂，</w:t>
      </w:r>
      <w:r>
        <w:rPr>
          <w:rFonts w:ascii="Times New Roman" w:hAnsi="Times New Roman" w:eastAsia="仿宋_GB2312"/>
          <w:snapToGrid w:val="0"/>
          <w:spacing w:val="4"/>
          <w:sz w:val="32"/>
          <w:szCs w:val="32"/>
        </w:rPr>
        <w:t>实</w:t>
      </w:r>
      <w:r>
        <w:rPr>
          <w:rFonts w:ascii="Times New Roman" w:hAnsi="Times New Roman" w:eastAsia="仿宋_GB2312"/>
          <w:sz w:val="32"/>
          <w:szCs w:val="32"/>
        </w:rPr>
        <w:t>施区级科技项目30项，培育引进高新技术企业22户以上。以西山区中小企业服务中心为纽带，集聚光谷孵化器、服务示范机构（平台）等社会资源力量，搭建西山区中小企业服务平台，优化中小企业服务供给。发掘一批成长性好、市场潜力大的中小民营企业推荐申报云南省民营小巨人、云南省成长型中小企业认定。</w:t>
      </w:r>
    </w:p>
    <w:p>
      <w:pPr>
        <w:pStyle w:val="4"/>
        <w:pBdr>
          <w:top w:val="none" w:color="auto" w:sz="0" w:space="1"/>
          <w:left w:val="none" w:color="auto" w:sz="0" w:space="4"/>
          <w:bottom w:val="none" w:color="auto" w:sz="0" w:space="1"/>
          <w:right w:val="none" w:color="auto" w:sz="0" w:space="4"/>
        </w:pBdr>
        <w:spacing w:line="560" w:lineRule="exact"/>
        <w:ind w:left="0" w:leftChars="0" w:firstLine="640" w:firstLineChars="200"/>
        <w:rPr>
          <w:rFonts w:eastAsia="仿宋_GB2312"/>
          <w:sz w:val="32"/>
          <w:szCs w:val="32"/>
          <w:shd w:val="clear" w:color="auto" w:fill="FFFFFF"/>
        </w:rPr>
      </w:pPr>
      <w:r>
        <w:rPr>
          <w:rFonts w:eastAsia="仿宋_GB2312"/>
          <w:sz w:val="32"/>
          <w:szCs w:val="32"/>
        </w:rPr>
        <w:t>5.</w:t>
      </w:r>
      <w:r>
        <w:rPr>
          <w:rFonts w:eastAsia="仿宋_GB2312"/>
          <w:b/>
          <w:sz w:val="32"/>
          <w:szCs w:val="32"/>
        </w:rPr>
        <w:t>持续扩大双向开放。</w:t>
      </w:r>
      <w:r>
        <w:rPr>
          <w:rFonts w:eastAsia="仿宋_GB2312"/>
          <w:color w:val="000000"/>
          <w:sz w:val="32"/>
          <w:szCs w:val="32"/>
        </w:rPr>
        <w:t>提高招商引资的组织化程度和专业化水平，</w:t>
      </w:r>
      <w:r>
        <w:rPr>
          <w:rFonts w:eastAsia="仿宋_GB2312"/>
          <w:bCs/>
          <w:sz w:val="32"/>
          <w:szCs w:val="32"/>
        </w:rPr>
        <w:t>实施重点签约项目领导联系推进制。</w:t>
      </w:r>
      <w:r>
        <w:rPr>
          <w:rFonts w:eastAsia="仿宋_GB2312"/>
          <w:sz w:val="32"/>
          <w:szCs w:val="32"/>
          <w:shd w:val="clear" w:color="auto" w:fill="FFFFFF"/>
        </w:rPr>
        <w:t>聚焦全区产业转型升级关键领域，实施“大招商、招大商”行动，以“4×3产业”为招商重点，依托双塔片区、草海片区、海口工业园区、滇池西岸片区、长坡物流园区、团结等片区，招引更多科技含量高、附加值高、前瞻性好、带动性强的重大项目，进一步提高“引进来”质量层次。年内，力争引进市外到位资金130亿元以上，实际利用外资6000万美元以上。</w:t>
      </w:r>
    </w:p>
    <w:p>
      <w:pPr>
        <w:pBdr>
          <w:top w:val="none" w:color="auto" w:sz="0" w:space="1"/>
          <w:left w:val="none" w:color="auto" w:sz="0" w:space="4"/>
          <w:bottom w:val="none" w:color="auto" w:sz="0" w:space="1"/>
          <w:right w:val="none" w:color="auto" w:sz="0" w:space="4"/>
        </w:pBdr>
        <w:topLinePunct/>
        <w:adjustRightInd w:val="0"/>
        <w:snapToGrid w:val="0"/>
        <w:spacing w:line="560" w:lineRule="exact"/>
        <w:ind w:firstLine="640" w:firstLineChars="200"/>
        <w:rPr>
          <w:rFonts w:ascii="Times New Roman" w:hAnsi="Times New Roman" w:eastAsia="楷体_GB2312"/>
          <w:snapToGrid w:val="0"/>
          <w:color w:val="0000FF"/>
          <w:sz w:val="32"/>
          <w:szCs w:val="32"/>
        </w:rPr>
      </w:pPr>
      <w:r>
        <w:rPr>
          <w:rFonts w:ascii="Times New Roman" w:hAnsi="Times New Roman" w:eastAsia="楷体_GB2312"/>
          <w:snapToGrid w:val="0"/>
          <w:color w:val="000000" w:themeColor="text1"/>
          <w:sz w:val="32"/>
          <w:szCs w:val="32"/>
        </w:rPr>
        <w:t>（三）统筹规划建设，提升城乡宜居水平</w:t>
      </w:r>
    </w:p>
    <w:p>
      <w:pPr>
        <w:pStyle w:val="7"/>
        <w:pBdr>
          <w:top w:val="none" w:color="auto" w:sz="0" w:space="1"/>
          <w:left w:val="none" w:color="auto" w:sz="0" w:space="4"/>
          <w:bottom w:val="none" w:color="auto" w:sz="0" w:space="1"/>
          <w:right w:val="none" w:color="auto" w:sz="0" w:space="4"/>
        </w:pBdr>
        <w:spacing w:after="0" w:line="560" w:lineRule="exact"/>
        <w:ind w:firstLine="643" w:firstLineChars="200"/>
        <w:rPr>
          <w:rFonts w:ascii="Times New Roman" w:hAnsi="Times New Roman" w:eastAsia="仿宋_GB2312"/>
          <w:snapToGrid w:val="0"/>
          <w:color w:val="000000" w:themeColor="text1"/>
          <w:sz w:val="32"/>
          <w:szCs w:val="32"/>
        </w:rPr>
      </w:pPr>
      <w:r>
        <w:rPr>
          <w:rFonts w:ascii="Times New Roman" w:hAnsi="Times New Roman" w:eastAsia="仿宋_GB2312"/>
          <w:b/>
          <w:snapToGrid w:val="0"/>
          <w:color w:val="000000" w:themeColor="text1"/>
          <w:sz w:val="32"/>
          <w:szCs w:val="32"/>
        </w:rPr>
        <w:t>6.科学编制十四五规划纲要。</w:t>
      </w:r>
      <w:r>
        <w:rPr>
          <w:rFonts w:ascii="Times New Roman" w:hAnsi="Times New Roman" w:eastAsia="仿宋_GB2312"/>
          <w:sz w:val="32"/>
          <w:szCs w:val="32"/>
        </w:rPr>
        <w:t>高质量编好《西山区国民经济和社会发展第十四个五年规划纲要》和</w:t>
      </w:r>
      <w:r>
        <w:rPr>
          <w:rFonts w:ascii="Times New Roman" w:hAnsi="Times New Roman" w:eastAsia="仿宋_GB2312"/>
          <w:kern w:val="0"/>
          <w:sz w:val="32"/>
          <w:szCs w:val="32"/>
        </w:rPr>
        <w:t>《西山区国土空间总体规划（2020-2035年）编制工作方案》，加快推进县域村庄布局规划和村庄建设规划；</w:t>
      </w:r>
      <w:r>
        <w:rPr>
          <w:rFonts w:ascii="Times New Roman" w:hAnsi="Times New Roman" w:eastAsia="仿宋_GB2312"/>
          <w:sz w:val="32"/>
          <w:szCs w:val="32"/>
        </w:rPr>
        <w:t>推进</w:t>
      </w:r>
      <w:r>
        <w:rPr>
          <w:rFonts w:ascii="Times New Roman" w:hAnsi="Times New Roman" w:eastAsia="仿宋_GB2312"/>
          <w:sz w:val="32"/>
          <w:szCs w:val="32"/>
          <w:lang w:bidi="en-US"/>
        </w:rPr>
        <w:t>第四轮矿产资源规划编制；</w:t>
      </w:r>
      <w:r>
        <w:rPr>
          <w:rFonts w:ascii="Times New Roman" w:hAnsi="Times New Roman" w:eastAsia="仿宋_GB2312"/>
          <w:snapToGrid w:val="0"/>
          <w:color w:val="000000" w:themeColor="text1"/>
          <w:sz w:val="32"/>
          <w:szCs w:val="32"/>
        </w:rPr>
        <w:t>完成3000亩城乡建设用地增减挂钩任务；积极开展春雨路沿线、草海东岸等城市重点风貌地区城市设计，推动环草海地区高品质开发。完善滇池西岸控制性详细规划覆盖，积极推进涉农街道村庄规划全覆盖。贯彻落实省市关于推进新型基础设施建设的重大决策部署，科学谋划建立“十四五”规划项目库，精准测算重大项目资金来源，提高资金与项目的匹配度和项目的落地效率。前瞻性布局创新基础设施，加快全区新型基础设施建设步伐。</w:t>
      </w:r>
    </w:p>
    <w:p>
      <w:pPr>
        <w:pStyle w:val="7"/>
        <w:pBdr>
          <w:top w:val="none" w:color="auto" w:sz="0" w:space="1"/>
          <w:left w:val="none" w:color="auto" w:sz="0" w:space="4"/>
          <w:bottom w:val="none" w:color="auto" w:sz="0" w:space="1"/>
          <w:right w:val="none" w:color="auto" w:sz="0" w:space="4"/>
        </w:pBdr>
        <w:spacing w:after="0" w:line="560" w:lineRule="exact"/>
        <w:ind w:firstLine="643" w:firstLineChars="200"/>
        <w:rPr>
          <w:rFonts w:ascii="Times New Roman" w:hAnsi="Times New Roman" w:eastAsia="仿宋_GB2312"/>
          <w:snapToGrid w:val="0"/>
          <w:color w:val="000000" w:themeColor="text1"/>
          <w:sz w:val="32"/>
          <w:szCs w:val="32"/>
        </w:rPr>
      </w:pPr>
      <w:r>
        <w:rPr>
          <w:rFonts w:ascii="Times New Roman" w:hAnsi="Times New Roman" w:eastAsia="仿宋_GB2312"/>
          <w:b/>
          <w:bCs/>
          <w:snapToGrid w:val="0"/>
          <w:color w:val="000000" w:themeColor="text1"/>
          <w:sz w:val="32"/>
          <w:szCs w:val="32"/>
        </w:rPr>
        <w:t>7.优化“四网”建设</w:t>
      </w:r>
      <w:r>
        <w:rPr>
          <w:rFonts w:ascii="Times New Roman" w:hAnsi="Times New Roman" w:eastAsia="仿宋_GB2312"/>
          <w:snapToGrid w:val="0"/>
          <w:color w:val="000000" w:themeColor="text1"/>
          <w:sz w:val="32"/>
          <w:szCs w:val="32"/>
        </w:rPr>
        <w:t>。</w:t>
      </w:r>
      <w:r>
        <w:rPr>
          <w:rFonts w:ascii="Times New Roman" w:hAnsi="Times New Roman" w:eastAsia="仿宋_GB2312"/>
          <w:b/>
          <w:bCs/>
          <w:kern w:val="0"/>
          <w:sz w:val="32"/>
          <w:szCs w:val="32"/>
        </w:rPr>
        <w:t>路网</w:t>
      </w:r>
      <w:r>
        <w:rPr>
          <w:rFonts w:ascii="Times New Roman" w:hAnsi="Times New Roman" w:eastAsia="仿宋_GB2312"/>
          <w:kern w:val="0"/>
          <w:sz w:val="32"/>
          <w:szCs w:val="32"/>
        </w:rPr>
        <w:t>方面，继续抓好昆楚扩容工程的征迁工作，配合渝昆高铁昆明段开工建设，加快推进昆明西客站“站城一体化”建设前期工作，</w:t>
      </w:r>
      <w:r>
        <w:rPr>
          <w:rFonts w:ascii="Times New Roman" w:hAnsi="Times New Roman" w:eastAsia="仿宋_GB2312"/>
          <w:color w:val="000000"/>
          <w:sz w:val="32"/>
          <w:szCs w:val="32"/>
        </w:rPr>
        <w:t>积极配合协调各级部门完成草海公交首末站建设；</w:t>
      </w:r>
      <w:r>
        <w:rPr>
          <w:rFonts w:ascii="Times New Roman" w:hAnsi="Times New Roman" w:eastAsia="仿宋_GB2312"/>
          <w:kern w:val="0"/>
          <w:sz w:val="32"/>
          <w:szCs w:val="32"/>
        </w:rPr>
        <w:t>申请农村路网提升改造项目，争创“四好农村路”示范区。</w:t>
      </w:r>
      <w:r>
        <w:rPr>
          <w:rFonts w:ascii="Times New Roman" w:hAnsi="Times New Roman" w:eastAsia="仿宋_GB2312"/>
          <w:b/>
          <w:bCs/>
          <w:kern w:val="0"/>
          <w:sz w:val="32"/>
          <w:szCs w:val="32"/>
        </w:rPr>
        <w:t>水网</w:t>
      </w:r>
      <w:r>
        <w:rPr>
          <w:rFonts w:ascii="Times New Roman" w:hAnsi="Times New Roman" w:eastAsia="仿宋_GB2312"/>
          <w:kern w:val="0"/>
          <w:sz w:val="32"/>
          <w:szCs w:val="32"/>
        </w:rPr>
        <w:t>方面，</w:t>
      </w:r>
      <w:r>
        <w:rPr>
          <w:rFonts w:ascii="Times New Roman" w:hAnsi="Times New Roman" w:eastAsia="仿宋_GB2312"/>
          <w:sz w:val="32"/>
          <w:szCs w:val="32"/>
        </w:rPr>
        <w:t>加大滇中引水工程西山段征地拆迁后工程施工协调工作；对已完工农田水利工程、农村人饮工程尽快组织竣工验收。</w:t>
      </w:r>
      <w:r>
        <w:rPr>
          <w:rFonts w:ascii="Times New Roman" w:hAnsi="Times New Roman" w:eastAsia="仿宋_GB2312"/>
          <w:b/>
          <w:bCs/>
          <w:sz w:val="32"/>
          <w:szCs w:val="32"/>
        </w:rPr>
        <w:t>能源网</w:t>
      </w:r>
      <w:r>
        <w:rPr>
          <w:rFonts w:ascii="Times New Roman" w:hAnsi="Times New Roman" w:eastAsia="仿宋_GB2312"/>
          <w:sz w:val="32"/>
          <w:szCs w:val="32"/>
        </w:rPr>
        <w:t>方面，完成农村节柴灶、太阳能热水器等能源环境建设所有项目的前期工作，</w:t>
      </w:r>
      <w:r>
        <w:rPr>
          <w:rFonts w:ascii="Times New Roman" w:hAnsi="Times New Roman" w:eastAsia="仿宋_GB2312"/>
          <w:snapToGrid w:val="0"/>
          <w:color w:val="000000" w:themeColor="text1"/>
          <w:sz w:val="32"/>
          <w:szCs w:val="32"/>
        </w:rPr>
        <w:t>持续推进燃气下乡工作。</w:t>
      </w:r>
      <w:r>
        <w:rPr>
          <w:rFonts w:ascii="Times New Roman" w:hAnsi="Times New Roman" w:eastAsia="仿宋_GB2312"/>
          <w:b/>
          <w:bCs/>
          <w:snapToGrid w:val="0"/>
          <w:color w:val="000000" w:themeColor="text1"/>
          <w:sz w:val="32"/>
          <w:szCs w:val="32"/>
        </w:rPr>
        <w:t>互联网</w:t>
      </w:r>
      <w:r>
        <w:rPr>
          <w:rFonts w:ascii="Times New Roman" w:hAnsi="Times New Roman" w:eastAsia="仿宋_GB2312"/>
          <w:snapToGrid w:val="0"/>
          <w:color w:val="000000" w:themeColor="text1"/>
          <w:sz w:val="32"/>
          <w:szCs w:val="32"/>
        </w:rPr>
        <w:t>方面，</w:t>
      </w:r>
      <w:r>
        <w:rPr>
          <w:rFonts w:ascii="Times New Roman" w:hAnsi="Times New Roman" w:eastAsia="仿宋_GB2312"/>
          <w:sz w:val="32"/>
          <w:szCs w:val="32"/>
        </w:rPr>
        <w:t>推动大数据和云计算基础设施建设升级，积极协调运营商</w:t>
      </w:r>
      <w:r>
        <w:rPr>
          <w:rFonts w:ascii="Times New Roman" w:hAnsi="Times New Roman" w:eastAsia="仿宋_GB2312"/>
          <w:snapToGrid w:val="0"/>
          <w:color w:val="000000" w:themeColor="text1"/>
          <w:sz w:val="32"/>
          <w:szCs w:val="32"/>
        </w:rPr>
        <w:t>推动实现光网全覆盖、主城范围5G网络全覆盖，加快推进西山区“智慧西山”综合系统项目及“智慧城市”建设。</w:t>
      </w:r>
    </w:p>
    <w:p>
      <w:pPr>
        <w:pBdr>
          <w:top w:val="none" w:color="auto" w:sz="0" w:space="1"/>
          <w:left w:val="none" w:color="auto" w:sz="0" w:space="4"/>
          <w:bottom w:val="none" w:color="auto" w:sz="0" w:space="1"/>
          <w:right w:val="none" w:color="auto" w:sz="0" w:space="4"/>
        </w:pBdr>
        <w:topLinePunct/>
        <w:adjustRightInd w:val="0"/>
        <w:snapToGrid w:val="0"/>
        <w:spacing w:line="560" w:lineRule="exact"/>
        <w:ind w:firstLine="643" w:firstLineChars="200"/>
        <w:rPr>
          <w:rFonts w:ascii="Times New Roman" w:hAnsi="Times New Roman" w:eastAsia="仿宋_GB2312"/>
          <w:sz w:val="32"/>
          <w:szCs w:val="32"/>
        </w:rPr>
      </w:pPr>
      <w:r>
        <w:rPr>
          <w:rFonts w:ascii="Times New Roman" w:hAnsi="Times New Roman" w:eastAsia="仿宋_GB2312"/>
          <w:b/>
          <w:bCs/>
          <w:snapToGrid w:val="0"/>
          <w:color w:val="000000" w:themeColor="text1"/>
          <w:sz w:val="32"/>
          <w:szCs w:val="32"/>
        </w:rPr>
        <w:t>8.推进宜居家园建设。</w:t>
      </w:r>
      <w:r>
        <w:rPr>
          <w:rFonts w:ascii="Times New Roman" w:hAnsi="Times New Roman" w:eastAsia="仿宋_GB2312"/>
          <w:snapToGrid w:val="0"/>
          <w:color w:val="000000" w:themeColor="text1"/>
          <w:sz w:val="32"/>
          <w:szCs w:val="32"/>
        </w:rPr>
        <w:t>加快推进城市形象精细化管理能力提升，持续完善市容环境综合整治长效机制</w:t>
      </w:r>
      <w:r>
        <w:rPr>
          <w:rFonts w:ascii="Times New Roman" w:hAnsi="Times New Roman" w:eastAsia="仿宋_GB2312"/>
          <w:sz w:val="32"/>
          <w:szCs w:val="32"/>
        </w:rPr>
        <w:t>，</w:t>
      </w:r>
      <w:r>
        <w:rPr>
          <w:rFonts w:ascii="Times New Roman" w:hAnsi="Times New Roman" w:eastAsia="仿宋_GB2312"/>
          <w:snapToGrid w:val="0"/>
          <w:color w:val="000000" w:themeColor="text1"/>
          <w:sz w:val="32"/>
          <w:szCs w:val="32"/>
        </w:rPr>
        <w:t>做好辖</w:t>
      </w:r>
      <w:r>
        <w:rPr>
          <w:rFonts w:ascii="Times New Roman" w:hAnsi="Times New Roman" w:eastAsia="仿宋_GB2312"/>
          <w:sz w:val="32"/>
          <w:szCs w:val="32"/>
        </w:rPr>
        <w:t>区内约147万平方米绿地和约1万平方米时令鲜花的日常绿化管养工作。</w:t>
      </w:r>
      <w:r>
        <w:rPr>
          <w:rFonts w:ascii="Times New Roman" w:hAnsi="Times New Roman" w:eastAsia="仿宋_GB2312"/>
          <w:snapToGrid w:val="0"/>
          <w:spacing w:val="4"/>
          <w:sz w:val="32"/>
          <w:szCs w:val="32"/>
        </w:rPr>
        <w:t>更换辖区</w:t>
      </w:r>
      <w:r>
        <w:rPr>
          <w:rFonts w:ascii="Times New Roman" w:hAnsi="Times New Roman" w:eastAsia="仿宋_GB2312"/>
          <w:sz w:val="32"/>
          <w:szCs w:val="32"/>
        </w:rPr>
        <w:t>20组立体花卉植物，修缮维护主体造型结构。</w:t>
      </w:r>
      <w:r>
        <w:rPr>
          <w:rFonts w:ascii="Times New Roman" w:hAnsi="Times New Roman" w:eastAsia="仿宋_GB2312"/>
          <w:snapToGrid w:val="0"/>
          <w:color w:val="000000" w:themeColor="text1"/>
          <w:sz w:val="32"/>
          <w:szCs w:val="32"/>
        </w:rPr>
        <w:t>全力推进城市更新改造和“三旧”连片开发，</w:t>
      </w:r>
      <w:r>
        <w:rPr>
          <w:rFonts w:ascii="Times New Roman" w:hAnsi="Times New Roman" w:eastAsia="仿宋_GB2312"/>
          <w:sz w:val="32"/>
          <w:szCs w:val="32"/>
        </w:rPr>
        <w:t>加快推进</w:t>
      </w:r>
      <w:r>
        <w:rPr>
          <w:rFonts w:ascii="Times New Roman" w:hAnsi="Times New Roman" w:eastAsia="仿宋"/>
          <w:sz w:val="32"/>
          <w:szCs w:val="32"/>
        </w:rPr>
        <w:t>55万平方米回迁安置房建设</w:t>
      </w:r>
      <w:r>
        <w:rPr>
          <w:rFonts w:ascii="Times New Roman" w:hAnsi="Times New Roman" w:eastAsia="仿宋_GB2312"/>
          <w:sz w:val="32"/>
          <w:szCs w:val="32"/>
        </w:rPr>
        <w:t>，力争实现</w:t>
      </w:r>
      <w:r>
        <w:rPr>
          <w:rFonts w:ascii="Times New Roman" w:hAnsi="Times New Roman" w:eastAsia="仿宋"/>
          <w:sz w:val="32"/>
          <w:szCs w:val="32"/>
        </w:rPr>
        <w:t>26万平方米回迁安置房分配，</w:t>
      </w:r>
      <w:r>
        <w:rPr>
          <w:rFonts w:ascii="Times New Roman" w:hAnsi="Times New Roman" w:eastAsia="仿宋_GB2312"/>
          <w:sz w:val="32"/>
          <w:szCs w:val="32"/>
        </w:rPr>
        <w:t>90.26万平方米城中村改造项目拆迁量，加快公共停车场建设；开</w:t>
      </w:r>
      <w:r>
        <w:rPr>
          <w:rFonts w:ascii="Times New Roman" w:hAnsi="Times New Roman" w:eastAsia="仿宋_GB2312"/>
          <w:snapToGrid w:val="0"/>
          <w:spacing w:val="4"/>
          <w:sz w:val="32"/>
          <w:szCs w:val="32"/>
        </w:rPr>
        <w:t>展垃圾分类试点大数据分析工作；完成</w:t>
      </w:r>
      <w:r>
        <w:rPr>
          <w:rFonts w:ascii="Times New Roman" w:hAnsi="Times New Roman" w:eastAsia="仿宋_GB2312"/>
          <w:bCs/>
          <w:sz w:val="32"/>
          <w:szCs w:val="32"/>
        </w:rPr>
        <w:t>“三清四美三宜”8个自然村美丽宜居乡村49个项目，完成农村无害化卫生户厕9179座，</w:t>
      </w:r>
      <w:r>
        <w:rPr>
          <w:rFonts w:ascii="Times New Roman" w:hAnsi="Times New Roman" w:eastAsia="仿宋_GB2312"/>
          <w:color w:val="000000"/>
          <w:sz w:val="32"/>
          <w:szCs w:val="32"/>
        </w:rPr>
        <w:t>新建2座、改建3座旅游厕所。</w:t>
      </w:r>
    </w:p>
    <w:p>
      <w:pPr>
        <w:pBdr>
          <w:top w:val="none" w:color="auto" w:sz="0" w:space="1"/>
          <w:left w:val="none" w:color="auto" w:sz="0" w:space="4"/>
          <w:bottom w:val="none" w:color="auto" w:sz="0" w:space="1"/>
          <w:right w:val="none" w:color="auto" w:sz="0" w:space="4"/>
        </w:pBdr>
        <w:spacing w:line="560" w:lineRule="exact"/>
        <w:ind w:firstLine="643" w:firstLineChars="200"/>
        <w:rPr>
          <w:rFonts w:ascii="Times New Roman" w:hAnsi="Times New Roman"/>
        </w:rPr>
      </w:pPr>
      <w:r>
        <w:rPr>
          <w:rFonts w:ascii="Times New Roman" w:hAnsi="Times New Roman" w:eastAsia="仿宋_GB2312"/>
          <w:b/>
          <w:bCs/>
          <w:snapToGrid w:val="0"/>
          <w:color w:val="000000" w:themeColor="text1"/>
          <w:sz w:val="32"/>
          <w:szCs w:val="32"/>
        </w:rPr>
        <w:t>9.加强生态环境综合治理。</w:t>
      </w:r>
      <w:r>
        <w:rPr>
          <w:rFonts w:ascii="Times New Roman" w:hAnsi="Times New Roman" w:eastAsia="仿宋_GB2312"/>
          <w:sz w:val="32"/>
          <w:szCs w:val="32"/>
        </w:rPr>
        <w:t>大力推广使用移动河长APP，继续实施西山区水系连通工程；完成河道清淤3.58万立方米；完成2.52千米河道综合整治。持续做好饮用水水源地环境保护专项行动，确保集中式饮用水水源水质达标率100%；完成水土流失综合治理1平方公里，完成滇池流域水环境综合治理面山中幼林抚育1500亩；</w:t>
      </w:r>
      <w:r>
        <w:rPr>
          <w:rFonts w:ascii="Times New Roman" w:hAnsi="Times New Roman" w:eastAsia="仿宋_GB2312"/>
          <w:snapToGrid w:val="0"/>
          <w:sz w:val="32"/>
          <w:szCs w:val="32"/>
        </w:rPr>
        <w:t>加强“五采区”生态治理修复，</w:t>
      </w:r>
      <w:r>
        <w:rPr>
          <w:rFonts w:ascii="Times New Roman" w:hAnsi="Times New Roman" w:eastAsia="仿宋_GB2312"/>
          <w:sz w:val="32"/>
          <w:szCs w:val="32"/>
        </w:rPr>
        <w:t>滇池流域及西山重点保护区域和长江经济带（西山区段）10个关停矿山生态治理修复1045.47亩，完成义务植树80万株，绿化美化村庄10个，</w:t>
      </w:r>
      <w:r>
        <w:rPr>
          <w:rFonts w:ascii="Times New Roman" w:hAnsi="Times New Roman" w:eastAsia="仿宋_GB2312"/>
          <w:kern w:val="0"/>
          <w:sz w:val="32"/>
          <w:szCs w:val="32"/>
        </w:rPr>
        <w:t>确保完成全区42.53万亩公益林生态效益补偿工作，顺利推进76.89万亩天然林资源保护工程二期森林管护任务。保持</w:t>
      </w:r>
      <w:r>
        <w:rPr>
          <w:rFonts w:ascii="Times New Roman" w:hAnsi="Times New Roman" w:eastAsia="仿宋_GB2312"/>
          <w:snapToGrid w:val="0"/>
          <w:sz w:val="32"/>
          <w:szCs w:val="32"/>
        </w:rPr>
        <w:t>森林防火连续六年“零火灾”。</w:t>
      </w:r>
    </w:p>
    <w:p>
      <w:pPr>
        <w:pBdr>
          <w:top w:val="none" w:color="auto" w:sz="0" w:space="1"/>
          <w:left w:val="none" w:color="auto" w:sz="0" w:space="4"/>
          <w:bottom w:val="none" w:color="auto" w:sz="0" w:space="1"/>
          <w:right w:val="none" w:color="auto" w:sz="0" w:space="4"/>
        </w:pBdr>
        <w:spacing w:line="560" w:lineRule="exact"/>
        <w:ind w:firstLine="640" w:firstLineChars="200"/>
        <w:rPr>
          <w:rFonts w:ascii="Times New Roman" w:hAnsi="Times New Roman" w:eastAsia="楷体_GB2312"/>
          <w:snapToGrid w:val="0"/>
          <w:color w:val="000000" w:themeColor="text1"/>
          <w:sz w:val="32"/>
          <w:szCs w:val="32"/>
        </w:rPr>
      </w:pPr>
      <w:r>
        <w:rPr>
          <w:rFonts w:ascii="Times New Roman" w:hAnsi="Times New Roman" w:eastAsia="楷体_GB2312"/>
          <w:snapToGrid w:val="0"/>
          <w:color w:val="000000" w:themeColor="text1"/>
          <w:sz w:val="32"/>
          <w:szCs w:val="32"/>
        </w:rPr>
        <w:t>（四）决战脱贫攻坚，提高风险防范水平</w:t>
      </w:r>
    </w:p>
    <w:p>
      <w:pPr>
        <w:pBdr>
          <w:top w:val="none" w:color="auto" w:sz="0" w:space="1"/>
          <w:left w:val="none" w:color="auto" w:sz="0" w:space="4"/>
          <w:bottom w:val="none" w:color="auto" w:sz="0" w:space="1"/>
          <w:right w:val="none" w:color="auto" w:sz="0" w:space="4"/>
        </w:pBdr>
        <w:spacing w:line="560" w:lineRule="exact"/>
        <w:ind w:firstLine="643" w:firstLineChars="200"/>
        <w:rPr>
          <w:rFonts w:ascii="Times New Roman" w:hAnsi="Times New Roman" w:eastAsia="仿宋_GB2312"/>
          <w:kern w:val="0"/>
          <w:sz w:val="32"/>
          <w:szCs w:val="32"/>
        </w:rPr>
      </w:pPr>
      <w:r>
        <w:rPr>
          <w:rFonts w:ascii="Times New Roman" w:hAnsi="Times New Roman" w:eastAsia="仿宋_GB2312"/>
          <w:b/>
          <w:kern w:val="0"/>
          <w:sz w:val="32"/>
          <w:szCs w:val="32"/>
        </w:rPr>
        <w:t>10.全面打赢脱贫攻坚战。</w:t>
      </w:r>
      <w:r>
        <w:rPr>
          <w:rFonts w:ascii="Times New Roman" w:hAnsi="Times New Roman" w:eastAsia="仿宋_GB2312"/>
          <w:kern w:val="0"/>
          <w:sz w:val="32"/>
          <w:szCs w:val="32"/>
        </w:rPr>
        <w:t>继续巩固区内脱贫成果，对已脱贫户和已达脱困标准困难户进行全面监测和动态管理，预防返贫和新发贫困；</w:t>
      </w:r>
      <w:r>
        <w:rPr>
          <w:rFonts w:ascii="Times New Roman" w:hAnsi="Times New Roman" w:eastAsia="仿宋_GB2312"/>
          <w:sz w:val="32"/>
          <w:szCs w:val="32"/>
        </w:rPr>
        <w:t>继续做好区外对口帮扶工作，全年计划总投入500万元帮扶三区县。为贫困地区用工岗位及寻甸劳动力转移提供岗位数14382个，</w:t>
      </w:r>
      <w:r>
        <w:rPr>
          <w:rFonts w:ascii="Times New Roman" w:hAnsi="Times New Roman" w:eastAsia="仿宋_GB2312"/>
          <w:kern w:val="0"/>
          <w:sz w:val="32"/>
          <w:szCs w:val="32"/>
        </w:rPr>
        <w:t>加大精准帮扶与乡村振兴统筹衔接力度，全力以赴助力</w:t>
      </w:r>
      <w:r>
        <w:rPr>
          <w:rFonts w:ascii="Times New Roman" w:hAnsi="Times New Roman" w:eastAsia="仿宋_GB2312"/>
          <w:sz w:val="32"/>
          <w:szCs w:val="32"/>
        </w:rPr>
        <w:t>巩固脱贫攻坚成果。</w:t>
      </w:r>
    </w:p>
    <w:p>
      <w:pPr>
        <w:pBdr>
          <w:top w:val="none" w:color="auto" w:sz="0" w:space="1"/>
          <w:left w:val="none" w:color="auto" w:sz="0" w:space="4"/>
          <w:bottom w:val="none" w:color="auto" w:sz="0" w:space="1"/>
          <w:right w:val="none" w:color="auto" w:sz="0" w:space="4"/>
        </w:pBdr>
        <w:topLinePunct/>
        <w:adjustRightInd w:val="0"/>
        <w:snapToGrid w:val="0"/>
        <w:spacing w:line="560" w:lineRule="exact"/>
        <w:ind w:firstLine="643" w:firstLineChars="200"/>
        <w:rPr>
          <w:rFonts w:ascii="Times New Roman" w:hAnsi="Times New Roman" w:eastAsia="仿宋_GB2312"/>
          <w:sz w:val="32"/>
          <w:szCs w:val="32"/>
        </w:rPr>
      </w:pPr>
      <w:r>
        <w:rPr>
          <w:rFonts w:ascii="Times New Roman" w:hAnsi="Times New Roman" w:eastAsia="仿宋_GB2312"/>
          <w:b/>
          <w:bCs/>
          <w:snapToGrid w:val="0"/>
          <w:color w:val="000000" w:themeColor="text1"/>
          <w:sz w:val="32"/>
          <w:szCs w:val="32"/>
        </w:rPr>
        <w:t>11.全力打好污染防治攻坚战。</w:t>
      </w:r>
      <w:r>
        <w:rPr>
          <w:rFonts w:ascii="Times New Roman" w:hAnsi="Times New Roman" w:eastAsia="仿宋_GB2312"/>
          <w:sz w:val="32"/>
          <w:szCs w:val="32"/>
        </w:rPr>
        <w:t>强化工业企业大气污染排放监管监测，做好大气监测站点网格化建设维护工作，确保空气优良率达到98%以上。全力打好碧水保卫战。深化螳螂川-普渡河流域水污染防治，开展长江入河排污口排查整治专项行动，推进螳螂川-富民大桥断面的治理，加大对相关企业“一企一策”整改落实，全力完成市级下达</w:t>
      </w:r>
      <w:r>
        <w:rPr>
          <w:rFonts w:ascii="Times New Roman" w:hAnsi="Times New Roman" w:eastAsia="仿宋_GB2312"/>
          <w:snapToGrid w:val="0"/>
          <w:color w:val="000000" w:themeColor="text1"/>
          <w:sz w:val="32"/>
          <w:szCs w:val="32"/>
        </w:rPr>
        <w:t>主要污染物减排任务目标</w:t>
      </w:r>
      <w:r>
        <w:rPr>
          <w:rFonts w:ascii="Times New Roman" w:hAnsi="Times New Roman" w:eastAsia="仿宋_GB2312"/>
          <w:sz w:val="32"/>
          <w:szCs w:val="32"/>
        </w:rPr>
        <w:t>；完成滇中引水工程西山境内所有征地拆迁工作任务；推进不达标水体和黑臭水体专项整治，确保11条出入滇河道及主要支流全面消除劣Ⅴ类水体，做好土壤污染防治、重金属污染防治、危险废物管理、放射源管理、固体废物管理和生态红线保护工作；</w:t>
      </w:r>
      <w:r>
        <w:rPr>
          <w:rFonts w:ascii="Times New Roman" w:hAnsi="Times New Roman" w:eastAsia="仿宋_GB2312"/>
          <w:snapToGrid w:val="0"/>
          <w:color w:val="000000" w:themeColor="text1"/>
          <w:sz w:val="32"/>
          <w:szCs w:val="32"/>
        </w:rPr>
        <w:t>年内</w:t>
      </w:r>
      <w:r>
        <w:rPr>
          <w:rFonts w:ascii="Times New Roman" w:hAnsi="Times New Roman" w:eastAsia="仿宋_GB2312"/>
          <w:sz w:val="32"/>
          <w:szCs w:val="32"/>
        </w:rPr>
        <w:t>保持化肥农药使用量负增长；加快补齐医疗废物、危险废物收集处理设施方面的短板。</w:t>
      </w:r>
    </w:p>
    <w:p>
      <w:pPr>
        <w:pBdr>
          <w:top w:val="none" w:color="auto" w:sz="0" w:space="1"/>
          <w:left w:val="none" w:color="auto" w:sz="0" w:space="4"/>
          <w:bottom w:val="none" w:color="auto" w:sz="0" w:space="1"/>
          <w:right w:val="none" w:color="auto" w:sz="0" w:space="4"/>
        </w:pBdr>
        <w:topLinePunct/>
        <w:adjustRightInd w:val="0"/>
        <w:snapToGrid w:val="0"/>
        <w:spacing w:line="560" w:lineRule="exact"/>
        <w:ind w:firstLine="643" w:firstLineChars="200"/>
        <w:textAlignment w:val="center"/>
        <w:rPr>
          <w:rFonts w:ascii="Times New Roman" w:hAnsi="Times New Roman" w:eastAsia="仿宋_GB2312"/>
          <w:snapToGrid w:val="0"/>
          <w:color w:val="000000" w:themeColor="text1"/>
          <w:sz w:val="32"/>
          <w:szCs w:val="32"/>
        </w:rPr>
      </w:pPr>
      <w:r>
        <w:rPr>
          <w:rFonts w:ascii="Times New Roman" w:hAnsi="Times New Roman" w:eastAsia="仿宋_GB2312"/>
          <w:b/>
          <w:bCs/>
          <w:snapToGrid w:val="0"/>
          <w:color w:val="000000" w:themeColor="text1"/>
          <w:sz w:val="32"/>
          <w:szCs w:val="32"/>
        </w:rPr>
        <w:t>12.全面防范化解重大风险。</w:t>
      </w:r>
      <w:r>
        <w:rPr>
          <w:rFonts w:ascii="Times New Roman" w:hAnsi="Times New Roman" w:eastAsia="仿宋_GB2312"/>
          <w:sz w:val="32"/>
          <w:szCs w:val="32"/>
        </w:rPr>
        <w:t>继续申请再融资债券化解本年</w:t>
      </w:r>
      <w:r>
        <w:rPr>
          <w:rFonts w:ascii="Times New Roman" w:hAnsi="Times New Roman" w:eastAsia="仿宋_GB2312"/>
          <w:snapToGrid w:val="0"/>
          <w:color w:val="000000" w:themeColor="text1"/>
          <w:sz w:val="32"/>
          <w:szCs w:val="32"/>
        </w:rPr>
        <w:t>到期政府债务风险。加强国有资产监督管理，深化国有企业改革，防范化解区属国有公司债务风险。加强在教育优先、脱贫攻坚、生态建设等民生领域资金保障，</w:t>
      </w:r>
      <w:r>
        <w:rPr>
          <w:rFonts w:ascii="Times New Roman" w:hAnsi="Times New Roman" w:eastAsia="仿宋_GB2312"/>
          <w:sz w:val="32"/>
          <w:szCs w:val="32"/>
        </w:rPr>
        <w:t>全力保障新冠肺炎疫情防控财税政策落实。依法</w:t>
      </w:r>
      <w:r>
        <w:rPr>
          <w:rFonts w:ascii="Times New Roman" w:hAnsi="Times New Roman" w:eastAsia="仿宋_GB2312"/>
          <w:snapToGrid w:val="0"/>
          <w:color w:val="000000" w:themeColor="text1"/>
          <w:sz w:val="32"/>
          <w:szCs w:val="32"/>
        </w:rPr>
        <w:t>组织财政收支，</w:t>
      </w:r>
      <w:r>
        <w:rPr>
          <w:rFonts w:ascii="Times New Roman" w:hAnsi="Times New Roman" w:eastAsia="仿宋_GB2312"/>
          <w:kern w:val="0"/>
          <w:sz w:val="32"/>
          <w:szCs w:val="32"/>
        </w:rPr>
        <w:t>强化税收管控</w:t>
      </w:r>
      <w:r>
        <w:rPr>
          <w:rFonts w:ascii="Times New Roman" w:hAnsi="Times New Roman" w:eastAsia="仿宋_GB2312"/>
          <w:sz w:val="32"/>
          <w:szCs w:val="32"/>
        </w:rPr>
        <w:t>；强化预算执行动态监控，压缩一般性支出和三公经费支出，兜住“三保”底线，确保年度预算平衡。扎实开展劳资、环保、征地拆迁等领域的矛盾纠纷专项化解工作，严格落实安全生产、交通运输、消防安全责任，有效防范和坚决遏制重特大安全事故。</w:t>
      </w:r>
    </w:p>
    <w:p>
      <w:pPr>
        <w:pBdr>
          <w:top w:val="none" w:color="auto" w:sz="0" w:space="1"/>
          <w:left w:val="none" w:color="auto" w:sz="0" w:space="4"/>
          <w:bottom w:val="none" w:color="auto" w:sz="0" w:space="1"/>
          <w:right w:val="none" w:color="auto" w:sz="0" w:space="4"/>
        </w:pBdr>
        <w:spacing w:line="560" w:lineRule="exact"/>
        <w:ind w:firstLine="640" w:firstLineChars="200"/>
        <w:rPr>
          <w:rFonts w:ascii="Times New Roman" w:hAnsi="Times New Roman" w:eastAsia="仿宋_GB2312"/>
          <w:snapToGrid w:val="0"/>
          <w:color w:val="000000" w:themeColor="text1"/>
          <w:sz w:val="32"/>
          <w:szCs w:val="32"/>
        </w:rPr>
      </w:pPr>
      <w:r>
        <w:rPr>
          <w:rFonts w:ascii="Times New Roman" w:hAnsi="Times New Roman" w:eastAsia="楷体_GB2312"/>
          <w:snapToGrid w:val="0"/>
          <w:color w:val="000000" w:themeColor="text1"/>
          <w:sz w:val="32"/>
          <w:szCs w:val="32"/>
        </w:rPr>
        <w:t>（五）提优民生供给，全面共享社会发展成果</w:t>
      </w:r>
    </w:p>
    <w:p>
      <w:pPr>
        <w:pBdr>
          <w:top w:val="none" w:color="auto" w:sz="0" w:space="1"/>
          <w:left w:val="none" w:color="auto" w:sz="0" w:space="4"/>
          <w:bottom w:val="none" w:color="auto" w:sz="0" w:space="1"/>
          <w:right w:val="none" w:color="auto" w:sz="0" w:space="4"/>
        </w:pBdr>
        <w:spacing w:line="560" w:lineRule="exact"/>
        <w:ind w:firstLine="643" w:firstLineChars="200"/>
        <w:rPr>
          <w:rFonts w:ascii="Times New Roman" w:hAnsi="Times New Roman" w:eastAsia="仿宋_GB2312"/>
          <w:snapToGrid w:val="0"/>
          <w:sz w:val="32"/>
          <w:szCs w:val="32"/>
        </w:rPr>
      </w:pPr>
      <w:r>
        <w:rPr>
          <w:rFonts w:ascii="Times New Roman" w:hAnsi="Times New Roman" w:eastAsia="仿宋_GB2312"/>
          <w:b/>
          <w:bCs/>
          <w:snapToGrid w:val="0"/>
          <w:color w:val="000000" w:themeColor="text1"/>
          <w:sz w:val="32"/>
          <w:szCs w:val="32"/>
        </w:rPr>
        <w:t>13.</w:t>
      </w:r>
      <w:r>
        <w:rPr>
          <w:rFonts w:ascii="Times New Roman" w:hAnsi="Times New Roman" w:eastAsia="仿宋_GB2312"/>
          <w:b/>
          <w:bCs/>
          <w:sz w:val="32"/>
        </w:rPr>
        <w:t>保居民就业</w:t>
      </w:r>
      <w:r>
        <w:rPr>
          <w:rFonts w:ascii="Times New Roman" w:hAnsi="Times New Roman" w:eastAsia="仿宋_GB2312"/>
          <w:b/>
          <w:bCs/>
          <w:snapToGrid w:val="0"/>
          <w:color w:val="000000" w:themeColor="text1"/>
          <w:sz w:val="32"/>
          <w:szCs w:val="32"/>
        </w:rPr>
        <w:t>与基本民生。</w:t>
      </w:r>
      <w:r>
        <w:rPr>
          <w:rFonts w:ascii="Times New Roman" w:hAnsi="Times New Roman" w:eastAsia="仿宋_GB2312"/>
          <w:sz w:val="32"/>
        </w:rPr>
        <w:t>加大就业援助力度，零就业家庭实现动态清零，加大失业保险稳岗返还和就业补贴发放力度，完成高素质农民培育100人，全力打好援企稳岗扩大就业组合拳；深入推进劳动仲裁院标准化建设，健全治理欠薪问题长效机制；实施全民参保精准扩面，完善“智慧社保”服务体系，基本医保参保率在96%以上；</w:t>
      </w:r>
      <w:r>
        <w:rPr>
          <w:rFonts w:ascii="Times New Roman" w:hAnsi="Times New Roman" w:eastAsia="仿宋_GB2312"/>
          <w:snapToGrid w:val="0"/>
          <w:color w:val="000000" w:themeColor="text1"/>
          <w:sz w:val="32"/>
          <w:szCs w:val="32"/>
        </w:rPr>
        <w:t>推行以按病种付费为主的多元复合式医保支付方式。力争实现145万平方米安置房分配；</w:t>
      </w:r>
      <w:r>
        <w:rPr>
          <w:rFonts w:ascii="Times New Roman" w:hAnsi="Times New Roman" w:eastAsia="仿宋_GB2312"/>
          <w:sz w:val="32"/>
          <w:szCs w:val="32"/>
        </w:rPr>
        <w:t>加快推进1个城乡居家养老服务中心、服务站提升改造，抓好2个</w:t>
      </w:r>
      <w:r>
        <w:rPr>
          <w:rFonts w:ascii="Times New Roman" w:hAnsi="Times New Roman" w:eastAsia="仿宋_GB2312"/>
          <w:sz w:val="32"/>
        </w:rPr>
        <w:t>社区居家养老服务中心改扩建项目；</w:t>
      </w:r>
      <w:r>
        <w:rPr>
          <w:rFonts w:ascii="Times New Roman" w:hAnsi="Times New Roman" w:eastAsia="仿宋_GB2312"/>
          <w:sz w:val="32"/>
          <w:szCs w:val="32"/>
        </w:rPr>
        <w:t>进一步提高社会救助与社会福利事业精准度，完成综合福利院的运营，</w:t>
      </w:r>
      <w:r>
        <w:rPr>
          <w:rFonts w:ascii="Times New Roman" w:hAnsi="Times New Roman" w:eastAsia="仿宋_GB2312"/>
          <w:snapToGrid w:val="0"/>
          <w:sz w:val="32"/>
          <w:szCs w:val="32"/>
        </w:rPr>
        <w:t>积极保障残疾人、流动人口、农村留守儿童和困境儿童合法权益。</w:t>
      </w:r>
    </w:p>
    <w:p>
      <w:pPr>
        <w:pBdr>
          <w:top w:val="none" w:color="auto" w:sz="0" w:space="1"/>
          <w:left w:val="none" w:color="auto" w:sz="0" w:space="4"/>
          <w:bottom w:val="none" w:color="auto" w:sz="0" w:space="1"/>
          <w:right w:val="none" w:color="auto" w:sz="0" w:space="4"/>
        </w:pBdr>
        <w:spacing w:line="560" w:lineRule="exact"/>
        <w:ind w:firstLine="643" w:firstLineChars="200"/>
        <w:rPr>
          <w:rFonts w:ascii="Times New Roman" w:hAnsi="Times New Roman" w:eastAsia="仿宋_GB2312"/>
          <w:bCs/>
          <w:sz w:val="32"/>
          <w:szCs w:val="32"/>
        </w:rPr>
      </w:pPr>
      <w:r>
        <w:rPr>
          <w:rFonts w:ascii="Times New Roman" w:hAnsi="Times New Roman" w:eastAsia="仿宋_GB2312"/>
          <w:b/>
          <w:bCs/>
          <w:snapToGrid w:val="0"/>
          <w:color w:val="000000" w:themeColor="text1"/>
          <w:sz w:val="32"/>
          <w:szCs w:val="32"/>
        </w:rPr>
        <w:t>14.推动社会事业高效发展。</w:t>
      </w:r>
      <w:r>
        <w:rPr>
          <w:rFonts w:ascii="Times New Roman" w:hAnsi="Times New Roman" w:eastAsia="仿宋_GB2312"/>
          <w:sz w:val="32"/>
          <w:szCs w:val="32"/>
        </w:rPr>
        <w:t>全力提升公民科学素质，落实省、市国民营养计划</w:t>
      </w:r>
      <w:r>
        <w:rPr>
          <w:rFonts w:ascii="Times New Roman" w:hAnsi="Times New Roman" w:eastAsia="仿宋_GB2312"/>
          <w:snapToGrid w:val="0"/>
          <w:color w:val="000000" w:themeColor="text1"/>
          <w:sz w:val="32"/>
          <w:szCs w:val="32"/>
        </w:rPr>
        <w:t>。</w:t>
      </w:r>
      <w:r>
        <w:rPr>
          <w:rFonts w:ascii="Times New Roman" w:hAnsi="Times New Roman" w:eastAsia="仿宋_GB2312"/>
          <w:b/>
          <w:bCs/>
          <w:snapToGrid w:val="0"/>
          <w:color w:val="000000" w:themeColor="text1"/>
          <w:sz w:val="32"/>
          <w:szCs w:val="32"/>
        </w:rPr>
        <w:t>提升教育教学质量，</w:t>
      </w:r>
      <w:r>
        <w:rPr>
          <w:rFonts w:ascii="Times New Roman" w:hAnsi="Times New Roman" w:eastAsia="仿宋_GB2312"/>
          <w:bCs/>
          <w:snapToGrid w:val="0"/>
          <w:spacing w:val="4"/>
          <w:sz w:val="32"/>
          <w:szCs w:val="32"/>
        </w:rPr>
        <w:t>继续深入实施“三名”工程，</w:t>
      </w:r>
      <w:r>
        <w:rPr>
          <w:rFonts w:ascii="Times New Roman" w:hAnsi="Times New Roman" w:eastAsia="仿宋_GB2312"/>
          <w:bCs/>
          <w:sz w:val="32"/>
          <w:szCs w:val="32"/>
        </w:rPr>
        <w:t>力争外引1-2所优质中小学落地西山，引进或培育名师4名、名长1名，确保名师工作室保持在20个以上；确保昆一中西山学校晋升省一级一等完中，年内创建现代教育示范学校、幼儿园各1所，加快推进西山一中等3所学校创建省一级三等完中、云南衡水实验中学西山学校及度假区金岸中学申报省一级三等高完中。深化产教融合，促进民办教育、职业教育健康发展。支持云南昆明工业学校新增专业建设；稳步推进“区管校聘”试点工作，年内完成区级培训5000人次以上；稳步推进14所学校“1+N”互动课堂试点工作；进一步扩大我区青少年课外活动暨“三点半”课堂试点项目推广面；开展好中小学生篮球、足球等竞技体育赛事和西山区第三届职工运动会等群众体育赛事，国家体质健康上报率不低于98%</w:t>
      </w:r>
      <w:r>
        <w:rPr>
          <w:rFonts w:ascii="Times New Roman" w:hAnsi="Times New Roman" w:eastAsia="仿宋_GB2312"/>
          <w:bCs/>
          <w:sz w:val="32"/>
        </w:rPr>
        <w:t>。</w:t>
      </w:r>
      <w:r>
        <w:rPr>
          <w:rFonts w:ascii="Times New Roman" w:hAnsi="Times New Roman" w:eastAsia="仿宋_GB2312"/>
          <w:b/>
          <w:snapToGrid w:val="0"/>
          <w:color w:val="000000" w:themeColor="text1"/>
          <w:sz w:val="32"/>
          <w:szCs w:val="32"/>
        </w:rPr>
        <w:t>提升卫生健康发展水平。</w:t>
      </w:r>
      <w:r>
        <w:rPr>
          <w:rFonts w:ascii="Times New Roman" w:hAnsi="Times New Roman" w:eastAsia="仿宋_GB2312"/>
          <w:bCs/>
          <w:sz w:val="32"/>
          <w:szCs w:val="32"/>
        </w:rPr>
        <w:t>加快补齐公共卫生服务短板，</w:t>
      </w:r>
      <w:r>
        <w:rPr>
          <w:rFonts w:ascii="Times New Roman" w:hAnsi="Times New Roman" w:eastAsia="仿宋_GB2312"/>
          <w:bCs/>
          <w:sz w:val="32"/>
          <w:lang w:val="zh-CN"/>
        </w:rPr>
        <w:t>加强疫情监测，</w:t>
      </w:r>
      <w:r>
        <w:rPr>
          <w:rFonts w:ascii="Times New Roman" w:hAnsi="Times New Roman" w:eastAsia="仿宋_GB2312"/>
          <w:bCs/>
          <w:sz w:val="32"/>
          <w:szCs w:val="32"/>
        </w:rPr>
        <w:t>提升公共卫生应急防控能力，</w:t>
      </w:r>
      <w:r>
        <w:rPr>
          <w:rFonts w:ascii="Times New Roman" w:hAnsi="Times New Roman" w:eastAsia="仿宋_GB2312"/>
          <w:bCs/>
          <w:sz w:val="32"/>
          <w:lang w:val="zh-CN"/>
        </w:rPr>
        <w:t>巩固国家慢性病综合防控示范区工作</w:t>
      </w:r>
      <w:r>
        <w:rPr>
          <w:rFonts w:ascii="Times New Roman" w:hAnsi="Times New Roman" w:eastAsia="仿宋_GB2312"/>
          <w:bCs/>
          <w:sz w:val="32"/>
          <w:szCs w:val="32"/>
        </w:rPr>
        <w:t>；</w:t>
      </w:r>
      <w:r>
        <w:rPr>
          <w:rFonts w:ascii="Times New Roman" w:hAnsi="Times New Roman" w:eastAsia="仿宋_GB2312"/>
          <w:bCs/>
          <w:sz w:val="32"/>
        </w:rPr>
        <w:t>争取年内每千人拥有卫技人员、病床数增长；打造基层卫生能力服务工程，增添社区卫生服务中心医疗检查设备；督促区人民医院积极做好等级医院周期评审准备及“五大中心”建设，推动辖区基层医疗机构创等达标；</w:t>
      </w:r>
      <w:r>
        <w:rPr>
          <w:rFonts w:ascii="Times New Roman" w:hAnsi="Times New Roman" w:eastAsia="仿宋_GB2312"/>
          <w:bCs/>
          <w:sz w:val="32"/>
          <w:lang w:val="zh-CN"/>
        </w:rPr>
        <w:t>积极筹备区人民医院三级医院、白沙地社区医院建设项目；鼓励社会力量兴办医养结合机构，打造“区域医疗康养核心区”；进一步完善互联网+医疗建设，抓好区级全民健康信息平台建设和街道社区卫生服务中心HIS系统的上线工作；抓好草海中医馆建设工作</w:t>
      </w:r>
      <w:r>
        <w:rPr>
          <w:rFonts w:ascii="Times New Roman" w:hAnsi="Times New Roman" w:eastAsia="仿宋_GB2312"/>
          <w:b/>
          <w:sz w:val="32"/>
          <w:lang w:val="zh-CN"/>
        </w:rPr>
        <w:t>。</w:t>
      </w:r>
      <w:r>
        <w:rPr>
          <w:rFonts w:ascii="Times New Roman" w:hAnsi="Times New Roman" w:eastAsia="仿宋_GB2312"/>
          <w:b/>
          <w:snapToGrid w:val="0"/>
          <w:color w:val="000000" w:themeColor="text1"/>
          <w:sz w:val="32"/>
          <w:szCs w:val="32"/>
        </w:rPr>
        <w:t>促进文化事业繁荣发展。</w:t>
      </w:r>
      <w:r>
        <w:rPr>
          <w:rFonts w:ascii="Times New Roman" w:hAnsi="Times New Roman" w:eastAsia="仿宋_GB2312"/>
          <w:bCs/>
          <w:color w:val="000000"/>
          <w:sz w:val="32"/>
          <w:szCs w:val="32"/>
        </w:rPr>
        <w:t>推进第四批国家公共文化服务体系示范区创建工作</w:t>
      </w:r>
      <w:r>
        <w:rPr>
          <w:rFonts w:ascii="Times New Roman" w:hAnsi="Times New Roman" w:eastAsia="仿宋_GB2312"/>
          <w:bCs/>
          <w:color w:val="000000"/>
          <w:sz w:val="32"/>
          <w:szCs w:val="32"/>
          <w:shd w:val="clear" w:color="auto" w:fill="FFFFFF"/>
        </w:rPr>
        <w:t>，推进我区</w:t>
      </w:r>
      <w:r>
        <w:rPr>
          <w:rFonts w:ascii="Times New Roman" w:hAnsi="Times New Roman" w:eastAsia="仿宋_GB2312"/>
          <w:bCs/>
          <w:color w:val="000000"/>
          <w:sz w:val="32"/>
          <w:szCs w:val="32"/>
        </w:rPr>
        <w:t>公共文化服务设施达标</w:t>
      </w:r>
      <w:r>
        <w:rPr>
          <w:rFonts w:ascii="Times New Roman" w:hAnsi="Times New Roman" w:eastAsia="仿宋_GB2312"/>
          <w:bCs/>
          <w:color w:val="000000"/>
          <w:sz w:val="32"/>
          <w:szCs w:val="32"/>
          <w:shd w:val="clear" w:color="auto" w:fill="FFFFFF"/>
        </w:rPr>
        <w:t>升级，加快推进剩余82个社区综合性文化服务中心达标建设，力争年内实现全区基层公共文化服务设施全覆盖、全达标；</w:t>
      </w:r>
      <w:r>
        <w:rPr>
          <w:rFonts w:ascii="Times New Roman" w:hAnsi="Times New Roman" w:eastAsia="仿宋_GB2312"/>
          <w:bCs/>
          <w:color w:val="000000"/>
          <w:sz w:val="32"/>
          <w:szCs w:val="32"/>
        </w:rPr>
        <w:t>完成区级文物保护单位“戴雄墓”、不可移动文物“马街中村魁星阁”修缮和滇池博物馆陈列布展、免费开放工作。</w:t>
      </w:r>
    </w:p>
    <w:p>
      <w:pPr>
        <w:pBdr>
          <w:top w:val="none" w:color="auto" w:sz="0" w:space="1"/>
          <w:left w:val="none" w:color="auto" w:sz="0" w:space="4"/>
          <w:bottom w:val="none" w:color="auto" w:sz="0" w:space="1"/>
          <w:right w:val="none" w:color="auto" w:sz="0" w:space="4"/>
        </w:pBdr>
        <w:spacing w:line="560" w:lineRule="exact"/>
        <w:ind w:firstLine="643" w:firstLineChars="200"/>
        <w:rPr>
          <w:rFonts w:ascii="Times New Roman" w:hAnsi="Times New Roman" w:eastAsia="仿宋_GB2312"/>
          <w:bCs/>
          <w:color w:val="000000"/>
          <w:kern w:val="0"/>
          <w:sz w:val="32"/>
          <w:szCs w:val="32"/>
        </w:rPr>
      </w:pPr>
      <w:r>
        <w:rPr>
          <w:rFonts w:ascii="Times New Roman" w:hAnsi="Times New Roman" w:eastAsia="仿宋_GB2312"/>
          <w:b/>
          <w:bCs/>
          <w:snapToGrid w:val="0"/>
          <w:color w:val="000000" w:themeColor="text1"/>
          <w:sz w:val="32"/>
          <w:szCs w:val="32"/>
        </w:rPr>
        <w:t>15.提升社会治理水平，保基层运转。</w:t>
      </w:r>
      <w:r>
        <w:rPr>
          <w:rFonts w:ascii="Times New Roman" w:hAnsi="Times New Roman" w:eastAsia="仿宋_GB2312"/>
          <w:snapToGrid w:val="0"/>
          <w:color w:val="000000" w:themeColor="text1"/>
          <w:sz w:val="32"/>
          <w:szCs w:val="32"/>
        </w:rPr>
        <w:t>坚持和发展新时代“枫桥经验”，</w:t>
      </w:r>
      <w:r>
        <w:rPr>
          <w:rFonts w:ascii="Times New Roman" w:hAnsi="Times New Roman" w:eastAsia="仿宋_GB2312"/>
          <w:snapToGrid w:val="0"/>
          <w:color w:val="000000" w:themeColor="text1"/>
          <w:sz w:val="32"/>
          <w:szCs w:val="32"/>
          <w:lang w:val="zh-CN"/>
        </w:rPr>
        <w:t>增强人民获得感幸福感安全感。</w:t>
      </w:r>
      <w:r>
        <w:rPr>
          <w:rFonts w:ascii="Times New Roman" w:hAnsi="Times New Roman" w:eastAsia="仿宋_GB2312"/>
          <w:sz w:val="32"/>
          <w:szCs w:val="32"/>
        </w:rPr>
        <w:t>大力推进</w:t>
      </w:r>
      <w:r>
        <w:rPr>
          <w:rFonts w:ascii="Times New Roman" w:hAnsi="Times New Roman" w:eastAsia="仿宋_GB2312"/>
          <w:snapToGrid w:val="0"/>
          <w:kern w:val="32"/>
          <w:sz w:val="32"/>
          <w:szCs w:val="32"/>
        </w:rPr>
        <w:t>“政府购买服务”和推广“三社联动”社区治理项目</w:t>
      </w:r>
      <w:r>
        <w:rPr>
          <w:rFonts w:ascii="Times New Roman" w:hAnsi="Times New Roman" w:eastAsia="仿宋_GB2312"/>
          <w:color w:val="000000"/>
          <w:sz w:val="32"/>
          <w:szCs w:val="32"/>
        </w:rPr>
        <w:t>；</w:t>
      </w:r>
      <w:r>
        <w:rPr>
          <w:rFonts w:ascii="Times New Roman" w:hAnsi="Times New Roman" w:eastAsia="仿宋_GB2312"/>
          <w:sz w:val="32"/>
          <w:szCs w:val="32"/>
        </w:rPr>
        <w:t>巩固“五员进网”工作，形成规范化四级网格体系，深入推进“1+9+X”岗位设置模式；深入推进智慧消防建设工作，大力推动“打通生命通道”专项治理；</w:t>
      </w:r>
      <w:r>
        <w:rPr>
          <w:rFonts w:ascii="Times New Roman" w:hAnsi="Times New Roman" w:eastAsia="仿宋_GB2312"/>
          <w:color w:val="000000" w:themeColor="text1"/>
          <w:sz w:val="32"/>
          <w:szCs w:val="32"/>
        </w:rPr>
        <w:t>加大公共法律服务平台建设标准化力度，提升法治宣传教育水平</w:t>
      </w:r>
      <w:r>
        <w:rPr>
          <w:rFonts w:ascii="Times New Roman" w:hAnsi="Times New Roman" w:eastAsia="仿宋_GB2312"/>
          <w:sz w:val="32"/>
          <w:szCs w:val="32"/>
        </w:rPr>
        <w:t>。持续推进“五零”创建工作，大力实施“雪亮工程”二期等智慧赋能警务工程，推动扫黑除恶专项斗争圆满收官，强化打防管控各项社会治安综合治理，不断筑牢区域性国际中心城市中枢门户区平安防线。及时排查食品药品安全、产品质量、特种设备等领域风险加强应急</w:t>
      </w:r>
      <w:r>
        <w:rPr>
          <w:rFonts w:ascii="Times New Roman" w:hAnsi="Times New Roman" w:eastAsia="仿宋_GB2312"/>
          <w:color w:val="000000"/>
          <w:sz w:val="32"/>
          <w:szCs w:val="32"/>
        </w:rPr>
        <w:t>体系建设，提高突发性事件的应急处置能力，</w:t>
      </w:r>
      <w:r>
        <w:rPr>
          <w:rFonts w:ascii="Times New Roman" w:hAnsi="Times New Roman" w:eastAsia="仿宋_GB2312"/>
          <w:bCs/>
          <w:color w:val="000000"/>
          <w:kern w:val="0"/>
          <w:sz w:val="32"/>
          <w:szCs w:val="32"/>
        </w:rPr>
        <w:t>严防各类安全事故。</w:t>
      </w:r>
    </w:p>
    <w:p>
      <w:bookmarkStart w:id="0" w:name="_GoBack"/>
      <w:bookmarkEnd w:id="0"/>
    </w:p>
    <w:p>
      <w:pPr>
        <w:pStyle w:val="2"/>
        <w:ind w:left="1598" w:leftChars="304" w:hanging="960" w:hangingChars="300"/>
        <w:rPr>
          <w:rFonts w:ascii="Times New Roman" w:hAnsi="Times New Roman" w:eastAsia="仿宋_GB2312"/>
          <w:bCs w:val="0"/>
          <w:color w:val="000000"/>
        </w:rPr>
      </w:pPr>
      <w:r>
        <w:rPr>
          <w:rFonts w:ascii="Times New Roman" w:hAnsi="Times New Roman" w:eastAsia="仿宋_GB2312"/>
          <w:bCs w:val="0"/>
          <w:color w:val="000000"/>
        </w:rPr>
        <w:t>附表：西山区2020年1-6月政府投资项目推进情况表</w:t>
      </w:r>
    </w:p>
    <w:sectPr>
      <w:footerReference r:id="rId4" w:type="default"/>
      <w:headerReference r:id="rId3" w:type="even"/>
      <w:footerReference r:id="rId5" w:type="even"/>
      <w:pgSz w:w="11907" w:h="16840"/>
      <w:pgMar w:top="1588" w:right="1418" w:bottom="1418" w:left="1588" w:header="1418" w:footer="153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pict>
        <v:shape id="_x0000_s2050" o:spid="_x0000_s2050"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path/>
          <v:fill on="f" focussize="0,0"/>
          <v:stroke on="f" weight="0.5pt" joinstyle="miter"/>
          <v:imagedata o:title=""/>
          <o:lock v:ext="edit"/>
          <v:textbox inset="0mm,0mm,0mm,0mm" style="mso-fit-shape-to-text:t;">
            <w:txbxContent>
              <w:p>
                <w:pPr>
                  <w:pStyle w:val="10"/>
                  <w:rPr>
                    <w:rStyle w:val="17"/>
                    <w:rFonts w:ascii="宋体"/>
                    <w:color w:val="FFFFFF"/>
                    <w:sz w:val="28"/>
                    <w:szCs w:val="28"/>
                  </w:rPr>
                </w:pPr>
                <w:r>
                  <w:rPr>
                    <w:rStyle w:val="17"/>
                    <w:rFonts w:ascii="宋体" w:hAnsi="宋体"/>
                    <w:color w:val="FFFFFF"/>
                    <w:sz w:val="28"/>
                    <w:szCs w:val="28"/>
                  </w:rPr>
                  <w:t>—</w:t>
                </w:r>
                <w:r>
                  <w:rPr>
                    <w:rStyle w:val="17"/>
                    <w:rFonts w:ascii="宋体" w:hAnsi="宋体"/>
                    <w:sz w:val="28"/>
                    <w:szCs w:val="28"/>
                  </w:rPr>
                  <w:t xml:space="preserve">— </w:t>
                </w:r>
                <w:r>
                  <w:rPr>
                    <w:rStyle w:val="17"/>
                    <w:rFonts w:ascii="Times New Roman" w:hAnsi="Times New Roman"/>
                    <w:sz w:val="28"/>
                    <w:szCs w:val="28"/>
                  </w:rPr>
                  <w:fldChar w:fldCharType="begin"/>
                </w:r>
                <w:r>
                  <w:rPr>
                    <w:rStyle w:val="17"/>
                    <w:rFonts w:ascii="Times New Roman" w:hAnsi="Times New Roman"/>
                    <w:sz w:val="28"/>
                    <w:szCs w:val="28"/>
                  </w:rPr>
                  <w:instrText xml:space="preserve">PAGE  </w:instrText>
                </w:r>
                <w:r>
                  <w:rPr>
                    <w:rStyle w:val="17"/>
                    <w:rFonts w:ascii="Times New Roman" w:hAnsi="Times New Roman"/>
                    <w:sz w:val="28"/>
                    <w:szCs w:val="28"/>
                  </w:rPr>
                  <w:fldChar w:fldCharType="separate"/>
                </w:r>
                <w:r>
                  <w:rPr>
                    <w:rStyle w:val="17"/>
                    <w:rFonts w:ascii="Times New Roman" w:hAnsi="Times New Roman"/>
                    <w:sz w:val="28"/>
                    <w:szCs w:val="28"/>
                  </w:rPr>
                  <w:t>3</w:t>
                </w:r>
                <w:r>
                  <w:rPr>
                    <w:rStyle w:val="17"/>
                    <w:rFonts w:ascii="Times New Roman" w:hAnsi="Times New Roman"/>
                    <w:sz w:val="28"/>
                    <w:szCs w:val="28"/>
                  </w:rPr>
                  <w:fldChar w:fldCharType="end"/>
                </w:r>
                <w:r>
                  <w:rPr>
                    <w:rStyle w:val="17"/>
                    <w:rFonts w:ascii="宋体" w:hAnsi="宋体"/>
                    <w:sz w:val="28"/>
                    <w:szCs w:val="28"/>
                  </w:rPr>
                  <w:t xml:space="preserve"> —</w:t>
                </w:r>
                <w:r>
                  <w:rPr>
                    <w:rStyle w:val="17"/>
                    <w:rFonts w:ascii="宋体" w:hAnsi="宋体"/>
                    <w:color w:val="FFFFFF"/>
                    <w:sz w:val="28"/>
                    <w:szCs w:val="28"/>
                  </w:rPr>
                  <w:t>—</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pict>
        <v:shape id="_x0000_s2049" o:spid="_x0000_s2049"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yMZ+WxoCAAAhBAAADgAA&#10;AAAAAAABACAAAAAfAQAAZHJzL2Uyb0RvYy54bWxQSwUGAAAAAAYABgBZAQAAqwUAAAAA&#10;">
          <v:path/>
          <v:fill on="f" focussize="0,0"/>
          <v:stroke on="f" weight="0.5pt" joinstyle="miter"/>
          <v:imagedata o:title=""/>
          <o:lock v:ext="edit"/>
          <v:textbox inset="0mm,0mm,0mm,0mm" style="mso-fit-shape-to-text:t;">
            <w:txbxContent>
              <w:p>
                <w:pPr>
                  <w:pStyle w:val="10"/>
                  <w:rPr>
                    <w:rStyle w:val="17"/>
                    <w:rFonts w:ascii="宋体"/>
                    <w:color w:val="FFFFFF"/>
                    <w:sz w:val="28"/>
                    <w:szCs w:val="28"/>
                  </w:rPr>
                </w:pPr>
                <w:r>
                  <w:rPr>
                    <w:rStyle w:val="17"/>
                    <w:rFonts w:ascii="宋体" w:hAnsi="宋体"/>
                    <w:color w:val="FFFFFF"/>
                    <w:sz w:val="28"/>
                    <w:szCs w:val="28"/>
                  </w:rPr>
                  <w:t>—</w:t>
                </w:r>
                <w:r>
                  <w:rPr>
                    <w:rStyle w:val="17"/>
                    <w:rFonts w:ascii="宋体" w:hAnsi="宋体"/>
                    <w:sz w:val="28"/>
                    <w:szCs w:val="28"/>
                  </w:rPr>
                  <w:t xml:space="preserve">— </w:t>
                </w:r>
                <w:r>
                  <w:rPr>
                    <w:rStyle w:val="17"/>
                    <w:rFonts w:ascii="Times New Roman" w:hAnsi="Times New Roman"/>
                    <w:sz w:val="28"/>
                    <w:szCs w:val="28"/>
                  </w:rPr>
                  <w:fldChar w:fldCharType="begin"/>
                </w:r>
                <w:r>
                  <w:rPr>
                    <w:rStyle w:val="17"/>
                    <w:rFonts w:ascii="Times New Roman" w:hAnsi="Times New Roman"/>
                    <w:sz w:val="28"/>
                    <w:szCs w:val="28"/>
                  </w:rPr>
                  <w:instrText xml:space="preserve">PAGE  </w:instrText>
                </w:r>
                <w:r>
                  <w:rPr>
                    <w:rStyle w:val="17"/>
                    <w:rFonts w:ascii="Times New Roman" w:hAnsi="Times New Roman"/>
                    <w:sz w:val="28"/>
                    <w:szCs w:val="28"/>
                  </w:rPr>
                  <w:fldChar w:fldCharType="separate"/>
                </w:r>
                <w:r>
                  <w:rPr>
                    <w:rStyle w:val="17"/>
                    <w:rFonts w:ascii="Times New Roman" w:hAnsi="Times New Roman"/>
                    <w:sz w:val="28"/>
                    <w:szCs w:val="28"/>
                  </w:rPr>
                  <w:t>2</w:t>
                </w:r>
                <w:r>
                  <w:rPr>
                    <w:rStyle w:val="17"/>
                    <w:rFonts w:ascii="Times New Roman" w:hAnsi="Times New Roman"/>
                    <w:sz w:val="28"/>
                    <w:szCs w:val="28"/>
                  </w:rPr>
                  <w:fldChar w:fldCharType="end"/>
                </w:r>
                <w:r>
                  <w:rPr>
                    <w:rStyle w:val="17"/>
                    <w:rFonts w:ascii="宋体" w:hAnsi="宋体"/>
                    <w:sz w:val="28"/>
                    <w:szCs w:val="28"/>
                  </w:rPr>
                  <w:t xml:space="preserve"> —</w:t>
                </w:r>
                <w:r>
                  <w:rPr>
                    <w:rStyle w:val="17"/>
                    <w:rFonts w:ascii="宋体" w:hAnsi="宋体"/>
                    <w:color w:val="FFFFFF"/>
                    <w:sz w:val="28"/>
                    <w:szCs w:val="28"/>
                  </w:rPr>
                  <w:t>—</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evenAndOddHeaders w:val="1"/>
  <w:drawingGridHorizontalSpacing w:val="105"/>
  <w:drawingGridVerticalSpacing w:val="156"/>
  <w:displayHorizontalDrawingGridEvery w:val="2"/>
  <w:displayVerticalDrawingGridEvery w:val="2"/>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BD5C9C"/>
    <w:rsid w:val="0000616C"/>
    <w:rsid w:val="00006910"/>
    <w:rsid w:val="000137E1"/>
    <w:rsid w:val="000149DF"/>
    <w:rsid w:val="00023F4C"/>
    <w:rsid w:val="000369DA"/>
    <w:rsid w:val="000559F1"/>
    <w:rsid w:val="00063CCF"/>
    <w:rsid w:val="00083F41"/>
    <w:rsid w:val="000931E0"/>
    <w:rsid w:val="000937A7"/>
    <w:rsid w:val="000A1C4C"/>
    <w:rsid w:val="000B10E3"/>
    <w:rsid w:val="000B572B"/>
    <w:rsid w:val="00111156"/>
    <w:rsid w:val="001305F6"/>
    <w:rsid w:val="00156F48"/>
    <w:rsid w:val="00165CB2"/>
    <w:rsid w:val="00171398"/>
    <w:rsid w:val="001742B5"/>
    <w:rsid w:val="001774C9"/>
    <w:rsid w:val="001829A7"/>
    <w:rsid w:val="00184CA9"/>
    <w:rsid w:val="00190040"/>
    <w:rsid w:val="00196C97"/>
    <w:rsid w:val="001A7FC2"/>
    <w:rsid w:val="001B7BC2"/>
    <w:rsid w:val="001D5784"/>
    <w:rsid w:val="001D69A3"/>
    <w:rsid w:val="001E0618"/>
    <w:rsid w:val="001E1EC2"/>
    <w:rsid w:val="001F0B84"/>
    <w:rsid w:val="001F6235"/>
    <w:rsid w:val="00210285"/>
    <w:rsid w:val="0021523D"/>
    <w:rsid w:val="0023260B"/>
    <w:rsid w:val="0023605A"/>
    <w:rsid w:val="00243BD3"/>
    <w:rsid w:val="00252E48"/>
    <w:rsid w:val="00262D4D"/>
    <w:rsid w:val="00264924"/>
    <w:rsid w:val="002A0DC1"/>
    <w:rsid w:val="002C15E1"/>
    <w:rsid w:val="002C7ED7"/>
    <w:rsid w:val="00310D27"/>
    <w:rsid w:val="0031268E"/>
    <w:rsid w:val="0031689A"/>
    <w:rsid w:val="003239F7"/>
    <w:rsid w:val="0033500D"/>
    <w:rsid w:val="00336B96"/>
    <w:rsid w:val="00344AB2"/>
    <w:rsid w:val="00354972"/>
    <w:rsid w:val="00381FAC"/>
    <w:rsid w:val="00384740"/>
    <w:rsid w:val="003A434C"/>
    <w:rsid w:val="003A46B6"/>
    <w:rsid w:val="003A49C2"/>
    <w:rsid w:val="003D4ECF"/>
    <w:rsid w:val="0041238E"/>
    <w:rsid w:val="00420A34"/>
    <w:rsid w:val="00435207"/>
    <w:rsid w:val="004375F4"/>
    <w:rsid w:val="00457CB4"/>
    <w:rsid w:val="0046339C"/>
    <w:rsid w:val="0047237E"/>
    <w:rsid w:val="00485881"/>
    <w:rsid w:val="004876E4"/>
    <w:rsid w:val="004919FF"/>
    <w:rsid w:val="00495011"/>
    <w:rsid w:val="004A71D5"/>
    <w:rsid w:val="004B2A7B"/>
    <w:rsid w:val="004C33D1"/>
    <w:rsid w:val="004D2466"/>
    <w:rsid w:val="004E21DE"/>
    <w:rsid w:val="004E4387"/>
    <w:rsid w:val="00501D4D"/>
    <w:rsid w:val="00502134"/>
    <w:rsid w:val="00502544"/>
    <w:rsid w:val="005365F6"/>
    <w:rsid w:val="00546186"/>
    <w:rsid w:val="00552917"/>
    <w:rsid w:val="005918F2"/>
    <w:rsid w:val="00595F6A"/>
    <w:rsid w:val="005A5A4A"/>
    <w:rsid w:val="005B7B49"/>
    <w:rsid w:val="005D7244"/>
    <w:rsid w:val="005F4F13"/>
    <w:rsid w:val="006007A7"/>
    <w:rsid w:val="006068F8"/>
    <w:rsid w:val="00626C06"/>
    <w:rsid w:val="00647B47"/>
    <w:rsid w:val="00671164"/>
    <w:rsid w:val="0067204A"/>
    <w:rsid w:val="00685584"/>
    <w:rsid w:val="00697FA5"/>
    <w:rsid w:val="006B3B84"/>
    <w:rsid w:val="006B5FFC"/>
    <w:rsid w:val="006C1620"/>
    <w:rsid w:val="006C1F1C"/>
    <w:rsid w:val="006C5FC1"/>
    <w:rsid w:val="006C652D"/>
    <w:rsid w:val="006D0CE0"/>
    <w:rsid w:val="006D5CAD"/>
    <w:rsid w:val="006F45DC"/>
    <w:rsid w:val="0073021B"/>
    <w:rsid w:val="00740202"/>
    <w:rsid w:val="00750162"/>
    <w:rsid w:val="00797534"/>
    <w:rsid w:val="00797C78"/>
    <w:rsid w:val="007B08A8"/>
    <w:rsid w:val="007B62F4"/>
    <w:rsid w:val="007D44D7"/>
    <w:rsid w:val="007E7030"/>
    <w:rsid w:val="007F1C09"/>
    <w:rsid w:val="00832E95"/>
    <w:rsid w:val="008411BF"/>
    <w:rsid w:val="00856C8D"/>
    <w:rsid w:val="00860E24"/>
    <w:rsid w:val="0086765F"/>
    <w:rsid w:val="0086767B"/>
    <w:rsid w:val="008736D4"/>
    <w:rsid w:val="00874A09"/>
    <w:rsid w:val="00896514"/>
    <w:rsid w:val="008A4717"/>
    <w:rsid w:val="008C2921"/>
    <w:rsid w:val="008C4002"/>
    <w:rsid w:val="008D24AF"/>
    <w:rsid w:val="008F40DE"/>
    <w:rsid w:val="00912B72"/>
    <w:rsid w:val="00914767"/>
    <w:rsid w:val="00924AB3"/>
    <w:rsid w:val="00932BE6"/>
    <w:rsid w:val="0093445B"/>
    <w:rsid w:val="00936400"/>
    <w:rsid w:val="00943F67"/>
    <w:rsid w:val="00945DF3"/>
    <w:rsid w:val="009563A4"/>
    <w:rsid w:val="00963463"/>
    <w:rsid w:val="009643B1"/>
    <w:rsid w:val="00967007"/>
    <w:rsid w:val="00971375"/>
    <w:rsid w:val="00993343"/>
    <w:rsid w:val="00995A36"/>
    <w:rsid w:val="00996C2D"/>
    <w:rsid w:val="009A5B9C"/>
    <w:rsid w:val="009B2234"/>
    <w:rsid w:val="009C33F9"/>
    <w:rsid w:val="009C3AD8"/>
    <w:rsid w:val="009C63E6"/>
    <w:rsid w:val="009E4FB1"/>
    <w:rsid w:val="009F1586"/>
    <w:rsid w:val="00A16E88"/>
    <w:rsid w:val="00A229E1"/>
    <w:rsid w:val="00A35B01"/>
    <w:rsid w:val="00A3670B"/>
    <w:rsid w:val="00A42716"/>
    <w:rsid w:val="00A44D85"/>
    <w:rsid w:val="00A450B6"/>
    <w:rsid w:val="00A45A7A"/>
    <w:rsid w:val="00A471B0"/>
    <w:rsid w:val="00A52076"/>
    <w:rsid w:val="00A53845"/>
    <w:rsid w:val="00A60F6D"/>
    <w:rsid w:val="00A7486D"/>
    <w:rsid w:val="00A7710D"/>
    <w:rsid w:val="00AA2629"/>
    <w:rsid w:val="00AA509B"/>
    <w:rsid w:val="00AB3616"/>
    <w:rsid w:val="00AB5E66"/>
    <w:rsid w:val="00AC59FB"/>
    <w:rsid w:val="00AC7EEC"/>
    <w:rsid w:val="00AD629B"/>
    <w:rsid w:val="00AD799D"/>
    <w:rsid w:val="00AE63A9"/>
    <w:rsid w:val="00AF37F8"/>
    <w:rsid w:val="00AF6FAF"/>
    <w:rsid w:val="00B06DC7"/>
    <w:rsid w:val="00B26946"/>
    <w:rsid w:val="00B45301"/>
    <w:rsid w:val="00B45E90"/>
    <w:rsid w:val="00B5723F"/>
    <w:rsid w:val="00B66882"/>
    <w:rsid w:val="00B70984"/>
    <w:rsid w:val="00B72B87"/>
    <w:rsid w:val="00B773C9"/>
    <w:rsid w:val="00B95DC7"/>
    <w:rsid w:val="00B97979"/>
    <w:rsid w:val="00BA11D1"/>
    <w:rsid w:val="00BA284E"/>
    <w:rsid w:val="00BB5E84"/>
    <w:rsid w:val="00BC1259"/>
    <w:rsid w:val="00BC3821"/>
    <w:rsid w:val="00BC535B"/>
    <w:rsid w:val="00BC6FD0"/>
    <w:rsid w:val="00BD5C9C"/>
    <w:rsid w:val="00BE1D55"/>
    <w:rsid w:val="00BE2EEB"/>
    <w:rsid w:val="00BE4AF9"/>
    <w:rsid w:val="00C0373D"/>
    <w:rsid w:val="00C03F92"/>
    <w:rsid w:val="00C06243"/>
    <w:rsid w:val="00C257F1"/>
    <w:rsid w:val="00C272E3"/>
    <w:rsid w:val="00C35D3A"/>
    <w:rsid w:val="00C5247A"/>
    <w:rsid w:val="00C53CFF"/>
    <w:rsid w:val="00C624F8"/>
    <w:rsid w:val="00C84947"/>
    <w:rsid w:val="00C87FC2"/>
    <w:rsid w:val="00CA2572"/>
    <w:rsid w:val="00CB6AFD"/>
    <w:rsid w:val="00CB7CB5"/>
    <w:rsid w:val="00CD399E"/>
    <w:rsid w:val="00CE6D9A"/>
    <w:rsid w:val="00D0423D"/>
    <w:rsid w:val="00D101A1"/>
    <w:rsid w:val="00D10DC6"/>
    <w:rsid w:val="00D16290"/>
    <w:rsid w:val="00D20CC4"/>
    <w:rsid w:val="00D55600"/>
    <w:rsid w:val="00D63D70"/>
    <w:rsid w:val="00D73DF4"/>
    <w:rsid w:val="00D94BC4"/>
    <w:rsid w:val="00DA0CA3"/>
    <w:rsid w:val="00DA491F"/>
    <w:rsid w:val="00DB6F3D"/>
    <w:rsid w:val="00E219C5"/>
    <w:rsid w:val="00E2499C"/>
    <w:rsid w:val="00E279A6"/>
    <w:rsid w:val="00E305DB"/>
    <w:rsid w:val="00E309DA"/>
    <w:rsid w:val="00E33BCF"/>
    <w:rsid w:val="00E63380"/>
    <w:rsid w:val="00E66834"/>
    <w:rsid w:val="00E95955"/>
    <w:rsid w:val="00EA1260"/>
    <w:rsid w:val="00EB259E"/>
    <w:rsid w:val="00EC0C11"/>
    <w:rsid w:val="00ED6031"/>
    <w:rsid w:val="00EE0981"/>
    <w:rsid w:val="00EE1DD0"/>
    <w:rsid w:val="00EF6560"/>
    <w:rsid w:val="00F0492F"/>
    <w:rsid w:val="00F10E61"/>
    <w:rsid w:val="00F21A48"/>
    <w:rsid w:val="00F3520E"/>
    <w:rsid w:val="00F4431C"/>
    <w:rsid w:val="00F451BD"/>
    <w:rsid w:val="00F57D5B"/>
    <w:rsid w:val="00F57FBB"/>
    <w:rsid w:val="00F613B6"/>
    <w:rsid w:val="00F84559"/>
    <w:rsid w:val="00F86E17"/>
    <w:rsid w:val="00FA20BE"/>
    <w:rsid w:val="00FB6F77"/>
    <w:rsid w:val="00FC10C1"/>
    <w:rsid w:val="00FC240A"/>
    <w:rsid w:val="00FC56B3"/>
    <w:rsid w:val="00FD0003"/>
    <w:rsid w:val="00FE2EC9"/>
    <w:rsid w:val="00FF1B1E"/>
    <w:rsid w:val="00FF3B91"/>
    <w:rsid w:val="00FF5DED"/>
    <w:rsid w:val="01173500"/>
    <w:rsid w:val="011B7189"/>
    <w:rsid w:val="013A0DB8"/>
    <w:rsid w:val="01412B80"/>
    <w:rsid w:val="014B4C55"/>
    <w:rsid w:val="01570EDB"/>
    <w:rsid w:val="01762A92"/>
    <w:rsid w:val="020061E7"/>
    <w:rsid w:val="02153F31"/>
    <w:rsid w:val="024A4017"/>
    <w:rsid w:val="02953105"/>
    <w:rsid w:val="0297747A"/>
    <w:rsid w:val="02A22E73"/>
    <w:rsid w:val="02C92592"/>
    <w:rsid w:val="033E1AC9"/>
    <w:rsid w:val="034E203D"/>
    <w:rsid w:val="035F21CE"/>
    <w:rsid w:val="03CF50FF"/>
    <w:rsid w:val="04203BC3"/>
    <w:rsid w:val="04275A96"/>
    <w:rsid w:val="04742350"/>
    <w:rsid w:val="04AB18D4"/>
    <w:rsid w:val="04CD37CA"/>
    <w:rsid w:val="04CE34B1"/>
    <w:rsid w:val="04D5736E"/>
    <w:rsid w:val="04D6009A"/>
    <w:rsid w:val="050B4EC0"/>
    <w:rsid w:val="052A088A"/>
    <w:rsid w:val="053501BA"/>
    <w:rsid w:val="055A6103"/>
    <w:rsid w:val="0594579B"/>
    <w:rsid w:val="05C2354F"/>
    <w:rsid w:val="05F45790"/>
    <w:rsid w:val="05F64DD5"/>
    <w:rsid w:val="061747F3"/>
    <w:rsid w:val="06693256"/>
    <w:rsid w:val="067710FC"/>
    <w:rsid w:val="06817655"/>
    <w:rsid w:val="069E2332"/>
    <w:rsid w:val="06BE7221"/>
    <w:rsid w:val="06C60171"/>
    <w:rsid w:val="079308EB"/>
    <w:rsid w:val="07A91971"/>
    <w:rsid w:val="07B925D5"/>
    <w:rsid w:val="07D41017"/>
    <w:rsid w:val="081C6CF0"/>
    <w:rsid w:val="084126E8"/>
    <w:rsid w:val="08553E70"/>
    <w:rsid w:val="08574F09"/>
    <w:rsid w:val="08AA0F67"/>
    <w:rsid w:val="09023C57"/>
    <w:rsid w:val="09347B93"/>
    <w:rsid w:val="094435A5"/>
    <w:rsid w:val="099C7996"/>
    <w:rsid w:val="09C92A53"/>
    <w:rsid w:val="09D27DC5"/>
    <w:rsid w:val="09D81E6F"/>
    <w:rsid w:val="0A0D7CFA"/>
    <w:rsid w:val="0ABF0680"/>
    <w:rsid w:val="0ACC41AE"/>
    <w:rsid w:val="0B002265"/>
    <w:rsid w:val="0B067D3B"/>
    <w:rsid w:val="0B316A40"/>
    <w:rsid w:val="0B375AD2"/>
    <w:rsid w:val="0B3937AD"/>
    <w:rsid w:val="0B6652EC"/>
    <w:rsid w:val="0BB24F5B"/>
    <w:rsid w:val="0BBD33FF"/>
    <w:rsid w:val="0C1A6A3F"/>
    <w:rsid w:val="0C2A21F2"/>
    <w:rsid w:val="0C3B68EC"/>
    <w:rsid w:val="0CD21CC2"/>
    <w:rsid w:val="0CFB170B"/>
    <w:rsid w:val="0D066668"/>
    <w:rsid w:val="0D0A3785"/>
    <w:rsid w:val="0D2F17C9"/>
    <w:rsid w:val="0D39223F"/>
    <w:rsid w:val="0D6667F6"/>
    <w:rsid w:val="0D682B7B"/>
    <w:rsid w:val="0D894C7F"/>
    <w:rsid w:val="0E4627B5"/>
    <w:rsid w:val="0F502DD3"/>
    <w:rsid w:val="0F6D4BE4"/>
    <w:rsid w:val="0FD55E43"/>
    <w:rsid w:val="100B59FB"/>
    <w:rsid w:val="10673041"/>
    <w:rsid w:val="106F7498"/>
    <w:rsid w:val="10C136DA"/>
    <w:rsid w:val="10CC599B"/>
    <w:rsid w:val="10DF4963"/>
    <w:rsid w:val="10E840DE"/>
    <w:rsid w:val="110D48B7"/>
    <w:rsid w:val="11363D52"/>
    <w:rsid w:val="11461861"/>
    <w:rsid w:val="11C25971"/>
    <w:rsid w:val="11C44681"/>
    <w:rsid w:val="11D052A3"/>
    <w:rsid w:val="125A74CC"/>
    <w:rsid w:val="12751BE7"/>
    <w:rsid w:val="12B76D4E"/>
    <w:rsid w:val="1369534C"/>
    <w:rsid w:val="138C2B28"/>
    <w:rsid w:val="13FD2528"/>
    <w:rsid w:val="142666DC"/>
    <w:rsid w:val="142F4B67"/>
    <w:rsid w:val="14B32D4D"/>
    <w:rsid w:val="14C13716"/>
    <w:rsid w:val="14F82FEB"/>
    <w:rsid w:val="15205909"/>
    <w:rsid w:val="15406108"/>
    <w:rsid w:val="155C7FD2"/>
    <w:rsid w:val="156247A8"/>
    <w:rsid w:val="156451F5"/>
    <w:rsid w:val="15FC1375"/>
    <w:rsid w:val="16917F45"/>
    <w:rsid w:val="16A12CB5"/>
    <w:rsid w:val="16CC7604"/>
    <w:rsid w:val="16CF661C"/>
    <w:rsid w:val="16DF0958"/>
    <w:rsid w:val="16EF07F1"/>
    <w:rsid w:val="16F22171"/>
    <w:rsid w:val="170D1022"/>
    <w:rsid w:val="17485E3E"/>
    <w:rsid w:val="177F6140"/>
    <w:rsid w:val="17A102EC"/>
    <w:rsid w:val="17C4689C"/>
    <w:rsid w:val="17D0015C"/>
    <w:rsid w:val="1832675F"/>
    <w:rsid w:val="1840558F"/>
    <w:rsid w:val="18560D10"/>
    <w:rsid w:val="188B58F0"/>
    <w:rsid w:val="18FC67B7"/>
    <w:rsid w:val="19653DB5"/>
    <w:rsid w:val="1A0F2BEA"/>
    <w:rsid w:val="1A327AA9"/>
    <w:rsid w:val="1ABE5331"/>
    <w:rsid w:val="1AE5352E"/>
    <w:rsid w:val="1AE81191"/>
    <w:rsid w:val="1AEF3F56"/>
    <w:rsid w:val="1AF73717"/>
    <w:rsid w:val="1B025C22"/>
    <w:rsid w:val="1B5D5AC3"/>
    <w:rsid w:val="1B716A0B"/>
    <w:rsid w:val="1BAC7EE4"/>
    <w:rsid w:val="1BC867E8"/>
    <w:rsid w:val="1BDE3296"/>
    <w:rsid w:val="1C134D9C"/>
    <w:rsid w:val="1C7E2A7E"/>
    <w:rsid w:val="1C94022D"/>
    <w:rsid w:val="1CBC42C9"/>
    <w:rsid w:val="1CFE35CE"/>
    <w:rsid w:val="1D1A2275"/>
    <w:rsid w:val="1D6F1DA9"/>
    <w:rsid w:val="1D986970"/>
    <w:rsid w:val="1DD74D74"/>
    <w:rsid w:val="1DEC3F03"/>
    <w:rsid w:val="1E061F2B"/>
    <w:rsid w:val="1E1D0282"/>
    <w:rsid w:val="1E332890"/>
    <w:rsid w:val="1E3E1E69"/>
    <w:rsid w:val="1EB92AD0"/>
    <w:rsid w:val="1F196CBD"/>
    <w:rsid w:val="1F33021B"/>
    <w:rsid w:val="1F3A1A9E"/>
    <w:rsid w:val="1F401C1D"/>
    <w:rsid w:val="1F695DEE"/>
    <w:rsid w:val="1F906B3C"/>
    <w:rsid w:val="20D729E7"/>
    <w:rsid w:val="212D2076"/>
    <w:rsid w:val="21394942"/>
    <w:rsid w:val="215E77C2"/>
    <w:rsid w:val="217B05F1"/>
    <w:rsid w:val="21E21361"/>
    <w:rsid w:val="21EC09FB"/>
    <w:rsid w:val="220E328B"/>
    <w:rsid w:val="225163E9"/>
    <w:rsid w:val="22955098"/>
    <w:rsid w:val="22986ACE"/>
    <w:rsid w:val="22F564A9"/>
    <w:rsid w:val="23452A4F"/>
    <w:rsid w:val="235A22F2"/>
    <w:rsid w:val="238F6BEF"/>
    <w:rsid w:val="23A47A24"/>
    <w:rsid w:val="23C44CA1"/>
    <w:rsid w:val="23D116AA"/>
    <w:rsid w:val="23D36417"/>
    <w:rsid w:val="23DA3E64"/>
    <w:rsid w:val="23EF6635"/>
    <w:rsid w:val="2492382D"/>
    <w:rsid w:val="249E2307"/>
    <w:rsid w:val="24A57FD4"/>
    <w:rsid w:val="24F52C53"/>
    <w:rsid w:val="252C4C4E"/>
    <w:rsid w:val="25321197"/>
    <w:rsid w:val="25586E66"/>
    <w:rsid w:val="25D559EE"/>
    <w:rsid w:val="25FB2598"/>
    <w:rsid w:val="260402DC"/>
    <w:rsid w:val="263F4DD8"/>
    <w:rsid w:val="264E1708"/>
    <w:rsid w:val="269425B2"/>
    <w:rsid w:val="26D54790"/>
    <w:rsid w:val="26E173EC"/>
    <w:rsid w:val="274A72BD"/>
    <w:rsid w:val="274D4D47"/>
    <w:rsid w:val="27BB3952"/>
    <w:rsid w:val="27D57C90"/>
    <w:rsid w:val="27D92AE3"/>
    <w:rsid w:val="27DE1C75"/>
    <w:rsid w:val="282C1DAD"/>
    <w:rsid w:val="2835702F"/>
    <w:rsid w:val="28592C77"/>
    <w:rsid w:val="28AA218D"/>
    <w:rsid w:val="28CD0A23"/>
    <w:rsid w:val="28DC0469"/>
    <w:rsid w:val="28FE61B4"/>
    <w:rsid w:val="29153853"/>
    <w:rsid w:val="29413A42"/>
    <w:rsid w:val="297836DD"/>
    <w:rsid w:val="297B1B4A"/>
    <w:rsid w:val="299A6174"/>
    <w:rsid w:val="299C01E0"/>
    <w:rsid w:val="29A75FC5"/>
    <w:rsid w:val="29AF00C8"/>
    <w:rsid w:val="2A0C6625"/>
    <w:rsid w:val="2A120014"/>
    <w:rsid w:val="2A1465B1"/>
    <w:rsid w:val="2A1F30A6"/>
    <w:rsid w:val="2A712806"/>
    <w:rsid w:val="2A962DC2"/>
    <w:rsid w:val="2AC33E75"/>
    <w:rsid w:val="2AD21ADA"/>
    <w:rsid w:val="2B5B4062"/>
    <w:rsid w:val="2B6F5A1D"/>
    <w:rsid w:val="2B924DD1"/>
    <w:rsid w:val="2B9A6FB8"/>
    <w:rsid w:val="2BAF0AA1"/>
    <w:rsid w:val="2BEB4610"/>
    <w:rsid w:val="2C40150B"/>
    <w:rsid w:val="2C5504AE"/>
    <w:rsid w:val="2C796174"/>
    <w:rsid w:val="2CC553CC"/>
    <w:rsid w:val="2CF55ED3"/>
    <w:rsid w:val="2D18340C"/>
    <w:rsid w:val="2D2A2E4F"/>
    <w:rsid w:val="2DD606B4"/>
    <w:rsid w:val="2DD92A6D"/>
    <w:rsid w:val="2DD9564D"/>
    <w:rsid w:val="2E065D39"/>
    <w:rsid w:val="2E334A20"/>
    <w:rsid w:val="2E7A1C5A"/>
    <w:rsid w:val="2EDD379B"/>
    <w:rsid w:val="2F0A5620"/>
    <w:rsid w:val="2F352114"/>
    <w:rsid w:val="2F477A26"/>
    <w:rsid w:val="2FD336EF"/>
    <w:rsid w:val="2FF80304"/>
    <w:rsid w:val="301D5125"/>
    <w:rsid w:val="305B35D2"/>
    <w:rsid w:val="30C17CF7"/>
    <w:rsid w:val="30CB289B"/>
    <w:rsid w:val="30EB191B"/>
    <w:rsid w:val="31167E49"/>
    <w:rsid w:val="320B0720"/>
    <w:rsid w:val="321A5F5E"/>
    <w:rsid w:val="3258776B"/>
    <w:rsid w:val="32A043B2"/>
    <w:rsid w:val="32A7297A"/>
    <w:rsid w:val="32D13E27"/>
    <w:rsid w:val="32D932F4"/>
    <w:rsid w:val="32F56567"/>
    <w:rsid w:val="33053F92"/>
    <w:rsid w:val="333A03F8"/>
    <w:rsid w:val="336979DA"/>
    <w:rsid w:val="336D5A80"/>
    <w:rsid w:val="33860C96"/>
    <w:rsid w:val="338833DB"/>
    <w:rsid w:val="339505EF"/>
    <w:rsid w:val="33BD6567"/>
    <w:rsid w:val="33D4221C"/>
    <w:rsid w:val="33FB3559"/>
    <w:rsid w:val="345F5B63"/>
    <w:rsid w:val="34730124"/>
    <w:rsid w:val="34A03A78"/>
    <w:rsid w:val="34C3611D"/>
    <w:rsid w:val="35531012"/>
    <w:rsid w:val="3576547A"/>
    <w:rsid w:val="35D84279"/>
    <w:rsid w:val="36904AA0"/>
    <w:rsid w:val="36BB48EC"/>
    <w:rsid w:val="36FC14FA"/>
    <w:rsid w:val="3726446F"/>
    <w:rsid w:val="37501AC1"/>
    <w:rsid w:val="37A961A8"/>
    <w:rsid w:val="387B0A46"/>
    <w:rsid w:val="38DC45CF"/>
    <w:rsid w:val="390C1CF6"/>
    <w:rsid w:val="394D1C7E"/>
    <w:rsid w:val="399622FD"/>
    <w:rsid w:val="399C52C0"/>
    <w:rsid w:val="39A94AA4"/>
    <w:rsid w:val="39C56CFC"/>
    <w:rsid w:val="3A0C18E2"/>
    <w:rsid w:val="3A9C3720"/>
    <w:rsid w:val="3AA666E6"/>
    <w:rsid w:val="3AC13510"/>
    <w:rsid w:val="3AD30B9E"/>
    <w:rsid w:val="3ADB264C"/>
    <w:rsid w:val="3AE337AB"/>
    <w:rsid w:val="3AFA4C6B"/>
    <w:rsid w:val="3B5D164D"/>
    <w:rsid w:val="3B7B48B5"/>
    <w:rsid w:val="3BE74676"/>
    <w:rsid w:val="3BFD3F2C"/>
    <w:rsid w:val="3D0A42B7"/>
    <w:rsid w:val="3D0A55AE"/>
    <w:rsid w:val="3D0F0784"/>
    <w:rsid w:val="3D7B55ED"/>
    <w:rsid w:val="3D996300"/>
    <w:rsid w:val="3DAB1FDC"/>
    <w:rsid w:val="3E58037B"/>
    <w:rsid w:val="3EC1606F"/>
    <w:rsid w:val="3ECE2CB8"/>
    <w:rsid w:val="3EFF4981"/>
    <w:rsid w:val="3F1B2139"/>
    <w:rsid w:val="3F2428D5"/>
    <w:rsid w:val="3F2B349F"/>
    <w:rsid w:val="3F4E406D"/>
    <w:rsid w:val="3F571577"/>
    <w:rsid w:val="3F9E7C8B"/>
    <w:rsid w:val="3FB05664"/>
    <w:rsid w:val="3FC67807"/>
    <w:rsid w:val="40434BB9"/>
    <w:rsid w:val="40650D72"/>
    <w:rsid w:val="4072570F"/>
    <w:rsid w:val="40AD56C2"/>
    <w:rsid w:val="40C66475"/>
    <w:rsid w:val="40FE1C29"/>
    <w:rsid w:val="41056C0C"/>
    <w:rsid w:val="411002EE"/>
    <w:rsid w:val="41B77FAD"/>
    <w:rsid w:val="421D2738"/>
    <w:rsid w:val="421E5321"/>
    <w:rsid w:val="422B4D4E"/>
    <w:rsid w:val="42652980"/>
    <w:rsid w:val="42BB3F2E"/>
    <w:rsid w:val="43263331"/>
    <w:rsid w:val="43A55F38"/>
    <w:rsid w:val="43B61731"/>
    <w:rsid w:val="43C65AA4"/>
    <w:rsid w:val="44623CC3"/>
    <w:rsid w:val="446D0705"/>
    <w:rsid w:val="447A68D5"/>
    <w:rsid w:val="44D11908"/>
    <w:rsid w:val="450C4643"/>
    <w:rsid w:val="45864600"/>
    <w:rsid w:val="45D66C07"/>
    <w:rsid w:val="45E50AB2"/>
    <w:rsid w:val="45E51973"/>
    <w:rsid w:val="461B6ABB"/>
    <w:rsid w:val="463F762E"/>
    <w:rsid w:val="46784C9D"/>
    <w:rsid w:val="467C33AF"/>
    <w:rsid w:val="46881054"/>
    <w:rsid w:val="46A66AFE"/>
    <w:rsid w:val="46B0165E"/>
    <w:rsid w:val="46D1636B"/>
    <w:rsid w:val="46F91C9F"/>
    <w:rsid w:val="47516203"/>
    <w:rsid w:val="47D10BBE"/>
    <w:rsid w:val="48256FE1"/>
    <w:rsid w:val="4836374D"/>
    <w:rsid w:val="486F4441"/>
    <w:rsid w:val="48957EFE"/>
    <w:rsid w:val="48B24A83"/>
    <w:rsid w:val="4988162E"/>
    <w:rsid w:val="49D639B9"/>
    <w:rsid w:val="4A723AC2"/>
    <w:rsid w:val="4AA63A22"/>
    <w:rsid w:val="4AB26A15"/>
    <w:rsid w:val="4B535E70"/>
    <w:rsid w:val="4BD54EBD"/>
    <w:rsid w:val="4CDD1869"/>
    <w:rsid w:val="4D4D59C0"/>
    <w:rsid w:val="4D597E82"/>
    <w:rsid w:val="4D702634"/>
    <w:rsid w:val="4D7934FA"/>
    <w:rsid w:val="4D7D15AE"/>
    <w:rsid w:val="4D80696D"/>
    <w:rsid w:val="4DF12CB7"/>
    <w:rsid w:val="4E623A29"/>
    <w:rsid w:val="4E6D11DD"/>
    <w:rsid w:val="4EB04387"/>
    <w:rsid w:val="4ECE13C0"/>
    <w:rsid w:val="4F0C3083"/>
    <w:rsid w:val="4F521880"/>
    <w:rsid w:val="4F5E4F7F"/>
    <w:rsid w:val="4F732362"/>
    <w:rsid w:val="4FAA0E78"/>
    <w:rsid w:val="50B11EF1"/>
    <w:rsid w:val="50B7009A"/>
    <w:rsid w:val="50E25776"/>
    <w:rsid w:val="50EA08CA"/>
    <w:rsid w:val="513F119C"/>
    <w:rsid w:val="514F37D9"/>
    <w:rsid w:val="515A003C"/>
    <w:rsid w:val="51782FD5"/>
    <w:rsid w:val="51BD2ADD"/>
    <w:rsid w:val="51D64F2E"/>
    <w:rsid w:val="523107D5"/>
    <w:rsid w:val="52310D03"/>
    <w:rsid w:val="52E12F3F"/>
    <w:rsid w:val="52F519BA"/>
    <w:rsid w:val="534A4B6D"/>
    <w:rsid w:val="536B60A3"/>
    <w:rsid w:val="53945AF6"/>
    <w:rsid w:val="53B91AE4"/>
    <w:rsid w:val="53C51C07"/>
    <w:rsid w:val="53F7271F"/>
    <w:rsid w:val="53FB20EE"/>
    <w:rsid w:val="54147FF5"/>
    <w:rsid w:val="54B732B7"/>
    <w:rsid w:val="54C54137"/>
    <w:rsid w:val="550235A1"/>
    <w:rsid w:val="55573B1D"/>
    <w:rsid w:val="5585623B"/>
    <w:rsid w:val="55E40E01"/>
    <w:rsid w:val="55F70914"/>
    <w:rsid w:val="563627F8"/>
    <w:rsid w:val="56933DD1"/>
    <w:rsid w:val="569476D1"/>
    <w:rsid w:val="56DE4E48"/>
    <w:rsid w:val="57752614"/>
    <w:rsid w:val="57CA2AAE"/>
    <w:rsid w:val="58A75796"/>
    <w:rsid w:val="58E631CE"/>
    <w:rsid w:val="58F0788F"/>
    <w:rsid w:val="590E3AC7"/>
    <w:rsid w:val="59317020"/>
    <w:rsid w:val="59AE25A9"/>
    <w:rsid w:val="59CA376F"/>
    <w:rsid w:val="59FE1C61"/>
    <w:rsid w:val="5A184C90"/>
    <w:rsid w:val="5A361E30"/>
    <w:rsid w:val="5A3B692D"/>
    <w:rsid w:val="5AF4255C"/>
    <w:rsid w:val="5AFD21EF"/>
    <w:rsid w:val="5B1E5E6E"/>
    <w:rsid w:val="5B872921"/>
    <w:rsid w:val="5B9D0645"/>
    <w:rsid w:val="5BD43815"/>
    <w:rsid w:val="5BDA615A"/>
    <w:rsid w:val="5BF02D05"/>
    <w:rsid w:val="5C5E4C1D"/>
    <w:rsid w:val="5C8223E5"/>
    <w:rsid w:val="5CFD7A56"/>
    <w:rsid w:val="5D114057"/>
    <w:rsid w:val="5D3560CB"/>
    <w:rsid w:val="5D3876F8"/>
    <w:rsid w:val="5D7B26FA"/>
    <w:rsid w:val="5DC47981"/>
    <w:rsid w:val="5DD00516"/>
    <w:rsid w:val="5E312022"/>
    <w:rsid w:val="5E7E71F7"/>
    <w:rsid w:val="5EB44425"/>
    <w:rsid w:val="5ECE1223"/>
    <w:rsid w:val="5EDC480A"/>
    <w:rsid w:val="5EEF007E"/>
    <w:rsid w:val="5F352267"/>
    <w:rsid w:val="5F585A3B"/>
    <w:rsid w:val="5F6A5268"/>
    <w:rsid w:val="5F8A7FDA"/>
    <w:rsid w:val="5F9C2963"/>
    <w:rsid w:val="6005624F"/>
    <w:rsid w:val="607D36D8"/>
    <w:rsid w:val="60CA0F93"/>
    <w:rsid w:val="612A05CD"/>
    <w:rsid w:val="612E2FA7"/>
    <w:rsid w:val="62331AB0"/>
    <w:rsid w:val="62630597"/>
    <w:rsid w:val="628A420A"/>
    <w:rsid w:val="628B3A7C"/>
    <w:rsid w:val="62B14CA6"/>
    <w:rsid w:val="630D5590"/>
    <w:rsid w:val="63306CA8"/>
    <w:rsid w:val="6331598B"/>
    <w:rsid w:val="63DE7A8C"/>
    <w:rsid w:val="63DF4BA5"/>
    <w:rsid w:val="64302C36"/>
    <w:rsid w:val="648415A8"/>
    <w:rsid w:val="64CD7437"/>
    <w:rsid w:val="64F379F4"/>
    <w:rsid w:val="65754BA7"/>
    <w:rsid w:val="658250A5"/>
    <w:rsid w:val="65A8356C"/>
    <w:rsid w:val="65E35A9A"/>
    <w:rsid w:val="661D50AB"/>
    <w:rsid w:val="66207C8D"/>
    <w:rsid w:val="66377C1B"/>
    <w:rsid w:val="667D40E7"/>
    <w:rsid w:val="669555A3"/>
    <w:rsid w:val="6733347A"/>
    <w:rsid w:val="67581605"/>
    <w:rsid w:val="6797760B"/>
    <w:rsid w:val="67D10AED"/>
    <w:rsid w:val="67E120EC"/>
    <w:rsid w:val="68591CE6"/>
    <w:rsid w:val="68A75649"/>
    <w:rsid w:val="68C75865"/>
    <w:rsid w:val="68CD42F5"/>
    <w:rsid w:val="69842974"/>
    <w:rsid w:val="698F4BD0"/>
    <w:rsid w:val="69CD605F"/>
    <w:rsid w:val="6A130842"/>
    <w:rsid w:val="6A3D4B8E"/>
    <w:rsid w:val="6A4202D9"/>
    <w:rsid w:val="6AC16FF7"/>
    <w:rsid w:val="6B131D9D"/>
    <w:rsid w:val="6B175275"/>
    <w:rsid w:val="6B244056"/>
    <w:rsid w:val="6BA77E07"/>
    <w:rsid w:val="6BAC6F65"/>
    <w:rsid w:val="6BB12B81"/>
    <w:rsid w:val="6C054708"/>
    <w:rsid w:val="6C127698"/>
    <w:rsid w:val="6C286833"/>
    <w:rsid w:val="6CCC583E"/>
    <w:rsid w:val="6D094A7D"/>
    <w:rsid w:val="6D6B42A2"/>
    <w:rsid w:val="6D8C21C6"/>
    <w:rsid w:val="6D9D30EB"/>
    <w:rsid w:val="6DB375D1"/>
    <w:rsid w:val="6DC0584D"/>
    <w:rsid w:val="6DCC3FF6"/>
    <w:rsid w:val="6DE24391"/>
    <w:rsid w:val="6DFF7625"/>
    <w:rsid w:val="6E140514"/>
    <w:rsid w:val="6E352E64"/>
    <w:rsid w:val="6E4A33D7"/>
    <w:rsid w:val="6E875DB7"/>
    <w:rsid w:val="6E917E86"/>
    <w:rsid w:val="6EBD77A5"/>
    <w:rsid w:val="6F27470E"/>
    <w:rsid w:val="6F9D36AE"/>
    <w:rsid w:val="6FB0381C"/>
    <w:rsid w:val="6FB5111F"/>
    <w:rsid w:val="6FD61CB9"/>
    <w:rsid w:val="700211A7"/>
    <w:rsid w:val="70051BF9"/>
    <w:rsid w:val="702B0529"/>
    <w:rsid w:val="703952DE"/>
    <w:rsid w:val="70500481"/>
    <w:rsid w:val="706A175E"/>
    <w:rsid w:val="70791B2A"/>
    <w:rsid w:val="707A0C6D"/>
    <w:rsid w:val="70930CED"/>
    <w:rsid w:val="70FC3F1B"/>
    <w:rsid w:val="713D0867"/>
    <w:rsid w:val="713E3E9F"/>
    <w:rsid w:val="71EE03A8"/>
    <w:rsid w:val="72061142"/>
    <w:rsid w:val="72892AA3"/>
    <w:rsid w:val="72E52E26"/>
    <w:rsid w:val="731206D6"/>
    <w:rsid w:val="73176197"/>
    <w:rsid w:val="73C777F4"/>
    <w:rsid w:val="743E76ED"/>
    <w:rsid w:val="74B735D1"/>
    <w:rsid w:val="751F633A"/>
    <w:rsid w:val="75306A15"/>
    <w:rsid w:val="754C6ACB"/>
    <w:rsid w:val="75502AD0"/>
    <w:rsid w:val="755518A8"/>
    <w:rsid w:val="7568714C"/>
    <w:rsid w:val="75976DB7"/>
    <w:rsid w:val="75C60CC2"/>
    <w:rsid w:val="75DA7DA2"/>
    <w:rsid w:val="76374845"/>
    <w:rsid w:val="76AB07F4"/>
    <w:rsid w:val="76B137A7"/>
    <w:rsid w:val="77952DB1"/>
    <w:rsid w:val="77A51243"/>
    <w:rsid w:val="77A716E0"/>
    <w:rsid w:val="77CF6342"/>
    <w:rsid w:val="77DB7492"/>
    <w:rsid w:val="77ED5DE9"/>
    <w:rsid w:val="784A0EBE"/>
    <w:rsid w:val="7881670F"/>
    <w:rsid w:val="78975F0F"/>
    <w:rsid w:val="789A7FD8"/>
    <w:rsid w:val="79546087"/>
    <w:rsid w:val="797708DF"/>
    <w:rsid w:val="79866D4E"/>
    <w:rsid w:val="79A94FC1"/>
    <w:rsid w:val="79C2675A"/>
    <w:rsid w:val="7A1117AF"/>
    <w:rsid w:val="7A1F4989"/>
    <w:rsid w:val="7A4F7D1A"/>
    <w:rsid w:val="7AA037BD"/>
    <w:rsid w:val="7AE818D5"/>
    <w:rsid w:val="7B0D0894"/>
    <w:rsid w:val="7B537601"/>
    <w:rsid w:val="7B5676F6"/>
    <w:rsid w:val="7B5B087E"/>
    <w:rsid w:val="7BAE70F8"/>
    <w:rsid w:val="7BE003C0"/>
    <w:rsid w:val="7C240658"/>
    <w:rsid w:val="7C2A5721"/>
    <w:rsid w:val="7C6052FE"/>
    <w:rsid w:val="7C9C12EE"/>
    <w:rsid w:val="7D24006B"/>
    <w:rsid w:val="7D2B1A1F"/>
    <w:rsid w:val="7D676CB8"/>
    <w:rsid w:val="7DB37C3C"/>
    <w:rsid w:val="7DEC3CFB"/>
    <w:rsid w:val="7E1538E0"/>
    <w:rsid w:val="7E2F755C"/>
    <w:rsid w:val="7E4A7B46"/>
    <w:rsid w:val="7E5527E2"/>
    <w:rsid w:val="7E6A5834"/>
    <w:rsid w:val="7E6E75F2"/>
    <w:rsid w:val="7E981B3F"/>
    <w:rsid w:val="7ECB7488"/>
    <w:rsid w:val="7EDB3391"/>
    <w:rsid w:val="7F5E00C3"/>
    <w:rsid w:val="7FC229EF"/>
    <w:rsid w:val="7FC6037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99" w:semiHidden="0"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sdException w:uiPriority="99"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locked/>
    <w:uiPriority w:val="0"/>
    <w:pPr>
      <w:keepNext/>
      <w:keepLines/>
      <w:spacing w:line="560" w:lineRule="exact"/>
      <w:jc w:val="center"/>
      <w:outlineLvl w:val="0"/>
    </w:pPr>
    <w:rPr>
      <w:rFonts w:eastAsia="方正小标宋_GBK"/>
      <w:kern w:val="44"/>
      <w:sz w:val="44"/>
    </w:rPr>
  </w:style>
  <w:style w:type="paragraph" w:styleId="2">
    <w:name w:val="heading 2"/>
    <w:basedOn w:val="1"/>
    <w:next w:val="1"/>
    <w:qFormat/>
    <w:locked/>
    <w:uiPriority w:val="0"/>
    <w:pPr>
      <w:spacing w:line="560" w:lineRule="exact"/>
      <w:ind w:firstLine="200" w:firstLineChars="200"/>
      <w:outlineLvl w:val="1"/>
    </w:pPr>
    <w:rPr>
      <w:rFonts w:eastAsia="黑体"/>
      <w:bCs/>
      <w:sz w:val="32"/>
      <w:szCs w:val="32"/>
    </w:rPr>
  </w:style>
  <w:style w:type="character" w:default="1" w:styleId="15">
    <w:name w:val="Default Paragraph Font"/>
    <w:semiHidden/>
    <w:unhideWhenUsed/>
    <w:uiPriority w:val="1"/>
  </w:style>
  <w:style w:type="table" w:default="1" w:styleId="14">
    <w:name w:val="Normal Table"/>
    <w:semiHidden/>
    <w:unhideWhenUsed/>
    <w:qFormat/>
    <w:uiPriority w:val="99"/>
    <w:tblPr>
      <w:tblLayout w:type="fixed"/>
      <w:tblCellMar>
        <w:top w:w="0" w:type="dxa"/>
        <w:left w:w="108" w:type="dxa"/>
        <w:bottom w:w="0" w:type="dxa"/>
        <w:right w:w="108" w:type="dxa"/>
      </w:tblCellMar>
    </w:tblPr>
  </w:style>
  <w:style w:type="paragraph" w:styleId="4">
    <w:name w:val="index 8"/>
    <w:basedOn w:val="1"/>
    <w:next w:val="1"/>
    <w:qFormat/>
    <w:uiPriority w:val="99"/>
    <w:pPr>
      <w:ind w:left="1400" w:leftChars="1400"/>
    </w:pPr>
    <w:rPr>
      <w:rFonts w:ascii="Times New Roman" w:hAnsi="Times New Roman"/>
      <w:szCs w:val="24"/>
    </w:rPr>
  </w:style>
  <w:style w:type="paragraph" w:styleId="5">
    <w:name w:val="Normal Indent"/>
    <w:basedOn w:val="1"/>
    <w:next w:val="1"/>
    <w:qFormat/>
    <w:uiPriority w:val="0"/>
    <w:pPr>
      <w:adjustRightInd w:val="0"/>
      <w:snapToGrid w:val="0"/>
      <w:spacing w:line="600" w:lineRule="exact"/>
      <w:ind w:firstLine="420" w:firstLineChars="200"/>
    </w:pPr>
    <w:rPr>
      <w:rFonts w:eastAsia="方正仿宋_GBK"/>
      <w:sz w:val="32"/>
      <w:szCs w:val="24"/>
    </w:rPr>
  </w:style>
  <w:style w:type="paragraph" w:styleId="6">
    <w:name w:val="annotation text"/>
    <w:basedOn w:val="1"/>
    <w:link w:val="66"/>
    <w:semiHidden/>
    <w:unhideWhenUsed/>
    <w:qFormat/>
    <w:uiPriority w:val="99"/>
    <w:pPr>
      <w:jc w:val="left"/>
    </w:pPr>
  </w:style>
  <w:style w:type="paragraph" w:styleId="7">
    <w:name w:val="Body Text"/>
    <w:basedOn w:val="1"/>
    <w:next w:val="4"/>
    <w:qFormat/>
    <w:uiPriority w:val="0"/>
    <w:pPr>
      <w:spacing w:after="120"/>
    </w:pPr>
    <w:rPr>
      <w:szCs w:val="24"/>
    </w:rPr>
  </w:style>
  <w:style w:type="paragraph" w:styleId="8">
    <w:name w:val="Body Text Indent"/>
    <w:basedOn w:val="1"/>
    <w:link w:val="68"/>
    <w:qFormat/>
    <w:uiPriority w:val="0"/>
    <w:pPr>
      <w:spacing w:line="600" w:lineRule="exact"/>
      <w:ind w:firstLine="640" w:firstLineChars="200"/>
    </w:pPr>
    <w:rPr>
      <w:rFonts w:ascii="Times New Roman" w:hAnsi="Times New Roman" w:eastAsia="仿宋_GB2312"/>
      <w:sz w:val="32"/>
      <w:szCs w:val="24"/>
    </w:rPr>
  </w:style>
  <w:style w:type="paragraph" w:styleId="9">
    <w:name w:val="Balloon Text"/>
    <w:basedOn w:val="1"/>
    <w:link w:val="25"/>
    <w:semiHidden/>
    <w:qFormat/>
    <w:uiPriority w:val="99"/>
    <w:rPr>
      <w:sz w:val="18"/>
      <w:szCs w:val="18"/>
    </w:rPr>
  </w:style>
  <w:style w:type="paragraph" w:styleId="10">
    <w:name w:val="footer"/>
    <w:basedOn w:val="1"/>
    <w:link w:val="23"/>
    <w:qFormat/>
    <w:uiPriority w:val="99"/>
    <w:pPr>
      <w:tabs>
        <w:tab w:val="center" w:pos="4153"/>
        <w:tab w:val="right" w:pos="8306"/>
      </w:tabs>
      <w:snapToGrid w:val="0"/>
      <w:jc w:val="left"/>
    </w:pPr>
    <w:rPr>
      <w:sz w:val="18"/>
      <w:szCs w:val="18"/>
    </w:rPr>
  </w:style>
  <w:style w:type="paragraph" w:styleId="11">
    <w:name w:val="header"/>
    <w:basedOn w:val="1"/>
    <w:link w:val="22"/>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99"/>
    <w:pPr>
      <w:spacing w:before="30" w:after="30"/>
    </w:pPr>
    <w:rPr>
      <w:kern w:val="0"/>
      <w:sz w:val="24"/>
      <w:szCs w:val="24"/>
    </w:rPr>
  </w:style>
  <w:style w:type="paragraph" w:styleId="13">
    <w:name w:val="annotation subject"/>
    <w:basedOn w:val="6"/>
    <w:next w:val="6"/>
    <w:link w:val="67"/>
    <w:semiHidden/>
    <w:unhideWhenUsed/>
    <w:qFormat/>
    <w:uiPriority w:val="99"/>
    <w:rPr>
      <w:b/>
      <w:bCs/>
    </w:rPr>
  </w:style>
  <w:style w:type="character" w:styleId="16">
    <w:name w:val="Strong"/>
    <w:qFormat/>
    <w:locked/>
    <w:uiPriority w:val="0"/>
    <w:rPr>
      <w:b/>
      <w:bCs/>
    </w:rPr>
  </w:style>
  <w:style w:type="character" w:styleId="17">
    <w:name w:val="page number"/>
    <w:qFormat/>
    <w:uiPriority w:val="99"/>
    <w:rPr>
      <w:rFonts w:cs="Times New Roman"/>
    </w:rPr>
  </w:style>
  <w:style w:type="character" w:styleId="18">
    <w:name w:val="Emphasis"/>
    <w:qFormat/>
    <w:locked/>
    <w:uiPriority w:val="0"/>
    <w:rPr>
      <w:rFonts w:ascii="Calibri" w:hAnsi="Calibri" w:eastAsia="宋体" w:cs="Times New Roman"/>
    </w:rPr>
  </w:style>
  <w:style w:type="character" w:styleId="19">
    <w:name w:val="annotation reference"/>
    <w:basedOn w:val="15"/>
    <w:semiHidden/>
    <w:unhideWhenUsed/>
    <w:qFormat/>
    <w:uiPriority w:val="99"/>
    <w:rPr>
      <w:sz w:val="21"/>
      <w:szCs w:val="21"/>
    </w:rPr>
  </w:style>
  <w:style w:type="paragraph" w:customStyle="1" w:styleId="20">
    <w:name w:val="Normal Indent1"/>
    <w:basedOn w:val="1"/>
    <w:qFormat/>
    <w:uiPriority w:val="0"/>
    <w:pPr>
      <w:snapToGrid w:val="0"/>
      <w:spacing w:line="300" w:lineRule="auto"/>
      <w:ind w:firstLine="556"/>
    </w:pPr>
    <w:rPr>
      <w:rFonts w:ascii="仿宋_GB2312" w:eastAsia="仿宋_GB2312"/>
      <w:kern w:val="0"/>
      <w:szCs w:val="20"/>
    </w:rPr>
  </w:style>
  <w:style w:type="paragraph" w:customStyle="1" w:styleId="21">
    <w:name w:val="实施方案正文"/>
    <w:basedOn w:val="1"/>
    <w:qFormat/>
    <w:uiPriority w:val="0"/>
    <w:pPr>
      <w:ind w:firstLine="566" w:firstLineChars="202"/>
    </w:pPr>
    <w:rPr>
      <w:szCs w:val="28"/>
    </w:rPr>
  </w:style>
  <w:style w:type="character" w:customStyle="1" w:styleId="22">
    <w:name w:val="页眉 Char"/>
    <w:link w:val="11"/>
    <w:qFormat/>
    <w:locked/>
    <w:uiPriority w:val="99"/>
    <w:rPr>
      <w:rFonts w:cs="Times New Roman"/>
      <w:sz w:val="18"/>
      <w:szCs w:val="18"/>
    </w:rPr>
  </w:style>
  <w:style w:type="character" w:customStyle="1" w:styleId="23">
    <w:name w:val="页脚 Char"/>
    <w:link w:val="10"/>
    <w:qFormat/>
    <w:locked/>
    <w:uiPriority w:val="99"/>
    <w:rPr>
      <w:rFonts w:cs="Times New Roman"/>
      <w:sz w:val="18"/>
      <w:szCs w:val="18"/>
    </w:rPr>
  </w:style>
  <w:style w:type="paragraph" w:styleId="24">
    <w:name w:val="List Paragraph"/>
    <w:basedOn w:val="1"/>
    <w:qFormat/>
    <w:uiPriority w:val="0"/>
    <w:pPr>
      <w:ind w:firstLine="420" w:firstLineChars="200"/>
    </w:pPr>
  </w:style>
  <w:style w:type="character" w:customStyle="1" w:styleId="25">
    <w:name w:val="批注框文本 Char"/>
    <w:link w:val="9"/>
    <w:semiHidden/>
    <w:qFormat/>
    <w:locked/>
    <w:uiPriority w:val="99"/>
    <w:rPr>
      <w:rFonts w:cs="Times New Roman"/>
      <w:sz w:val="18"/>
      <w:szCs w:val="18"/>
    </w:rPr>
  </w:style>
  <w:style w:type="paragraph" w:styleId="26">
    <w:name w:val="No Spacing"/>
    <w:link w:val="27"/>
    <w:qFormat/>
    <w:uiPriority w:val="99"/>
    <w:rPr>
      <w:rFonts w:ascii="Calibri" w:hAnsi="Calibri" w:eastAsia="宋体" w:cs="Times New Roman"/>
      <w:sz w:val="22"/>
      <w:szCs w:val="22"/>
      <w:lang w:val="en-US" w:eastAsia="zh-CN" w:bidi="ar-SA"/>
    </w:rPr>
  </w:style>
  <w:style w:type="character" w:customStyle="1" w:styleId="27">
    <w:name w:val="无间隔 Char"/>
    <w:link w:val="26"/>
    <w:qFormat/>
    <w:locked/>
    <w:uiPriority w:val="99"/>
    <w:rPr>
      <w:rFonts w:cs="Times New Roman"/>
      <w:sz w:val="22"/>
      <w:szCs w:val="22"/>
      <w:lang w:val="en-US" w:eastAsia="zh-CN" w:bidi="ar-SA"/>
    </w:rPr>
  </w:style>
  <w:style w:type="paragraph" w:customStyle="1" w:styleId="28">
    <w:name w:val="Default"/>
    <w:qFormat/>
    <w:uiPriority w:val="0"/>
    <w:pPr>
      <w:widowControl w:val="0"/>
      <w:autoSpaceDE w:val="0"/>
      <w:autoSpaceDN w:val="0"/>
      <w:adjustRightInd w:val="0"/>
    </w:pPr>
    <w:rPr>
      <w:rFonts w:ascii="华文新魏" w:hAnsi="Calibri" w:eastAsia="华文新魏" w:cs="华文新魏"/>
      <w:color w:val="000000"/>
      <w:sz w:val="24"/>
      <w:szCs w:val="24"/>
      <w:lang w:val="en-US" w:eastAsia="zh-CN" w:bidi="ar-SA"/>
    </w:rPr>
  </w:style>
  <w:style w:type="paragraph" w:customStyle="1" w:styleId="29">
    <w:name w:val="msonormal"/>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0">
    <w:name w:val="font5"/>
    <w:basedOn w:val="1"/>
    <w:qFormat/>
    <w:uiPriority w:val="0"/>
    <w:pPr>
      <w:widowControl/>
      <w:spacing w:before="100" w:beforeAutospacing="1" w:after="100" w:afterAutospacing="1"/>
      <w:jc w:val="left"/>
    </w:pPr>
    <w:rPr>
      <w:rFonts w:ascii="Times New Roman" w:hAnsi="Times New Roman"/>
      <w:kern w:val="0"/>
      <w:sz w:val="22"/>
    </w:rPr>
  </w:style>
  <w:style w:type="paragraph" w:customStyle="1" w:styleId="31">
    <w:name w:val="font6"/>
    <w:basedOn w:val="1"/>
    <w:qFormat/>
    <w:uiPriority w:val="0"/>
    <w:pPr>
      <w:widowControl/>
      <w:spacing w:before="100" w:beforeAutospacing="1" w:after="100" w:afterAutospacing="1"/>
      <w:jc w:val="left"/>
    </w:pPr>
    <w:rPr>
      <w:rFonts w:ascii="方正小标宋简体" w:hAnsi="宋体" w:eastAsia="方正小标宋简体" w:cs="宋体"/>
      <w:kern w:val="0"/>
      <w:sz w:val="72"/>
      <w:szCs w:val="72"/>
    </w:rPr>
  </w:style>
  <w:style w:type="paragraph" w:customStyle="1" w:styleId="32">
    <w:name w:val="font7"/>
    <w:basedOn w:val="1"/>
    <w:qFormat/>
    <w:uiPriority w:val="0"/>
    <w:pPr>
      <w:widowControl/>
      <w:spacing w:before="100" w:beforeAutospacing="1" w:after="100" w:afterAutospacing="1"/>
      <w:jc w:val="left"/>
    </w:pPr>
    <w:rPr>
      <w:rFonts w:ascii="Times New Roman" w:hAnsi="Times New Roman"/>
      <w:kern w:val="0"/>
      <w:sz w:val="72"/>
      <w:szCs w:val="72"/>
    </w:rPr>
  </w:style>
  <w:style w:type="paragraph" w:customStyle="1" w:styleId="33">
    <w:name w:val="font8"/>
    <w:basedOn w:val="1"/>
    <w:qFormat/>
    <w:uiPriority w:val="0"/>
    <w:pPr>
      <w:widowControl/>
      <w:spacing w:before="100" w:beforeAutospacing="1" w:after="100" w:afterAutospacing="1"/>
      <w:jc w:val="left"/>
    </w:pPr>
    <w:rPr>
      <w:rFonts w:ascii="Times New Roman" w:hAnsi="Times New Roman"/>
      <w:b/>
      <w:bCs/>
      <w:kern w:val="0"/>
      <w:sz w:val="22"/>
    </w:rPr>
  </w:style>
  <w:style w:type="paragraph" w:customStyle="1" w:styleId="34">
    <w:name w:val="font9"/>
    <w:basedOn w:val="1"/>
    <w:qFormat/>
    <w:uiPriority w:val="0"/>
    <w:pPr>
      <w:widowControl/>
      <w:spacing w:before="100" w:beforeAutospacing="1" w:after="100" w:afterAutospacing="1"/>
      <w:jc w:val="left"/>
    </w:pPr>
    <w:rPr>
      <w:rFonts w:ascii="仿宋_GB2312" w:hAnsi="宋体" w:eastAsia="仿宋_GB2312" w:cs="宋体"/>
      <w:kern w:val="0"/>
      <w:sz w:val="22"/>
    </w:rPr>
  </w:style>
  <w:style w:type="paragraph" w:customStyle="1" w:styleId="35">
    <w:name w:val="font10"/>
    <w:basedOn w:val="1"/>
    <w:qFormat/>
    <w:uiPriority w:val="0"/>
    <w:pPr>
      <w:widowControl/>
      <w:spacing w:before="100" w:beforeAutospacing="1" w:after="100" w:afterAutospacing="1"/>
      <w:jc w:val="left"/>
    </w:pPr>
    <w:rPr>
      <w:rFonts w:ascii="黑体" w:hAnsi="黑体" w:eastAsia="黑体" w:cs="宋体"/>
      <w:b/>
      <w:bCs/>
      <w:kern w:val="0"/>
      <w:sz w:val="22"/>
    </w:rPr>
  </w:style>
  <w:style w:type="paragraph" w:customStyle="1" w:styleId="36">
    <w:name w:val="font11"/>
    <w:basedOn w:val="1"/>
    <w:qFormat/>
    <w:uiPriority w:val="0"/>
    <w:pPr>
      <w:widowControl/>
      <w:spacing w:before="100" w:beforeAutospacing="1" w:after="100" w:afterAutospacing="1"/>
      <w:jc w:val="left"/>
    </w:pPr>
    <w:rPr>
      <w:rFonts w:ascii="宋体" w:hAnsi="宋体" w:cs="宋体"/>
      <w:b/>
      <w:bCs/>
      <w:kern w:val="0"/>
      <w:sz w:val="22"/>
    </w:rPr>
  </w:style>
  <w:style w:type="paragraph" w:customStyle="1" w:styleId="37">
    <w:name w:val="font12"/>
    <w:basedOn w:val="1"/>
    <w:qFormat/>
    <w:uiPriority w:val="0"/>
    <w:pPr>
      <w:widowControl/>
      <w:spacing w:before="100" w:beforeAutospacing="1" w:after="100" w:afterAutospacing="1"/>
      <w:jc w:val="left"/>
    </w:pPr>
    <w:rPr>
      <w:rFonts w:ascii="宋体" w:hAnsi="宋体" w:cs="宋体"/>
      <w:kern w:val="0"/>
      <w:sz w:val="22"/>
    </w:rPr>
  </w:style>
  <w:style w:type="paragraph" w:customStyle="1" w:styleId="38">
    <w:name w:val="xl65"/>
    <w:basedOn w:val="1"/>
    <w:qFormat/>
    <w:uiPriority w:val="0"/>
    <w:pPr>
      <w:widowControl/>
      <w:spacing w:before="100" w:beforeAutospacing="1" w:after="100" w:afterAutospacing="1"/>
      <w:jc w:val="left"/>
    </w:pPr>
    <w:rPr>
      <w:rFonts w:ascii="Times New Roman" w:hAnsi="Times New Roman"/>
      <w:kern w:val="0"/>
      <w:sz w:val="24"/>
      <w:szCs w:val="24"/>
    </w:rPr>
  </w:style>
  <w:style w:type="paragraph" w:customStyle="1" w:styleId="39">
    <w:name w:val="xl66"/>
    <w:basedOn w:val="1"/>
    <w:qFormat/>
    <w:uiPriority w:val="0"/>
    <w:pPr>
      <w:widowControl/>
      <w:spacing w:before="100" w:beforeAutospacing="1" w:after="100" w:afterAutospacing="1"/>
      <w:jc w:val="left"/>
      <w:textAlignment w:val="center"/>
    </w:pPr>
    <w:rPr>
      <w:rFonts w:ascii="Times New Roman" w:hAnsi="Times New Roman"/>
      <w:kern w:val="0"/>
      <w:sz w:val="24"/>
      <w:szCs w:val="24"/>
    </w:rPr>
  </w:style>
  <w:style w:type="paragraph" w:customStyle="1" w:styleId="40">
    <w:name w:val="xl67"/>
    <w:basedOn w:val="1"/>
    <w:qFormat/>
    <w:uiPriority w:val="0"/>
    <w:pPr>
      <w:widowControl/>
      <w:spacing w:before="100" w:beforeAutospacing="1" w:after="100" w:afterAutospacing="1"/>
      <w:jc w:val="left"/>
    </w:pPr>
    <w:rPr>
      <w:rFonts w:ascii="Times New Roman" w:hAnsi="Times New Roman"/>
      <w:kern w:val="0"/>
      <w:sz w:val="24"/>
      <w:szCs w:val="24"/>
    </w:rPr>
  </w:style>
  <w:style w:type="paragraph" w:customStyle="1" w:styleId="41">
    <w:name w:val="xl68"/>
    <w:basedOn w:val="1"/>
    <w:qFormat/>
    <w:uiPriority w:val="0"/>
    <w:pPr>
      <w:widowControl/>
      <w:spacing w:before="100" w:beforeAutospacing="1" w:after="100" w:afterAutospacing="1"/>
      <w:jc w:val="left"/>
    </w:pPr>
    <w:rPr>
      <w:rFonts w:ascii="Times New Roman" w:hAnsi="Times New Roman"/>
      <w:kern w:val="0"/>
      <w:sz w:val="24"/>
      <w:szCs w:val="24"/>
    </w:rPr>
  </w:style>
  <w:style w:type="paragraph" w:customStyle="1" w:styleId="42">
    <w:name w:val="xl69"/>
    <w:basedOn w:val="1"/>
    <w:qFormat/>
    <w:uiPriority w:val="0"/>
    <w:pPr>
      <w:widowControl/>
      <w:spacing w:before="100" w:beforeAutospacing="1" w:after="100" w:afterAutospacing="1"/>
      <w:jc w:val="center"/>
      <w:textAlignment w:val="center"/>
    </w:pPr>
    <w:rPr>
      <w:rFonts w:ascii="Times New Roman" w:hAnsi="Times New Roman"/>
      <w:kern w:val="0"/>
      <w:sz w:val="56"/>
      <w:szCs w:val="56"/>
    </w:rPr>
  </w:style>
  <w:style w:type="paragraph" w:customStyle="1" w:styleId="43">
    <w:name w:val="xl70"/>
    <w:basedOn w:val="1"/>
    <w:qFormat/>
    <w:uiPriority w:val="0"/>
    <w:pPr>
      <w:widowControl/>
      <w:spacing w:before="100" w:beforeAutospacing="1" w:after="100" w:afterAutospacing="1"/>
      <w:jc w:val="left"/>
      <w:textAlignment w:val="center"/>
    </w:pPr>
    <w:rPr>
      <w:rFonts w:ascii="Times New Roman" w:hAnsi="Times New Roman"/>
      <w:kern w:val="0"/>
      <w:sz w:val="56"/>
      <w:szCs w:val="56"/>
    </w:rPr>
  </w:style>
  <w:style w:type="paragraph" w:customStyle="1" w:styleId="44">
    <w:name w:val="xl71"/>
    <w:basedOn w:val="1"/>
    <w:qFormat/>
    <w:uiPriority w:val="0"/>
    <w:pPr>
      <w:widowControl/>
      <w:spacing w:before="100" w:beforeAutospacing="1" w:after="100" w:afterAutospacing="1"/>
      <w:jc w:val="center"/>
      <w:textAlignment w:val="center"/>
    </w:pPr>
    <w:rPr>
      <w:rFonts w:ascii="Times New Roman" w:hAnsi="Times New Roman"/>
      <w:b/>
      <w:bCs/>
      <w:kern w:val="0"/>
      <w:sz w:val="24"/>
      <w:szCs w:val="24"/>
    </w:rPr>
  </w:style>
  <w:style w:type="paragraph" w:customStyle="1" w:styleId="45">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b/>
      <w:bCs/>
      <w:kern w:val="0"/>
      <w:sz w:val="24"/>
      <w:szCs w:val="24"/>
    </w:rPr>
  </w:style>
  <w:style w:type="paragraph" w:customStyle="1" w:styleId="46">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b/>
      <w:bCs/>
      <w:kern w:val="0"/>
      <w:sz w:val="24"/>
      <w:szCs w:val="24"/>
    </w:rPr>
  </w:style>
  <w:style w:type="paragraph" w:customStyle="1" w:styleId="47">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kern w:val="0"/>
      <w:sz w:val="24"/>
      <w:szCs w:val="24"/>
    </w:rPr>
  </w:style>
  <w:style w:type="paragraph" w:customStyle="1" w:styleId="48">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kern w:val="0"/>
      <w:sz w:val="24"/>
      <w:szCs w:val="24"/>
    </w:rPr>
  </w:style>
  <w:style w:type="paragraph" w:customStyle="1" w:styleId="49">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仿宋_GB2312" w:hAnsi="宋体" w:eastAsia="仿宋_GB2312" w:cs="宋体"/>
      <w:kern w:val="0"/>
      <w:sz w:val="24"/>
      <w:szCs w:val="24"/>
    </w:rPr>
  </w:style>
  <w:style w:type="paragraph" w:customStyle="1" w:styleId="50">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kern w:val="0"/>
      <w:sz w:val="24"/>
      <w:szCs w:val="24"/>
    </w:rPr>
  </w:style>
  <w:style w:type="paragraph" w:customStyle="1" w:styleId="51">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kern w:val="0"/>
      <w:sz w:val="24"/>
      <w:szCs w:val="24"/>
    </w:rPr>
  </w:style>
  <w:style w:type="paragraph" w:customStyle="1" w:styleId="52">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kern w:val="0"/>
      <w:sz w:val="24"/>
      <w:szCs w:val="24"/>
    </w:rPr>
  </w:style>
  <w:style w:type="paragraph" w:customStyle="1" w:styleId="53">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b/>
      <w:bCs/>
      <w:kern w:val="0"/>
      <w:sz w:val="24"/>
      <w:szCs w:val="24"/>
    </w:rPr>
  </w:style>
  <w:style w:type="paragraph" w:customStyle="1" w:styleId="54">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kern w:val="0"/>
      <w:sz w:val="24"/>
      <w:szCs w:val="24"/>
    </w:rPr>
  </w:style>
  <w:style w:type="paragraph" w:customStyle="1" w:styleId="55">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kern w:val="0"/>
      <w:sz w:val="24"/>
      <w:szCs w:val="24"/>
    </w:rPr>
  </w:style>
  <w:style w:type="paragraph" w:customStyle="1" w:styleId="56">
    <w:name w:val="xl83"/>
    <w:basedOn w:val="1"/>
    <w:qFormat/>
    <w:uiPriority w:val="0"/>
    <w:pPr>
      <w:widowControl/>
      <w:spacing w:before="100" w:beforeAutospacing="1" w:after="100" w:afterAutospacing="1"/>
      <w:jc w:val="center"/>
      <w:textAlignment w:val="center"/>
    </w:pPr>
    <w:rPr>
      <w:rFonts w:ascii="Times New Roman" w:hAnsi="Times New Roman"/>
      <w:kern w:val="0"/>
      <w:sz w:val="72"/>
      <w:szCs w:val="72"/>
    </w:rPr>
  </w:style>
  <w:style w:type="paragraph" w:customStyle="1" w:styleId="57">
    <w:name w:val="xl84"/>
    <w:basedOn w:val="1"/>
    <w:qFormat/>
    <w:uiPriority w:val="0"/>
    <w:pPr>
      <w:widowControl/>
      <w:spacing w:before="100" w:beforeAutospacing="1" w:after="100" w:afterAutospacing="1"/>
      <w:jc w:val="left"/>
      <w:textAlignment w:val="center"/>
    </w:pPr>
    <w:rPr>
      <w:rFonts w:ascii="Times New Roman" w:hAnsi="Times New Roman"/>
      <w:kern w:val="0"/>
      <w:sz w:val="72"/>
      <w:szCs w:val="72"/>
    </w:rPr>
  </w:style>
  <w:style w:type="paragraph" w:customStyle="1" w:styleId="58">
    <w:name w:val="xl85"/>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Times New Roman" w:hAnsi="Times New Roman"/>
      <w:b/>
      <w:bCs/>
      <w:kern w:val="0"/>
      <w:sz w:val="24"/>
      <w:szCs w:val="24"/>
    </w:rPr>
  </w:style>
  <w:style w:type="paragraph" w:customStyle="1" w:styleId="59">
    <w:name w:val="xl86"/>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Times New Roman" w:hAnsi="Times New Roman"/>
      <w:b/>
      <w:bCs/>
      <w:kern w:val="0"/>
      <w:sz w:val="24"/>
      <w:szCs w:val="24"/>
    </w:rPr>
  </w:style>
  <w:style w:type="paragraph" w:customStyle="1" w:styleId="60">
    <w:name w:val="xl87"/>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Times New Roman" w:hAnsi="Times New Roman"/>
      <w:b/>
      <w:bCs/>
      <w:kern w:val="0"/>
      <w:sz w:val="24"/>
      <w:szCs w:val="24"/>
    </w:rPr>
  </w:style>
  <w:style w:type="paragraph" w:customStyle="1" w:styleId="61">
    <w:name w:val="xl88"/>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Times New Roman" w:hAnsi="Times New Roman"/>
      <w:b/>
      <w:bCs/>
      <w:kern w:val="0"/>
      <w:sz w:val="24"/>
      <w:szCs w:val="24"/>
    </w:rPr>
  </w:style>
  <w:style w:type="paragraph" w:customStyle="1" w:styleId="62">
    <w:name w:val="xl89"/>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Times New Roman" w:hAnsi="Times New Roman"/>
      <w:b/>
      <w:bCs/>
      <w:kern w:val="0"/>
      <w:sz w:val="24"/>
      <w:szCs w:val="24"/>
    </w:rPr>
  </w:style>
  <w:style w:type="paragraph" w:customStyle="1" w:styleId="63">
    <w:name w:val="xl90"/>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Times New Roman" w:hAnsi="Times New Roman"/>
      <w:b/>
      <w:bCs/>
      <w:kern w:val="0"/>
      <w:sz w:val="24"/>
      <w:szCs w:val="24"/>
    </w:rPr>
  </w:style>
  <w:style w:type="paragraph" w:customStyle="1" w:styleId="64">
    <w:name w:val="xl9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黑体" w:hAnsi="黑体" w:eastAsia="黑体" w:cs="宋体"/>
      <w:b/>
      <w:bCs/>
      <w:kern w:val="0"/>
      <w:sz w:val="24"/>
      <w:szCs w:val="24"/>
    </w:rPr>
  </w:style>
  <w:style w:type="paragraph" w:customStyle="1" w:styleId="65">
    <w:name w:val="xl92"/>
    <w:basedOn w:val="1"/>
    <w:qFormat/>
    <w:uiPriority w:val="0"/>
    <w:pPr>
      <w:widowControl/>
      <w:spacing w:before="100" w:beforeAutospacing="1" w:after="100" w:afterAutospacing="1"/>
      <w:jc w:val="center"/>
      <w:textAlignment w:val="center"/>
    </w:pPr>
    <w:rPr>
      <w:rFonts w:ascii="方正小标宋简体" w:hAnsi="宋体" w:eastAsia="方正小标宋简体" w:cs="宋体"/>
      <w:kern w:val="0"/>
      <w:sz w:val="72"/>
      <w:szCs w:val="72"/>
    </w:rPr>
  </w:style>
  <w:style w:type="character" w:customStyle="1" w:styleId="66">
    <w:name w:val="批注文字 Char"/>
    <w:basedOn w:val="15"/>
    <w:link w:val="6"/>
    <w:semiHidden/>
    <w:qFormat/>
    <w:uiPriority w:val="99"/>
    <w:rPr>
      <w:kern w:val="2"/>
      <w:sz w:val="21"/>
      <w:szCs w:val="22"/>
    </w:rPr>
  </w:style>
  <w:style w:type="character" w:customStyle="1" w:styleId="67">
    <w:name w:val="批注主题 Char"/>
    <w:basedOn w:val="66"/>
    <w:link w:val="13"/>
    <w:semiHidden/>
    <w:qFormat/>
    <w:uiPriority w:val="99"/>
    <w:rPr>
      <w:b/>
      <w:bCs/>
      <w:kern w:val="2"/>
      <w:sz w:val="21"/>
      <w:szCs w:val="22"/>
    </w:rPr>
  </w:style>
  <w:style w:type="character" w:customStyle="1" w:styleId="68">
    <w:name w:val="正文文本缩进 Char"/>
    <w:basedOn w:val="15"/>
    <w:link w:val="8"/>
    <w:qFormat/>
    <w:uiPriority w:val="0"/>
    <w:rPr>
      <w:rFonts w:ascii="Times New Roman" w:hAnsi="Times New Roman" w:eastAsia="仿宋_GB2312"/>
      <w:kern w:val="2"/>
      <w:sz w:val="32"/>
      <w:szCs w:val="24"/>
    </w:rPr>
  </w:style>
  <w:style w:type="character" w:customStyle="1" w:styleId="69">
    <w:name w:val="公文正文"/>
    <w:basedOn w:val="15"/>
    <w:qFormat/>
    <w:uiPriority w:val="0"/>
    <w:rPr>
      <w:rFonts w:eastAsia="仿宋_GB2312" w:cs="Times New Roman"/>
      <w:sz w:val="32"/>
    </w:rPr>
  </w:style>
  <w:style w:type="character" w:customStyle="1" w:styleId="70">
    <w:name w:val="NormalCharacter"/>
    <w:qFormat/>
    <w:uiPriority w:val="0"/>
  </w:style>
  <w:style w:type="paragraph" w:customStyle="1" w:styleId="71">
    <w:name w:val="样式1"/>
    <w:basedOn w:val="1"/>
    <w:qFormat/>
    <w:uiPriority w:val="0"/>
    <w:pPr>
      <w:pBdr>
        <w:bottom w:val="single" w:color="FFFFFF" w:sz="4" w:space="31"/>
      </w:pBdr>
      <w:tabs>
        <w:tab w:val="left" w:pos="7140"/>
      </w:tabs>
      <w:spacing w:line="560" w:lineRule="exact"/>
      <w:ind w:firstLine="640" w:firstLineChars="200"/>
    </w:pPr>
    <w:rPr>
      <w:rFonts w:ascii="Times New Roman" w:hAnsi="Times New Roman" w:eastAsia="仿宋_GB2312"/>
      <w:snapToGrid w:val="0"/>
      <w:color w:val="000000" w:themeColor="text1"/>
      <w:sz w:val="32"/>
      <w:szCs w:val="32"/>
    </w:rPr>
  </w:style>
</w:styles>
</file>

<file path=word/_rels/document.xml.rels><?xml version="1.0" encoding="UTF-8" standalone="yes"?>
<Relationships xmlns="http://schemas.openxmlformats.org/package/2006/relationships"><Relationship Id="rId9" Type="http://schemas.openxmlformats.org/officeDocument/2006/relationships/chart" Target="charts/chart3.xml"/><Relationship Id="rId8" Type="http://schemas.openxmlformats.org/officeDocument/2006/relationships/chart" Target="charts/chart2.xml"/><Relationship Id="rId7" Type="http://schemas.openxmlformats.org/officeDocument/2006/relationships/chart" Target="charts/chart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sz="1050"/>
              <a:t>图</a:t>
            </a:r>
            <a:r>
              <a:rPr lang="en-US" altLang="zh-CN" sz="1050"/>
              <a:t>1 </a:t>
            </a:r>
            <a:r>
              <a:rPr altLang="en-US" sz="1050"/>
              <a:t>：</a:t>
            </a:r>
            <a:r>
              <a:rPr sz="1050"/>
              <a:t>各行业投资推进情况</a:t>
            </a:r>
            <a:endParaRPr sz="105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项目数（个）</c:v>
                </c:pt>
              </c:strCache>
            </c:strRef>
          </c:tx>
          <c:spPr>
            <a:solidFill>
              <a:schemeClr val="accent1"/>
            </a:solidFill>
            <a:ln>
              <a:noFill/>
            </a:ln>
            <a:effectLst/>
          </c:spPr>
          <c:invertIfNegative val="0"/>
          <c:dLbls>
            <c:delete val="1"/>
          </c:dLbls>
          <c:cat>
            <c:strRef>
              <c:f>Sheet1!$A$2:$A$8</c:f>
              <c:strCache>
                <c:ptCount val="7"/>
                <c:pt idx="0">
                  <c:v>乡村振兴</c:v>
                </c:pt>
                <c:pt idx="1">
                  <c:v>水利基础设施</c:v>
                </c:pt>
                <c:pt idx="2">
                  <c:v>生态环保</c:v>
                </c:pt>
                <c:pt idx="3">
                  <c:v>教育基础设施</c:v>
                </c:pt>
                <c:pt idx="4">
                  <c:v>社会民生</c:v>
                </c:pt>
                <c:pt idx="5">
                  <c:v>文化旅游</c:v>
                </c:pt>
                <c:pt idx="6">
                  <c:v>道路基础设施</c:v>
                </c:pt>
              </c:strCache>
            </c:strRef>
          </c:cat>
          <c:val>
            <c:numRef>
              <c:f>Sheet1!$B$2:$B$8</c:f>
              <c:numCache>
                <c:formatCode>General</c:formatCode>
                <c:ptCount val="7"/>
                <c:pt idx="0">
                  <c:v>5</c:v>
                </c:pt>
                <c:pt idx="1">
                  <c:v>5</c:v>
                </c:pt>
                <c:pt idx="2">
                  <c:v>9</c:v>
                </c:pt>
                <c:pt idx="3">
                  <c:v>21</c:v>
                </c:pt>
                <c:pt idx="4">
                  <c:v>5</c:v>
                </c:pt>
                <c:pt idx="5">
                  <c:v>5</c:v>
                </c:pt>
                <c:pt idx="6">
                  <c:v>44</c:v>
                </c:pt>
              </c:numCache>
            </c:numRef>
          </c:val>
        </c:ser>
        <c:ser>
          <c:idx val="1"/>
          <c:order val="1"/>
          <c:tx>
            <c:strRef>
              <c:f>Sheet1!$C$1</c:f>
              <c:strCache>
                <c:ptCount val="1"/>
                <c:pt idx="0">
                  <c:v>完成投资额（亿元）</c:v>
                </c:pt>
              </c:strCache>
            </c:strRef>
          </c:tx>
          <c:spPr>
            <a:solidFill>
              <a:schemeClr val="accent2"/>
            </a:solidFill>
            <a:ln>
              <a:noFill/>
            </a:ln>
            <a:effectLst/>
          </c:spPr>
          <c:invertIfNegative val="0"/>
          <c:dLbls>
            <c:delete val="1"/>
          </c:dLbls>
          <c:cat>
            <c:strRef>
              <c:f>Sheet1!$A$2:$A$8</c:f>
              <c:strCache>
                <c:ptCount val="7"/>
                <c:pt idx="0">
                  <c:v>乡村振兴</c:v>
                </c:pt>
                <c:pt idx="1">
                  <c:v>水利基础设施</c:v>
                </c:pt>
                <c:pt idx="2">
                  <c:v>生态环保</c:v>
                </c:pt>
                <c:pt idx="3">
                  <c:v>教育基础设施</c:v>
                </c:pt>
                <c:pt idx="4">
                  <c:v>社会民生</c:v>
                </c:pt>
                <c:pt idx="5">
                  <c:v>文化旅游</c:v>
                </c:pt>
                <c:pt idx="6">
                  <c:v>道路基础设施</c:v>
                </c:pt>
              </c:strCache>
            </c:strRef>
          </c:cat>
          <c:val>
            <c:numRef>
              <c:f>Sheet1!$C$2:$C$8</c:f>
              <c:numCache>
                <c:formatCode>General</c:formatCode>
                <c:ptCount val="7"/>
                <c:pt idx="0">
                  <c:v>0.36</c:v>
                </c:pt>
                <c:pt idx="1">
                  <c:v>0.85</c:v>
                </c:pt>
                <c:pt idx="2">
                  <c:v>1.17</c:v>
                </c:pt>
                <c:pt idx="3">
                  <c:v>2.89</c:v>
                </c:pt>
                <c:pt idx="4">
                  <c:v>0.015</c:v>
                </c:pt>
                <c:pt idx="5">
                  <c:v>8.79</c:v>
                </c:pt>
                <c:pt idx="6">
                  <c:v>4.16</c:v>
                </c:pt>
              </c:numCache>
            </c:numRef>
          </c:val>
        </c:ser>
        <c:ser>
          <c:idx val="2"/>
          <c:order val="2"/>
          <c:tx>
            <c:strRef>
              <c:f>Sheet1!$D$1</c:f>
              <c:strCache>
                <c:ptCount val="1"/>
                <c:pt idx="0">
                  <c:v>占年度投资额比重（%）</c:v>
                </c:pt>
              </c:strCache>
            </c:strRef>
          </c:tx>
          <c:spPr>
            <a:solidFill>
              <a:schemeClr val="accent3"/>
            </a:solidFill>
            <a:ln>
              <a:noFill/>
            </a:ln>
            <a:effectLst/>
          </c:spPr>
          <c:invertIfNegative val="0"/>
          <c:dLbls>
            <c:delete val="1"/>
          </c:dLbls>
          <c:cat>
            <c:strRef>
              <c:f>Sheet1!$A$2:$A$8</c:f>
              <c:strCache>
                <c:ptCount val="7"/>
                <c:pt idx="0">
                  <c:v>乡村振兴</c:v>
                </c:pt>
                <c:pt idx="1">
                  <c:v>水利基础设施</c:v>
                </c:pt>
                <c:pt idx="2">
                  <c:v>生态环保</c:v>
                </c:pt>
                <c:pt idx="3">
                  <c:v>教育基础设施</c:v>
                </c:pt>
                <c:pt idx="4">
                  <c:v>社会民生</c:v>
                </c:pt>
                <c:pt idx="5">
                  <c:v>文化旅游</c:v>
                </c:pt>
                <c:pt idx="6">
                  <c:v>道路基础设施</c:v>
                </c:pt>
              </c:strCache>
            </c:strRef>
          </c:cat>
          <c:val>
            <c:numRef>
              <c:f>Sheet1!$D$2:$D$8</c:f>
              <c:numCache>
                <c:formatCode>General</c:formatCode>
                <c:ptCount val="7"/>
                <c:pt idx="0">
                  <c:v>47.37</c:v>
                </c:pt>
                <c:pt idx="1">
                  <c:v>28.62</c:v>
                </c:pt>
                <c:pt idx="2">
                  <c:v>18.11</c:v>
                </c:pt>
                <c:pt idx="3">
                  <c:v>22.67</c:v>
                </c:pt>
                <c:pt idx="4">
                  <c:v>0.72</c:v>
                </c:pt>
                <c:pt idx="5">
                  <c:v>152</c:v>
                </c:pt>
                <c:pt idx="6">
                  <c:v>18.74</c:v>
                </c:pt>
              </c:numCache>
            </c:numRef>
          </c:val>
        </c:ser>
        <c:dLbls>
          <c:showLegendKey val="0"/>
          <c:showVal val="1"/>
          <c:showCatName val="0"/>
          <c:showSerName val="0"/>
          <c:showPercent val="0"/>
          <c:showBubbleSize val="0"/>
        </c:dLbls>
        <c:gapWidth val="150"/>
        <c:axId val="184731520"/>
        <c:axId val="184733056"/>
      </c:barChart>
      <c:catAx>
        <c:axId val="184731520"/>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84733056"/>
        <c:crosses val="autoZero"/>
        <c:auto val="1"/>
        <c:lblAlgn val="ctr"/>
        <c:lblOffset val="100"/>
        <c:noMultiLvlLbl val="0"/>
      </c:catAx>
      <c:valAx>
        <c:axId val="18473305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84731520"/>
        <c:crosses val="autoZero"/>
        <c:crossBetween val="between"/>
      </c:valAx>
      <c:dTable>
        <c:showHorzBorder val="1"/>
        <c:showVertBorder val="1"/>
        <c:showOutline val="1"/>
        <c:showKeys val="1"/>
        <c:spPr>
          <a:noFill/>
          <a:ln w="9525" cap="flat" cmpd="sng" algn="ctr">
            <a:solidFill>
              <a:schemeClr val="tx1">
                <a:lumMod val="15000"/>
                <a:lumOff val="85000"/>
              </a:schemeClr>
            </a:solidFill>
            <a:prstDash val="solid"/>
            <a:round/>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050" b="0" i="0" u="none" strike="noStrike" kern="1200" spc="0" baseline="0">
                <a:solidFill>
                  <a:schemeClr val="tx1">
                    <a:lumMod val="65000"/>
                    <a:lumOff val="35000"/>
                  </a:schemeClr>
                </a:solidFill>
                <a:latin typeface="+mn-lt"/>
                <a:ea typeface="+mn-ea"/>
                <a:cs typeface="+mn-cs"/>
              </a:defRPr>
            </a:pPr>
            <a:r>
              <a:rPr sz="1050"/>
              <a:t>图</a:t>
            </a:r>
            <a:r>
              <a:rPr lang="en-US" altLang="zh-CN" sz="1050"/>
              <a:t>2</a:t>
            </a:r>
            <a:r>
              <a:rPr altLang="en-US" sz="1050"/>
              <a:t>：</a:t>
            </a:r>
            <a:r>
              <a:rPr sz="1050"/>
              <a:t>资金引进情况</a:t>
            </a:r>
            <a:endParaRPr sz="1050"/>
          </a:p>
        </c:rich>
      </c:tx>
      <c:layout/>
      <c:overlay val="0"/>
      <c:spPr>
        <a:noFill/>
        <a:ln>
          <a:noFill/>
        </a:ln>
        <a:effectLst/>
      </c:spPr>
    </c:title>
    <c:autoTitleDeleted val="0"/>
    <c:plotArea>
      <c:layout/>
      <c:barChart>
        <c:barDir val="col"/>
        <c:grouping val="clustered"/>
        <c:varyColors val="0"/>
        <c:ser>
          <c:idx val="0"/>
          <c:order val="0"/>
          <c:tx>
            <c:strRef>
              <c:f>Sheet1!$B$6</c:f>
              <c:strCache>
                <c:ptCount val="1"/>
                <c:pt idx="0">
                  <c:v>项目（个）</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Sheet1!$A$7:$A$8</c:f>
              <c:strCache>
                <c:ptCount val="2"/>
                <c:pt idx="0">
                  <c:v>省外</c:v>
                </c:pt>
                <c:pt idx="1">
                  <c:v>市外</c:v>
                </c:pt>
              </c:strCache>
            </c:strRef>
          </c:cat>
          <c:val>
            <c:numRef>
              <c:f>Sheet1!$B$7:$B$8</c:f>
              <c:numCache>
                <c:formatCode>General</c:formatCode>
                <c:ptCount val="2"/>
                <c:pt idx="0">
                  <c:v>11</c:v>
                </c:pt>
                <c:pt idx="1">
                  <c:v>18</c:v>
                </c:pt>
              </c:numCache>
            </c:numRef>
          </c:val>
        </c:ser>
        <c:ser>
          <c:idx val="1"/>
          <c:order val="1"/>
          <c:tx>
            <c:strRef>
              <c:f>Sheet1!$C$6</c:f>
              <c:strCache>
                <c:ptCount val="1"/>
                <c:pt idx="0">
                  <c:v>资金（亿）</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Sheet1!$A$7:$A$8</c:f>
              <c:strCache>
                <c:ptCount val="2"/>
                <c:pt idx="0">
                  <c:v>省外</c:v>
                </c:pt>
                <c:pt idx="1">
                  <c:v>市外</c:v>
                </c:pt>
              </c:strCache>
            </c:strRef>
          </c:cat>
          <c:val>
            <c:numRef>
              <c:f>Sheet1!$C$7:$C$8</c:f>
              <c:numCache>
                <c:formatCode>General</c:formatCode>
                <c:ptCount val="2"/>
                <c:pt idx="0">
                  <c:v>67.2</c:v>
                </c:pt>
                <c:pt idx="1">
                  <c:v>68.18</c:v>
                </c:pt>
              </c:numCache>
            </c:numRef>
          </c:val>
        </c:ser>
        <c:dLbls>
          <c:showLegendKey val="0"/>
          <c:showVal val="1"/>
          <c:showCatName val="0"/>
          <c:showSerName val="0"/>
          <c:showPercent val="0"/>
          <c:showBubbleSize val="0"/>
        </c:dLbls>
        <c:gapWidth val="150"/>
        <c:overlap val="-25"/>
        <c:axId val="66365312"/>
        <c:axId val="66366848"/>
      </c:barChart>
      <c:catAx>
        <c:axId val="66365312"/>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750" b="0" i="0" u="none" strike="noStrike" kern="1200" baseline="0">
                <a:solidFill>
                  <a:schemeClr val="tx1">
                    <a:lumMod val="65000"/>
                    <a:lumOff val="35000"/>
                  </a:schemeClr>
                </a:solidFill>
                <a:latin typeface="+mn-lt"/>
                <a:ea typeface="+mn-ea"/>
                <a:cs typeface="+mn-cs"/>
              </a:defRPr>
            </a:pPr>
          </a:p>
        </c:txPr>
        <c:crossAx val="66366848"/>
        <c:crosses val="autoZero"/>
        <c:auto val="1"/>
        <c:lblAlgn val="ctr"/>
        <c:lblOffset val="100"/>
        <c:noMultiLvlLbl val="0"/>
      </c:catAx>
      <c:valAx>
        <c:axId val="66366848"/>
        <c:scaling>
          <c:orientation val="minMax"/>
        </c:scaling>
        <c:delete val="1"/>
        <c:axPos val="l"/>
        <c:numFmt formatCode="General" sourceLinked="1"/>
        <c:majorTickMark val="none"/>
        <c:minorTickMark val="none"/>
        <c:tickLblPos val="none"/>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66365312"/>
        <c:crosses val="autoZero"/>
        <c:crossBetween val="between"/>
      </c:valAx>
      <c:spPr>
        <a:noFill/>
        <a:ln>
          <a:noFill/>
        </a:ln>
        <a:effectLst/>
      </c:spPr>
    </c:plotArea>
    <c:legend>
      <c:legendPos val="t"/>
      <c:legendEntry>
        <c:idx val="0"/>
        <c:txPr>
          <a:bodyPr rot="0" spcFirstLastPara="0" vertOverflow="ellipsis" vert="horz" wrap="square" anchor="ctr" anchorCtr="1"/>
          <a:lstStyle/>
          <a:p>
            <a:pPr>
              <a:defRPr lang="zh-CN" sz="750" b="0" i="0" u="none" strike="noStrike" kern="1200" baseline="0">
                <a:solidFill>
                  <a:schemeClr val="tx1">
                    <a:lumMod val="65000"/>
                    <a:lumOff val="35000"/>
                  </a:schemeClr>
                </a:solidFill>
                <a:latin typeface="+mn-lt"/>
                <a:ea typeface="+mn-ea"/>
                <a:cs typeface="+mn-cs"/>
              </a:defRPr>
            </a:pPr>
          </a:p>
        </c:txPr>
      </c:legendEntry>
      <c:legendEntry>
        <c:idx val="1"/>
        <c:txPr>
          <a:bodyPr rot="0" spcFirstLastPara="0" vertOverflow="ellipsis" vert="horz" wrap="square" anchor="ctr" anchorCtr="1"/>
          <a:lstStyle/>
          <a:p>
            <a:pPr>
              <a:defRPr lang="zh-CN" sz="750" b="0" i="0" u="none" strike="noStrike" kern="1200" baseline="0">
                <a:solidFill>
                  <a:schemeClr val="tx1">
                    <a:lumMod val="65000"/>
                    <a:lumOff val="35000"/>
                  </a:schemeClr>
                </a:solidFill>
                <a:latin typeface="+mn-lt"/>
                <a:ea typeface="+mn-ea"/>
                <a:cs typeface="+mn-cs"/>
              </a:defRPr>
            </a:pPr>
          </a:p>
        </c:txPr>
      </c:legendEntry>
      <c:layout/>
      <c:overlay val="0"/>
      <c:spPr>
        <a:noFill/>
        <a:ln>
          <a:noFill/>
        </a:ln>
        <a:effectLst/>
      </c:spPr>
      <c:txPr>
        <a:bodyPr rot="0" spcFirstLastPara="0" vertOverflow="ellipsis" vert="horz" wrap="square" anchor="ctr" anchorCtr="1"/>
        <a:lstStyle/>
        <a:p>
          <a:pPr>
            <a:defRPr lang="zh-CN" sz="75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600" b="1" i="0" u="none" strike="noStrike" kern="1200" baseline="0">
                <a:solidFill>
                  <a:schemeClr val="tx2"/>
                </a:solidFill>
                <a:latin typeface="+mn-lt"/>
                <a:ea typeface="+mn-ea"/>
                <a:cs typeface="+mn-cs"/>
              </a:defRPr>
            </a:pPr>
            <a:r>
              <a:rPr sz="1050" b="0">
                <a:solidFill>
                  <a:sysClr val="windowText" lastClr="000000"/>
                </a:solidFill>
              </a:rPr>
              <a:t>图</a:t>
            </a:r>
            <a:r>
              <a:rPr lang="en-US" altLang="zh-CN" sz="1050" b="0">
                <a:solidFill>
                  <a:sysClr val="windowText" lastClr="000000"/>
                </a:solidFill>
              </a:rPr>
              <a:t>3</a:t>
            </a:r>
            <a:r>
              <a:rPr altLang="en-US" sz="1050" b="0">
                <a:solidFill>
                  <a:sysClr val="windowText" lastClr="000000"/>
                </a:solidFill>
              </a:rPr>
              <a:t>：</a:t>
            </a:r>
            <a:r>
              <a:rPr sz="1050" b="0">
                <a:solidFill>
                  <a:sysClr val="windowText" lastClr="000000"/>
                </a:solidFill>
              </a:rPr>
              <a:t>各级重大项目推进情况</a:t>
            </a:r>
            <a:endParaRPr sz="1050" b="0">
              <a:solidFill>
                <a:sysClr val="windowText" lastClr="000000"/>
              </a:solidFill>
            </a:endParaRPr>
          </a:p>
        </c:rich>
      </c:tx>
      <c:layout/>
      <c:overlay val="0"/>
      <c:spPr>
        <a:noFill/>
        <a:ln>
          <a:noFill/>
        </a:ln>
        <a:effectLst/>
      </c:spPr>
    </c:title>
    <c:autoTitleDeleted val="0"/>
    <c:plotArea>
      <c:layout/>
      <c:barChart>
        <c:barDir val="col"/>
        <c:grouping val="clustered"/>
        <c:varyColors val="0"/>
        <c:ser>
          <c:idx val="0"/>
          <c:order val="0"/>
          <c:tx>
            <c:strRef>
              <c:f>Sheet1!$B$7</c:f>
              <c:strCache>
                <c:ptCount val="1"/>
                <c:pt idx="0">
                  <c:v>项目（个）</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2"/>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2">
                          <a:lumMod val="35000"/>
                          <a:lumOff val="65000"/>
                        </a:schemeClr>
                      </a:solidFill>
                      <a:prstDash val="solid"/>
                      <a:round/>
                    </a:ln>
                    <a:effectLst/>
                  </c:spPr>
                </c15:leaderLines>
              </c:ext>
            </c:extLst>
          </c:dLbls>
          <c:cat>
            <c:strRef>
              <c:f>Sheet1!$A$8:$A$10</c:f>
              <c:strCache>
                <c:ptCount val="3"/>
                <c:pt idx="0">
                  <c:v>省级</c:v>
                </c:pt>
                <c:pt idx="1">
                  <c:v>市级</c:v>
                </c:pt>
                <c:pt idx="2">
                  <c:v>区级</c:v>
                </c:pt>
              </c:strCache>
            </c:strRef>
          </c:cat>
          <c:val>
            <c:numRef>
              <c:f>Sheet1!$B$8:$B$10</c:f>
              <c:numCache>
                <c:formatCode>General</c:formatCode>
                <c:ptCount val="3"/>
                <c:pt idx="0">
                  <c:v>4</c:v>
                </c:pt>
                <c:pt idx="1">
                  <c:v>52</c:v>
                </c:pt>
                <c:pt idx="2">
                  <c:v>45</c:v>
                </c:pt>
              </c:numCache>
            </c:numRef>
          </c:val>
        </c:ser>
        <c:ser>
          <c:idx val="1"/>
          <c:order val="1"/>
          <c:tx>
            <c:strRef>
              <c:f>Sheet1!$C$7</c:f>
              <c:strCache>
                <c:ptCount val="1"/>
                <c:pt idx="0">
                  <c:v>完成投资额（亿元）</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2"/>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2">
                          <a:lumMod val="35000"/>
                          <a:lumOff val="65000"/>
                        </a:schemeClr>
                      </a:solidFill>
                      <a:prstDash val="solid"/>
                      <a:round/>
                    </a:ln>
                    <a:effectLst/>
                  </c:spPr>
                </c15:leaderLines>
              </c:ext>
            </c:extLst>
          </c:dLbls>
          <c:cat>
            <c:strRef>
              <c:f>Sheet1!$A$8:$A$10</c:f>
              <c:strCache>
                <c:ptCount val="3"/>
                <c:pt idx="0">
                  <c:v>省级</c:v>
                </c:pt>
                <c:pt idx="1">
                  <c:v>市级</c:v>
                </c:pt>
                <c:pt idx="2">
                  <c:v>区级</c:v>
                </c:pt>
              </c:strCache>
            </c:strRef>
          </c:cat>
          <c:val>
            <c:numRef>
              <c:f>Sheet1!$C$8:$C$10</c:f>
              <c:numCache>
                <c:formatCode>General</c:formatCode>
                <c:ptCount val="3"/>
                <c:pt idx="0">
                  <c:v>9.88</c:v>
                </c:pt>
                <c:pt idx="1">
                  <c:v>147.06</c:v>
                </c:pt>
                <c:pt idx="2">
                  <c:v>144.7</c:v>
                </c:pt>
              </c:numCache>
            </c:numRef>
          </c:val>
        </c:ser>
        <c:ser>
          <c:idx val="2"/>
          <c:order val="2"/>
          <c:tx>
            <c:strRef>
              <c:f>Sheet1!$D$7</c:f>
              <c:strCache>
                <c:ptCount val="1"/>
                <c:pt idx="0">
                  <c:v>占年度投资额比重（%)</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2"/>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2">
                          <a:lumMod val="35000"/>
                          <a:lumOff val="65000"/>
                        </a:schemeClr>
                      </a:solidFill>
                      <a:prstDash val="solid"/>
                      <a:round/>
                    </a:ln>
                    <a:effectLst/>
                  </c:spPr>
                </c15:leaderLines>
              </c:ext>
            </c:extLst>
          </c:dLbls>
          <c:cat>
            <c:strRef>
              <c:f>Sheet1!$A$8:$A$10</c:f>
              <c:strCache>
                <c:ptCount val="3"/>
                <c:pt idx="0">
                  <c:v>省级</c:v>
                </c:pt>
                <c:pt idx="1">
                  <c:v>市级</c:v>
                </c:pt>
                <c:pt idx="2">
                  <c:v>区级</c:v>
                </c:pt>
              </c:strCache>
            </c:strRef>
          </c:cat>
          <c:val>
            <c:numRef>
              <c:f>Sheet1!$D$8:$D$10</c:f>
              <c:numCache>
                <c:formatCode>General</c:formatCode>
                <c:ptCount val="3"/>
                <c:pt idx="0">
                  <c:v>24.4</c:v>
                </c:pt>
                <c:pt idx="1">
                  <c:v>36.7</c:v>
                </c:pt>
                <c:pt idx="2">
                  <c:v>35.2</c:v>
                </c:pt>
              </c:numCache>
            </c:numRef>
          </c:val>
        </c:ser>
        <c:dLbls>
          <c:showLegendKey val="0"/>
          <c:showVal val="1"/>
          <c:showCatName val="0"/>
          <c:showSerName val="0"/>
          <c:showPercent val="0"/>
          <c:showBubbleSize val="0"/>
        </c:dLbls>
        <c:gapWidth val="150"/>
        <c:overlap val="-25"/>
        <c:axId val="66181760"/>
        <c:axId val="167125376"/>
      </c:barChart>
      <c:catAx>
        <c:axId val="66181760"/>
        <c:scaling>
          <c:orientation val="minMax"/>
        </c:scaling>
        <c:delete val="0"/>
        <c:axPos val="b"/>
        <c:majorTickMark val="none"/>
        <c:minorTickMark val="none"/>
        <c:tickLblPos val="nextTo"/>
        <c:spPr>
          <a:noFill/>
          <a:ln w="9525" cap="flat" cmpd="sng" algn="ctr">
            <a:solidFill>
              <a:schemeClr val="tx2">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2"/>
                </a:solidFill>
                <a:latin typeface="+mn-lt"/>
                <a:ea typeface="+mn-ea"/>
                <a:cs typeface="+mn-cs"/>
              </a:defRPr>
            </a:pPr>
          </a:p>
        </c:txPr>
        <c:crossAx val="167125376"/>
        <c:crosses val="autoZero"/>
        <c:auto val="1"/>
        <c:lblAlgn val="ctr"/>
        <c:lblOffset val="100"/>
        <c:noMultiLvlLbl val="0"/>
      </c:catAx>
      <c:valAx>
        <c:axId val="167125376"/>
        <c:scaling>
          <c:orientation val="minMax"/>
        </c:scaling>
        <c:delete val="1"/>
        <c:axPos val="l"/>
        <c:numFmt formatCode="General" sourceLinked="1"/>
        <c:majorTickMark val="none"/>
        <c:minorTickMark val="none"/>
        <c:tickLblPos val="none"/>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66181760"/>
        <c:crosses val="autoZero"/>
        <c:crossBetween val="between"/>
      </c:valAx>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2"/>
              </a:solidFill>
              <a:latin typeface="+mn-lt"/>
              <a:ea typeface="+mn-ea"/>
              <a:cs typeface="+mn-cs"/>
            </a:defRPr>
          </a:pPr>
        </a:p>
      </c:txPr>
    </c:legend>
    <c:plotVisOnly val="1"/>
    <c:dispBlanksAs val="gap"/>
    <c:showDLblsOverMax val="0"/>
  </c:chart>
  <c:spPr>
    <a:solidFill>
      <a:schemeClr val="bg1"/>
    </a:solidFill>
    <a:ln w="9525" cap="flat" cmpd="sng" algn="ctr">
      <a:solidFill>
        <a:schemeClr val="tx2">
          <a:lumMod val="15000"/>
          <a:lumOff val="85000"/>
        </a:scheme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Pages>
  <Words>2144</Words>
  <Characters>12221</Characters>
  <Lines>101</Lines>
  <Paragraphs>28</Paragraphs>
  <TotalTime>11</TotalTime>
  <ScaleCrop>false</ScaleCrop>
  <LinksUpToDate>false</LinksUpToDate>
  <CharactersWithSpaces>14337</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2020-05-15T04:47:00Z</dcterms:created>
  <dc:creator>Sky123.Org</dc:creator>
  <cp:lastModifiedBy>lenovo</cp:lastModifiedBy>
  <cp:lastPrinted>2020-07-17T01:46:00Z</cp:lastPrinted>
  <dcterms:modified xsi:type="dcterms:W3CDTF">2020-11-23T02:41:44Z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