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eastAsia="仿宋_GB2312" w:cs="Times New Roman"/>
          <w:sz w:val="32"/>
          <w:szCs w:val="32"/>
          <w:lang w:val="en-US" w:eastAsia="zh-CN"/>
        </w:rPr>
        <w:t>80</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701248"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4" name="直接连接符 4"/>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701248;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7ZgxLUAAAABwEAAA8AAAAAAAAAAQAgAAAAIgAAAGRycy9kb3du&#10;cmV2LnhtbFBLAQIUABQAAAAIAIdO4kAtj3fCAwIAAP0DAAAOAAAAAAAAAAEAIAAAACMBAABkcnMv&#10;ZTJvRG9jLnhtbFBLBQYAAAAABgAGAFkBAACYBQ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8</w:t>
      </w:r>
      <w:r>
        <w:rPr>
          <w:rFonts w:hint="default" w:ascii="Times New Roman" w:hAnsi="Times New Roman" w:eastAsia="仿宋_GB2312" w:cs="Times New Roman"/>
          <w:sz w:val="32"/>
          <w:szCs w:val="32"/>
        </w:rPr>
        <w:t>日</w:t>
      </w:r>
    </w:p>
    <w:p>
      <w:pPr>
        <w:widowControl/>
        <w:jc w:val="center"/>
        <w:rPr>
          <w:rFonts w:hint="default" w:ascii="Times New Roman" w:hAnsi="Times New Roman" w:eastAsia="黑体" w:cs="Times New Roman"/>
          <w:w w:val="90"/>
          <w:sz w:val="44"/>
          <w:szCs w:val="44"/>
        </w:rPr>
      </w:pPr>
    </w:p>
    <w:p>
      <w:pPr>
        <w:pStyle w:val="2"/>
        <w:rPr>
          <w:rFonts w:hint="default"/>
        </w:rPr>
      </w:pPr>
    </w:p>
    <w:p>
      <w:pPr>
        <w:keepNext w:val="0"/>
        <w:keepLines w:val="0"/>
        <w:pageBreakBefore w:val="0"/>
        <w:widowControl/>
        <w:kinsoku/>
        <w:wordWrap/>
        <w:overflowPunct/>
        <w:topLinePunct w:val="0"/>
        <w:autoSpaceDE/>
        <w:autoSpaceDN/>
        <w:bidi w:val="0"/>
        <w:adjustRightInd/>
        <w:snapToGrid/>
        <w:spacing w:line="590" w:lineRule="exact"/>
        <w:ind w:left="0" w:leftChars="0" w:right="0" w:right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开展急性心力衰竭诊治、规范使用急救药物</w:t>
      </w:r>
    </w:p>
    <w:p>
      <w:pPr>
        <w:keepNext w:val="0"/>
        <w:keepLines w:val="0"/>
        <w:pageBreakBefore w:val="0"/>
        <w:widowControl/>
        <w:kinsoku/>
        <w:wordWrap/>
        <w:overflowPunct/>
        <w:topLinePunct w:val="0"/>
        <w:autoSpaceDE/>
        <w:autoSpaceDN/>
        <w:bidi w:val="0"/>
        <w:adjustRightInd/>
        <w:snapToGrid/>
        <w:spacing w:line="590" w:lineRule="exact"/>
        <w:ind w:left="0" w:leftChars="0" w:right="0" w:right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培训会</w:t>
      </w:r>
    </w:p>
    <w:p>
      <w:pPr>
        <w:keepNext w:val="0"/>
        <w:keepLines w:val="0"/>
        <w:pageBreakBefore w:val="0"/>
        <w:widowControl/>
        <w:kinsoku/>
        <w:wordWrap/>
        <w:overflowPunct/>
        <w:topLinePunct w:val="0"/>
        <w:autoSpaceDE/>
        <w:autoSpaceDN/>
        <w:bidi w:val="0"/>
        <w:adjustRightInd/>
        <w:snapToGrid/>
        <w:spacing w:line="590" w:lineRule="exact"/>
        <w:ind w:left="0" w:leftChars="0" w:right="0" w:rightChars="0"/>
        <w:jc w:val="center"/>
        <w:textAlignment w:val="auto"/>
        <w:outlineLvl w:val="9"/>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为不断提高临床医师对心力衰竭患者的诊治能力，规范使用常用的急救药物，西山区福海社区卫生服务中心于2020年11月16日下午14时开展《急性心力衰竭诊治》《常用急救药物使用》培训会，特邀请云南省第二人民医院（即红会医院）急诊科杨春爱主任授课。</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培训会上杨主任分别从心衰的定义、分类、病因及诱因、临床表现、治疗原则以及中国心力衰竭现状和心衰规范诊疗的进展等方面做了详细的讲解，并给大家分享了心衰中心建设的经验，使大家认识到了心衰中心建设的重要意义。随着心衰中心建设的推进，医生将从“单打独斗”走向“多学科联合诊疗”，进一步规范心衰诊疗、提升心衰诊疗水平，优化配置医院资源，降低心衰患者复发率、住院率、死亡率，让心衰患者心脏功能得到恢复、回归社会、重新树立生活信心。</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42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color w:val="auto"/>
        </w:rPr>
        <w:drawing>
          <wp:anchor distT="0" distB="0" distL="114300" distR="114300" simplePos="0" relativeHeight="251703296" behindDoc="1" locked="0" layoutInCell="1" allowOverlap="1">
            <wp:simplePos x="0" y="0"/>
            <wp:positionH relativeFrom="column">
              <wp:posOffset>1804670</wp:posOffset>
            </wp:positionH>
            <wp:positionV relativeFrom="paragraph">
              <wp:posOffset>768350</wp:posOffset>
            </wp:positionV>
            <wp:extent cx="3837305" cy="2511425"/>
            <wp:effectExtent l="0" t="0" r="10795" b="60325"/>
            <wp:wrapTight wrapText="bothSides">
              <wp:wrapPolygon>
                <wp:start x="0" y="0"/>
                <wp:lineTo x="0" y="21463"/>
                <wp:lineTo x="21446" y="21463"/>
                <wp:lineTo x="21446" y="0"/>
                <wp:lineTo x="0" y="0"/>
              </wp:wrapPolygon>
            </wp:wrapTight>
            <wp:docPr id="5" name="图片 4" descr="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2 (2)"/>
                    <pic:cNvPicPr>
                      <a:picLocks noChangeAspect="1"/>
                    </pic:cNvPicPr>
                  </pic:nvPicPr>
                  <pic:blipFill>
                    <a:blip r:embed="rId7"/>
                    <a:stretch>
                      <a:fillRect/>
                    </a:stretch>
                  </pic:blipFill>
                  <pic:spPr>
                    <a:xfrm>
                      <a:off x="0" y="0"/>
                      <a:ext cx="3837305" cy="2511425"/>
                    </a:xfrm>
                    <a:prstGeom prst="rect">
                      <a:avLst/>
                    </a:prstGeom>
                    <a:noFill/>
                    <a:ln>
                      <a:noFill/>
                    </a:ln>
                  </pic:spPr>
                </pic:pic>
              </a:graphicData>
            </a:graphic>
          </wp:anchor>
        </w:drawing>
      </w:r>
      <w:r>
        <w:rPr>
          <w:rFonts w:hint="eastAsia" w:ascii="仿宋_GB2312" w:hAnsi="仿宋_GB2312" w:eastAsia="仿宋_GB2312" w:cs="仿宋_GB2312"/>
          <w:color w:val="auto"/>
          <w:sz w:val="32"/>
          <w:szCs w:val="32"/>
          <w:highlight w:val="none"/>
          <w:lang w:val="en-US" w:eastAsia="zh-CN"/>
        </w:rPr>
        <w:t>为更好提高心衰的整体诊治水平，实施以心衰指南为依据的规范化诊疗和长期管理，培训会上，杨主任还就急救药品的特点、分类、药效、用药注意事项及适应症状等多个方面进行了全面详细的讲解，并重点剖析了在临床中常用急救药品的用法、用量以及针对不同患者不同症状如何选用药品。</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培训过程中，20多名医疗骨干认真听课、互相交流，共同探讨，加深和巩固了培训所学知识的掌握及运用。</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会后大家纷纷表示，通过今天的学习，临床医务人员对心力衰竭的诊治、常用急救药物如何规范使用有了全新的认识，能更好地指导每位医生正确诊治心衰患者、规范使用急救药物，大大提高了医生的诊疗水平，规范常用急救药物的使用。大家都从中受益匪浅，并希望今后多多开展临床相关知识的培训会，让临床医生的整体诊疗水平再上一个新的台阶 ！</w:t>
      </w:r>
      <w:bookmarkStart w:id="0" w:name="_GoBack"/>
      <w:bookmarkEnd w:id="0"/>
    </w:p>
    <w:p>
      <w:pPr>
        <w:keepNext w:val="0"/>
        <w:keepLines w:val="0"/>
        <w:pageBreakBefore w:val="0"/>
        <w:widowControl/>
        <w:kinsoku/>
        <w:wordWrap/>
        <w:overflowPunct/>
        <w:topLinePunct w:val="0"/>
        <w:autoSpaceDE/>
        <w:autoSpaceDN/>
        <w:bidi w:val="0"/>
        <w:adjustRightInd/>
        <w:snapToGrid/>
        <w:spacing w:line="560" w:lineRule="exact"/>
        <w:ind w:right="0" w:rightChars="0"/>
        <w:jc w:val="left"/>
        <w:textAlignment w:val="auto"/>
        <w:outlineLvl w:val="9"/>
        <w:rPr>
          <w:rFonts w:hint="default"/>
          <w:lang w:eastAsia="zh-CN"/>
        </w:rPr>
      </w:pPr>
      <w:r>
        <w:rPr>
          <w:rFonts w:hint="eastAsia" w:ascii="仿宋_GB2312" w:hAnsi="仿宋_GB2312" w:eastAsia="仿宋_GB2312" w:cs="仿宋_GB2312"/>
          <w:color w:val="000000"/>
          <w:sz w:val="32"/>
          <w:szCs w:val="32"/>
          <w:highlight w:val="none"/>
          <w:lang w:val="en-US" w:eastAsia="zh-CN"/>
        </w:rPr>
        <w:t xml:space="preserve">                </w:t>
      </w:r>
      <w:r>
        <w:rPr>
          <w:rFonts w:hint="default" w:ascii="Times New Roman" w:hAnsi="Times New Roman" w:eastAsia="仿宋_GB2312" w:cs="Times New Roman"/>
          <w:color w:val="000000"/>
          <w:sz w:val="32"/>
          <w:szCs w:val="32"/>
          <w:highlight w:val="non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rPr>
        <mc:AlternateContent>
          <mc:Choice Requires="wps">
            <w:drawing>
              <wp:anchor distT="0" distB="0" distL="114300" distR="114300" simplePos="0" relativeHeight="251665408" behindDoc="0" locked="0" layoutInCell="1" allowOverlap="1">
                <wp:simplePos x="0" y="0"/>
                <wp:positionH relativeFrom="column">
                  <wp:posOffset>-1270</wp:posOffset>
                </wp:positionH>
                <wp:positionV relativeFrom="line">
                  <wp:posOffset>5715</wp:posOffset>
                </wp:positionV>
                <wp:extent cx="5687695" cy="0"/>
                <wp:effectExtent l="0" t="0" r="0" b="0"/>
                <wp:wrapNone/>
                <wp:docPr id="1073741827" name="直接连接符 1073741827"/>
                <wp:cNvGraphicFramePr/>
                <a:graphic xmlns:a="http://schemas.openxmlformats.org/drawingml/2006/main">
                  <a:graphicData uri="http://schemas.microsoft.com/office/word/2010/wordprocessingShape">
                    <wps:wsp>
                      <wps:cNvCnPr/>
                      <wps:spPr>
                        <a:xfrm>
                          <a:off x="0" y="0"/>
                          <a:ext cx="5687696" cy="0"/>
                        </a:xfrm>
                        <a:prstGeom prst="line">
                          <a:avLst/>
                        </a:prstGeom>
                        <a:noFill/>
                        <a:ln w="9525" cap="flat">
                          <a:solidFill>
                            <a:srgbClr val="000000"/>
                          </a:solidFill>
                          <a:prstDash val="solid"/>
                          <a:round/>
                        </a:ln>
                        <a:effectLst/>
                      </wps:spPr>
                      <wps:bodyPr/>
                    </wps:wsp>
                  </a:graphicData>
                </a:graphic>
              </wp:anchor>
            </w:drawing>
          </mc:Choice>
          <mc:Fallback>
            <w:pict>
              <v:line id="_x0000_s1026" o:spid="_x0000_s1026" o:spt="20" style="position:absolute;left:0pt;margin-left:-0.1pt;margin-top:0.45pt;height:0pt;width:447.85pt;mso-position-vertical-relative:line;z-index:251665408;mso-width-relative:page;mso-height-relative:page;" filled="f" stroked="t" coordsize="21600,21600" o:gfxdata="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jHktIAAAADAQAADwAAAAAA&#10;AAABACAAAAAiAAAAZHJzL2Rvd25yZXYueG1sUEsBAhQAFAAAAAgAh07iQMeUwAHgAQAArgMAAA4A&#10;AAAAAAAAAQAgAAAAIQEAAGRycy9lMm9Eb2MueG1sUEsFBgAAAAAGAAYAWQEAAHMFA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rtl w:val="0"/>
          <w:lang w:val="zh-TW" w:eastAsia="zh-TW"/>
        </w:rPr>
        <w:t>编（校）稿：</w:t>
      </w:r>
      <w:r>
        <w:rPr>
          <w:rFonts w:hint="default" w:ascii="Times New Roman" w:hAnsi="Times New Roman" w:eastAsia="仿宋_GB2312" w:cs="Times New Roman"/>
          <w:w w:val="90"/>
          <w:sz w:val="32"/>
          <w:szCs w:val="32"/>
          <w:u w:val="none"/>
          <w:rtl w:val="0"/>
          <w:lang w:val="zh-TW" w:eastAsia="zh-TW"/>
        </w:rPr>
        <w:t xml:space="preserve"> </w:t>
      </w:r>
      <w:r>
        <w:rPr>
          <w:rFonts w:hint="eastAsia" w:ascii="Times New Roman" w:hAnsi="Times New Roman" w:eastAsia="仿宋_GB2312" w:cs="Times New Roman"/>
          <w:w w:val="90"/>
          <w:sz w:val="32"/>
          <w:szCs w:val="32"/>
          <w:u w:val="none"/>
        </w:rPr>
        <w:t>李艳华</w:t>
      </w:r>
      <w:r>
        <w:rPr>
          <w:rFonts w:hint="default" w:ascii="Times New Roman" w:hAnsi="Times New Roman" w:eastAsia="仿宋_GB2312" w:cs="Times New Roman"/>
          <w:w w:val="90"/>
          <w:sz w:val="32"/>
          <w:szCs w:val="32"/>
          <w:u w:val="none"/>
          <w:rtl w:val="0"/>
          <w:lang w:val="en-US"/>
        </w:rPr>
        <w:t xml:space="preserve">  </w:t>
      </w:r>
      <w:r>
        <w:rPr>
          <w:rFonts w:hint="default" w:ascii="Times New Roman" w:hAnsi="Times New Roman" w:eastAsia="仿宋_GB2312" w:cs="Times New Roman"/>
          <w:sz w:val="32"/>
          <w:szCs w:val="32"/>
          <w:rtl w:val="0"/>
          <w:lang w:val="en-US"/>
        </w:rPr>
        <w:t xml:space="preserve">                </w:t>
      </w:r>
      <w:r>
        <w:rPr>
          <w:rFonts w:hint="default" w:ascii="Times New Roman" w:hAnsi="Times New Roman" w:eastAsia="仿宋_GB2312" w:cs="Times New Roman"/>
          <w:sz w:val="32"/>
          <w:szCs w:val="32"/>
          <w:rtl w:val="0"/>
          <w:lang w:val="zh-TW" w:eastAsia="zh-TW"/>
        </w:rPr>
        <w:t>审  稿：</w:t>
      </w:r>
      <w:r>
        <w:rPr>
          <w:rFonts w:hint="default" w:ascii="Times New Roman" w:hAnsi="Times New Roman" w:eastAsia="仿宋_GB2312" w:cs="Times New Roman"/>
          <w:w w:val="90"/>
          <w:sz w:val="32"/>
          <w:szCs w:val="32"/>
          <w:u w:val="none"/>
        </w:rPr>
        <w:t xml:space="preserve">  杨菊红</w:t>
      </w:r>
    </w:p>
    <w:sectPr>
      <w:headerReference r:id="rId3" w:type="default"/>
      <w:footerReference r:id="rId4" w:type="default"/>
      <w:footerReference r:id="rId5" w:type="even"/>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Fonts w:ascii="仿宋" w:hAnsi="仿宋" w:eastAsia="仿宋"/>
        <w:sz w:val="24"/>
        <w:szCs w:val="24"/>
      </w:rPr>
    </w:pPr>
    <w:r>
      <w:rPr>
        <w:rFonts w:ascii="仿宋" w:hAnsi="仿宋" w:eastAsia="仿宋"/>
        <w:sz w:val="24"/>
        <w:szCs w:val="24"/>
      </w:rPr>
      <w:fldChar w:fldCharType="begin"/>
    </w:r>
    <w:r>
      <w:rPr>
        <w:rStyle w:val="9"/>
        <w:rFonts w:ascii="仿宋" w:hAnsi="仿宋" w:eastAsia="仿宋"/>
        <w:sz w:val="24"/>
        <w:szCs w:val="24"/>
      </w:rPr>
      <w:instrText xml:space="preserve">PAGE  </w:instrText>
    </w:r>
    <w:r>
      <w:rPr>
        <w:rFonts w:ascii="仿宋" w:hAnsi="仿宋" w:eastAsia="仿宋"/>
        <w:sz w:val="24"/>
        <w:szCs w:val="24"/>
      </w:rPr>
      <w:fldChar w:fldCharType="separate"/>
    </w:r>
    <w:r>
      <w:rPr>
        <w:rStyle w:val="9"/>
        <w:rFonts w:ascii="仿宋" w:hAnsi="仿宋" w:eastAsia="仿宋"/>
        <w:sz w:val="24"/>
        <w:szCs w:val="24"/>
      </w:rPr>
      <w:t>- 3 -</w:t>
    </w:r>
    <w:r>
      <w:rPr>
        <w:rFonts w:ascii="仿宋" w:hAnsi="仿宋" w:eastAsia="仿宋"/>
        <w:sz w:val="24"/>
        <w:szCs w:val="24"/>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Pr>
    </w:pPr>
    <w:r>
      <w:fldChar w:fldCharType="begin"/>
    </w:r>
    <w:r>
      <w:rPr>
        <w:rStyle w:val="9"/>
      </w:rPr>
      <w:instrText xml:space="preserve">PAGE  </w:instrText>
    </w:r>
    <w:r>
      <w:fldChar w:fldCharType="end"/>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C4010"/>
    <w:rsid w:val="01192807"/>
    <w:rsid w:val="036852D0"/>
    <w:rsid w:val="03D14520"/>
    <w:rsid w:val="04273821"/>
    <w:rsid w:val="053159D1"/>
    <w:rsid w:val="056D59FF"/>
    <w:rsid w:val="05AE6990"/>
    <w:rsid w:val="06992449"/>
    <w:rsid w:val="06996E5F"/>
    <w:rsid w:val="075044D7"/>
    <w:rsid w:val="080F197F"/>
    <w:rsid w:val="085E26F8"/>
    <w:rsid w:val="0C5C2D4F"/>
    <w:rsid w:val="0D70544A"/>
    <w:rsid w:val="0E29572C"/>
    <w:rsid w:val="0F644B14"/>
    <w:rsid w:val="1068511F"/>
    <w:rsid w:val="109855B7"/>
    <w:rsid w:val="10AC46BF"/>
    <w:rsid w:val="122D0AA3"/>
    <w:rsid w:val="12BE1168"/>
    <w:rsid w:val="1325619E"/>
    <w:rsid w:val="16382917"/>
    <w:rsid w:val="17071256"/>
    <w:rsid w:val="175047D8"/>
    <w:rsid w:val="17B140BB"/>
    <w:rsid w:val="19791C00"/>
    <w:rsid w:val="1A521555"/>
    <w:rsid w:val="1AC9704F"/>
    <w:rsid w:val="1AD55458"/>
    <w:rsid w:val="1AEF314D"/>
    <w:rsid w:val="1B374070"/>
    <w:rsid w:val="1B73492C"/>
    <w:rsid w:val="1B7F7874"/>
    <w:rsid w:val="1C112024"/>
    <w:rsid w:val="1CD9093D"/>
    <w:rsid w:val="1D1A2E5F"/>
    <w:rsid w:val="1D913374"/>
    <w:rsid w:val="1E800ADF"/>
    <w:rsid w:val="1EDA44AC"/>
    <w:rsid w:val="1EEC0E3A"/>
    <w:rsid w:val="1F6347D2"/>
    <w:rsid w:val="21827710"/>
    <w:rsid w:val="21E37367"/>
    <w:rsid w:val="232B0402"/>
    <w:rsid w:val="23A44898"/>
    <w:rsid w:val="23D4481B"/>
    <w:rsid w:val="23EC4EAF"/>
    <w:rsid w:val="249024D0"/>
    <w:rsid w:val="24EC52AC"/>
    <w:rsid w:val="263C626C"/>
    <w:rsid w:val="266355B0"/>
    <w:rsid w:val="27B3354C"/>
    <w:rsid w:val="27E53095"/>
    <w:rsid w:val="294760C5"/>
    <w:rsid w:val="29545FF8"/>
    <w:rsid w:val="2A9220DF"/>
    <w:rsid w:val="2B742B86"/>
    <w:rsid w:val="2BEB63EF"/>
    <w:rsid w:val="2C0C456F"/>
    <w:rsid w:val="2C604E1A"/>
    <w:rsid w:val="2C8B5708"/>
    <w:rsid w:val="2DCD1484"/>
    <w:rsid w:val="2E456882"/>
    <w:rsid w:val="301E2434"/>
    <w:rsid w:val="302A104F"/>
    <w:rsid w:val="32324B34"/>
    <w:rsid w:val="3317342D"/>
    <w:rsid w:val="33B91322"/>
    <w:rsid w:val="346172F6"/>
    <w:rsid w:val="35345DD0"/>
    <w:rsid w:val="354B2563"/>
    <w:rsid w:val="385F3793"/>
    <w:rsid w:val="38830A8C"/>
    <w:rsid w:val="38B63F6D"/>
    <w:rsid w:val="39A247C8"/>
    <w:rsid w:val="39C455A6"/>
    <w:rsid w:val="3A9D75EB"/>
    <w:rsid w:val="3C9547BD"/>
    <w:rsid w:val="3DDF28DE"/>
    <w:rsid w:val="3DE137A3"/>
    <w:rsid w:val="3FAC1C4A"/>
    <w:rsid w:val="400F0982"/>
    <w:rsid w:val="40510430"/>
    <w:rsid w:val="41F75379"/>
    <w:rsid w:val="42715B05"/>
    <w:rsid w:val="43425B7D"/>
    <w:rsid w:val="43CF0DD9"/>
    <w:rsid w:val="44A131F2"/>
    <w:rsid w:val="4558718D"/>
    <w:rsid w:val="45EC0A59"/>
    <w:rsid w:val="45F47C99"/>
    <w:rsid w:val="47CB1DA0"/>
    <w:rsid w:val="47F80825"/>
    <w:rsid w:val="494E2271"/>
    <w:rsid w:val="49C06744"/>
    <w:rsid w:val="49C73185"/>
    <w:rsid w:val="49E62EDD"/>
    <w:rsid w:val="4A03400B"/>
    <w:rsid w:val="4B7B5F27"/>
    <w:rsid w:val="4BDB5EB9"/>
    <w:rsid w:val="4CA70037"/>
    <w:rsid w:val="4CB87C54"/>
    <w:rsid w:val="4CDE3B7E"/>
    <w:rsid w:val="4DBF4CBE"/>
    <w:rsid w:val="4DD15C57"/>
    <w:rsid w:val="4E101661"/>
    <w:rsid w:val="516A4E1B"/>
    <w:rsid w:val="52880461"/>
    <w:rsid w:val="528D7E15"/>
    <w:rsid w:val="52B3108C"/>
    <w:rsid w:val="52E071AD"/>
    <w:rsid w:val="55495649"/>
    <w:rsid w:val="55BA027E"/>
    <w:rsid w:val="580B4BF7"/>
    <w:rsid w:val="58264B18"/>
    <w:rsid w:val="586474C0"/>
    <w:rsid w:val="58EB3A59"/>
    <w:rsid w:val="5A062BD3"/>
    <w:rsid w:val="5A1230B8"/>
    <w:rsid w:val="5BBE36D3"/>
    <w:rsid w:val="5BEE16CC"/>
    <w:rsid w:val="5C7F4405"/>
    <w:rsid w:val="5CCE5170"/>
    <w:rsid w:val="5DD964FC"/>
    <w:rsid w:val="5DE1435D"/>
    <w:rsid w:val="5E3A2A94"/>
    <w:rsid w:val="5E8F3660"/>
    <w:rsid w:val="5FBE593E"/>
    <w:rsid w:val="5FD2657E"/>
    <w:rsid w:val="60297E1B"/>
    <w:rsid w:val="61E32A31"/>
    <w:rsid w:val="623D22F9"/>
    <w:rsid w:val="62CB3296"/>
    <w:rsid w:val="62DD7A83"/>
    <w:rsid w:val="6342563B"/>
    <w:rsid w:val="63A26425"/>
    <w:rsid w:val="643D6442"/>
    <w:rsid w:val="655F6A42"/>
    <w:rsid w:val="67A10E47"/>
    <w:rsid w:val="680218BB"/>
    <w:rsid w:val="687B4BE4"/>
    <w:rsid w:val="69FF2D13"/>
    <w:rsid w:val="6AD5451E"/>
    <w:rsid w:val="6DCE3D4B"/>
    <w:rsid w:val="6E23381E"/>
    <w:rsid w:val="6E3E3D32"/>
    <w:rsid w:val="6ED06CBF"/>
    <w:rsid w:val="6F523165"/>
    <w:rsid w:val="6F8A7402"/>
    <w:rsid w:val="72095B98"/>
    <w:rsid w:val="722E4C5F"/>
    <w:rsid w:val="7255582C"/>
    <w:rsid w:val="73DE6647"/>
    <w:rsid w:val="74432754"/>
    <w:rsid w:val="74B85BBD"/>
    <w:rsid w:val="75031ACA"/>
    <w:rsid w:val="75B43101"/>
    <w:rsid w:val="76D94552"/>
    <w:rsid w:val="786D60A2"/>
    <w:rsid w:val="7A337993"/>
    <w:rsid w:val="7D300CCA"/>
    <w:rsid w:val="7DD53280"/>
    <w:rsid w:val="7EB9688C"/>
    <w:rsid w:val="7FEB2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Arial"/>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rPr>
      <w:rFonts w:ascii="Arial" w:hAnsi="Arial" w:cs="Arial"/>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32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橙</cp:lastModifiedBy>
  <dcterms:modified xsi:type="dcterms:W3CDTF">2020-11-18T07:56:20Z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