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b w:val="0"/>
          <w:bCs w:val="0"/>
          <w:sz w:val="44"/>
          <w:szCs w:val="44"/>
        </w:rPr>
      </w:pPr>
    </w:p>
    <w:p>
      <w:pPr>
        <w:pStyle w:val="14"/>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合理用药</w:t>
      </w:r>
      <w:r>
        <w:rPr>
          <w:rFonts w:hint="eastAsia" w:eastAsia="方正小标宋简体" w:cs="Times New Roman"/>
          <w:sz w:val="44"/>
          <w:szCs w:val="44"/>
          <w:lang w:val="en-US" w:eastAsia="zh-CN"/>
        </w:rPr>
        <w:t xml:space="preserve">   </w:t>
      </w:r>
      <w:r>
        <w:rPr>
          <w:rFonts w:hint="default" w:ascii="Times New Roman" w:hAnsi="Times New Roman" w:eastAsia="方正小标宋简体" w:cs="Times New Roman"/>
          <w:sz w:val="44"/>
          <w:szCs w:val="44"/>
          <w:lang w:val="en-US" w:eastAsia="zh-CN"/>
        </w:rPr>
        <w:t>共享健康</w:t>
      </w:r>
    </w:p>
    <w:p>
      <w:pPr>
        <w:pStyle w:val="14"/>
        <w:keepNext w:val="0"/>
        <w:keepLines w:val="0"/>
        <w:pageBreakBefore w:val="0"/>
        <w:widowControl w:val="0"/>
        <w:kinsoku/>
        <w:wordWrap/>
        <w:overflowPunct/>
        <w:topLinePunct w:val="0"/>
        <w:autoSpaceDE/>
        <w:autoSpaceDN/>
        <w:bidi w:val="0"/>
        <w:adjustRightInd/>
        <w:snapToGrid/>
        <w:spacing w:line="59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—西苑社区卫生服务中心</w:t>
      </w:r>
      <w:r>
        <w:rPr>
          <w:rFonts w:hint="default" w:ascii="Times New Roman" w:hAnsi="Times New Roman" w:eastAsia="仿宋_GB2312" w:cs="Times New Roman"/>
          <w:sz w:val="32"/>
          <w:szCs w:val="32"/>
          <w:lang w:val="en-US" w:eastAsia="zh-CN"/>
        </w:rPr>
        <w:t>药事管理</w:t>
      </w:r>
      <w:r>
        <w:rPr>
          <w:rFonts w:hint="eastAsia" w:ascii="仿宋_GB2312" w:hAnsi="仿宋_GB2312" w:eastAsia="仿宋_GB2312" w:cs="仿宋_GB2312"/>
          <w:sz w:val="32"/>
          <w:szCs w:val="32"/>
          <w:lang w:val="en-US" w:eastAsia="zh-CN"/>
        </w:rPr>
        <w:t>培训</w:t>
      </w:r>
    </w:p>
    <w:p>
      <w:pPr>
        <w:pStyle w:val="14"/>
        <w:keepNext w:val="0"/>
        <w:keepLines w:val="0"/>
        <w:pageBreakBefore w:val="0"/>
        <w:widowControl w:val="0"/>
        <w:kinsoku/>
        <w:wordWrap/>
        <w:overflowPunct/>
        <w:topLinePunct w:val="0"/>
        <w:autoSpaceDE/>
        <w:autoSpaceDN/>
        <w:bidi w:val="0"/>
        <w:adjustRightInd/>
        <w:snapToGrid/>
        <w:spacing w:line="59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anchor distT="0" distB="0" distL="114300" distR="114300" simplePos="0" relativeHeight="251674624" behindDoc="0" locked="0" layoutInCell="1" allowOverlap="1">
            <wp:simplePos x="0" y="0"/>
            <wp:positionH relativeFrom="column">
              <wp:posOffset>1978025</wp:posOffset>
            </wp:positionH>
            <wp:positionV relativeFrom="paragraph">
              <wp:posOffset>1442720</wp:posOffset>
            </wp:positionV>
            <wp:extent cx="3162300" cy="2372360"/>
            <wp:effectExtent l="0" t="0" r="0" b="8890"/>
            <wp:wrapSquare wrapText="bothSides"/>
            <wp:docPr id="2" name="图片 2" descr="IMG_20201109_161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01109_161833(1)"/>
                    <pic:cNvPicPr>
                      <a:picLocks noChangeAspect="1"/>
                    </pic:cNvPicPr>
                  </pic:nvPicPr>
                  <pic:blipFill>
                    <a:blip r:embed="rId4"/>
                    <a:stretch>
                      <a:fillRect/>
                    </a:stretch>
                  </pic:blipFill>
                  <pic:spPr>
                    <a:xfrm>
                      <a:off x="0" y="0"/>
                      <a:ext cx="3162300" cy="2372360"/>
                    </a:xfrm>
                    <a:prstGeom prst="rect">
                      <a:avLst/>
                    </a:prstGeom>
                  </pic:spPr>
                </pic:pic>
              </a:graphicData>
            </a:graphic>
          </wp:anchor>
        </w:drawing>
      </w:r>
      <w:r>
        <w:rPr>
          <w:rFonts w:hint="default" w:ascii="Times New Roman" w:hAnsi="Times New Roman" w:eastAsia="仿宋_GB2312" w:cs="Times New Roman"/>
          <w:sz w:val="32"/>
          <w:szCs w:val="32"/>
          <w:lang w:val="en-US" w:eastAsia="zh-CN"/>
        </w:rPr>
        <w:t>为落实《关于加快药学服务高质量发展的意见》文件精神，进一步转变药学服务模式，提高药学服务水平，促进基层医疗机构药事管理水平，</w:t>
      </w:r>
      <w:r>
        <w:rPr>
          <w:rFonts w:hint="eastAsia" w:ascii="Times New Roman" w:hAnsi="Times New Roman" w:eastAsia="仿宋_GB2312" w:cs="Times New Roman"/>
          <w:sz w:val="32"/>
          <w:szCs w:val="32"/>
          <w:lang w:val="en-US" w:eastAsia="zh-CN"/>
        </w:rPr>
        <w:t>西苑社区卫生服务</w:t>
      </w:r>
      <w:r>
        <w:rPr>
          <w:rFonts w:hint="default" w:ascii="Times New Roman" w:hAnsi="Times New Roman" w:eastAsia="仿宋_GB2312" w:cs="Times New Roman"/>
          <w:sz w:val="32"/>
          <w:szCs w:val="32"/>
          <w:lang w:val="en-US" w:eastAsia="zh-CN"/>
        </w:rPr>
        <w:t>中心药房科长参加了昆明市药事管理医疗质量控制中心10月30日在昆明市第一人民医院甘美医院举办的基层医疗机构药事管理与合理用药能力提升培训班。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11月9日下午，</w:t>
      </w:r>
      <w:r>
        <w:rPr>
          <w:rFonts w:hint="eastAsia" w:ascii="Times New Roman" w:hAnsi="Times New Roman" w:eastAsia="仿宋_GB2312" w:cs="Times New Roman"/>
          <w:sz w:val="32"/>
          <w:szCs w:val="32"/>
          <w:lang w:val="en-US" w:eastAsia="zh-CN"/>
        </w:rPr>
        <w:t>西苑社区卫生服务</w:t>
      </w:r>
      <w:r>
        <w:rPr>
          <w:rFonts w:hint="default" w:ascii="Times New Roman" w:hAnsi="Times New Roman" w:eastAsia="仿宋_GB2312" w:cs="Times New Roman"/>
          <w:sz w:val="32"/>
          <w:szCs w:val="32"/>
          <w:lang w:val="en-US" w:eastAsia="zh-CN"/>
        </w:rPr>
        <w:t>中心药房科长高媛结合培训班培训内容和中心实际情况，组织全体医务人员进行相关知识培训。本次培训分为</w:t>
      </w:r>
      <w:r>
        <w:rPr>
          <w:rFonts w:hint="default" w:ascii="Times New Roman" w:hAnsi="Times New Roman" w:eastAsia="仿宋_GB2312" w:cs="Times New Roman"/>
          <w:sz w:val="32"/>
          <w:szCs w:val="32"/>
          <w:lang w:val="en-US" w:eastAsia="zh-CN"/>
        </w:rPr>
        <w:drawing>
          <wp:anchor distT="0" distB="0" distL="114300" distR="114300" simplePos="0" relativeHeight="251675648" behindDoc="0" locked="0" layoutInCell="1" allowOverlap="1">
            <wp:simplePos x="0" y="0"/>
            <wp:positionH relativeFrom="column">
              <wp:posOffset>-57150</wp:posOffset>
            </wp:positionH>
            <wp:positionV relativeFrom="page">
              <wp:posOffset>2038350</wp:posOffset>
            </wp:positionV>
            <wp:extent cx="3601720" cy="2770505"/>
            <wp:effectExtent l="0" t="0" r="17780" b="10795"/>
            <wp:wrapSquare wrapText="bothSides"/>
            <wp:docPr id="4" name="图片 4" descr="IMG_20201109_16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01109_161802"/>
                    <pic:cNvPicPr>
                      <a:picLocks noChangeAspect="1"/>
                    </pic:cNvPicPr>
                  </pic:nvPicPr>
                  <pic:blipFill>
                    <a:blip r:embed="rId5"/>
                    <a:stretch>
                      <a:fillRect/>
                    </a:stretch>
                  </pic:blipFill>
                  <pic:spPr>
                    <a:xfrm>
                      <a:off x="0" y="0"/>
                      <a:ext cx="3601720" cy="2770505"/>
                    </a:xfrm>
                    <a:prstGeom prst="rect">
                      <a:avLst/>
                    </a:prstGeom>
                  </pic:spPr>
                </pic:pic>
              </a:graphicData>
            </a:graphic>
          </wp:anchor>
        </w:drawing>
      </w:r>
      <w:r>
        <w:rPr>
          <w:rFonts w:hint="default" w:ascii="Times New Roman" w:hAnsi="Times New Roman" w:eastAsia="仿宋_GB2312" w:cs="Times New Roman"/>
          <w:sz w:val="32"/>
          <w:szCs w:val="32"/>
          <w:lang w:val="en-US" w:eastAsia="zh-CN"/>
        </w:rPr>
        <w:t>三个阶段，第一阶段：就2020年基层医疗机构合理用药督查情况进行了传达，针对全市全区合理用药存在的共性问题，结合单位自检自查情况，对不合格处方的内容进行培训，同时对具有处方权的医师提出了新要求。第二阶段：组织职工对《抗菌药物临床应用管理办法》（卫生部令第84号）集中学习，提高</w:t>
      </w:r>
      <w:r>
        <w:rPr>
          <w:rFonts w:hint="eastAsia" w:ascii="Times New Roman" w:hAnsi="Times New Roman" w:eastAsia="仿宋_GB2312" w:cs="Times New Roman"/>
          <w:sz w:val="32"/>
          <w:szCs w:val="32"/>
          <w:lang w:val="en-US" w:eastAsia="zh-CN"/>
        </w:rPr>
        <w:t>职工</w:t>
      </w:r>
      <w:r>
        <w:rPr>
          <w:rFonts w:hint="default" w:ascii="Times New Roman" w:hAnsi="Times New Roman" w:eastAsia="仿宋_GB2312" w:cs="Times New Roman"/>
          <w:sz w:val="32"/>
          <w:szCs w:val="32"/>
          <w:lang w:val="en-US" w:eastAsia="zh-CN"/>
        </w:rPr>
        <w:t>抗菌药物合理使用意识。第三阶段：加强对麻精药品流通使用环节的管理，组织职工对《麻醉药品和精神药品管理条例》、《医疗机构麻醉药品、第一类精神药品管理规定》</w:t>
      </w:r>
      <w:r>
        <w:rPr>
          <w:rFonts w:hint="eastAsia" w:ascii="Times New Roman" w:hAnsi="Times New Roman" w:eastAsia="仿宋_GB2312" w:cs="Times New Roman"/>
          <w:sz w:val="32"/>
          <w:szCs w:val="32"/>
          <w:lang w:val="en-US" w:eastAsia="zh-CN"/>
        </w:rPr>
        <w:t>开展</w:t>
      </w:r>
      <w:r>
        <w:rPr>
          <w:rFonts w:hint="default" w:ascii="Times New Roman" w:hAnsi="Times New Roman" w:eastAsia="仿宋_GB2312" w:cs="Times New Roman"/>
          <w:sz w:val="32"/>
          <w:szCs w:val="32"/>
          <w:lang w:val="en-US" w:eastAsia="zh-CN"/>
        </w:rPr>
        <w:t>集中学习，确保麻精药品管理更规范。</w:t>
      </w:r>
    </w:p>
    <w:p>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通过本次培训，使中心医师对合理用药有了更深刻的认识，以此次培训为契机，中心进一步完善抗菌药物临床应用管理相关制度、麻精药品管理相关制度、处方点评制度，提高药物临床合理应用水平，保障患者合法权益和用药安全。</w:t>
      </w:r>
    </w:p>
    <w:p>
      <w:pPr>
        <w:pStyle w:val="14"/>
        <w:rPr>
          <w:rFonts w:hint="default" w:ascii="Times New Roman" w:hAnsi="Times New Roman" w:eastAsia="仿宋_GB2312" w:cs="Times New Roman"/>
          <w:sz w:val="32"/>
          <w:szCs w:val="32"/>
        </w:rPr>
      </w:pPr>
    </w:p>
    <w:p>
      <w:pPr>
        <w:pStyle w:val="14"/>
        <w:rPr>
          <w:rFonts w:hint="default" w:ascii="Times New Roman" w:hAnsi="Times New Roman" w:eastAsia="仿宋_GB2312" w:cs="Times New Roman"/>
          <w:sz w:val="32"/>
          <w:szCs w:val="32"/>
        </w:rPr>
      </w:pPr>
      <w:bookmarkStart w:id="0" w:name="_GoBack"/>
      <w:bookmarkEnd w:id="0"/>
    </w:p>
    <w:p>
      <w:pPr>
        <w:spacing w:line="560" w:lineRule="exact"/>
        <w:rPr>
          <w:rFonts w:hint="default" w:ascii="Times New Roman" w:hAnsi="Times New Roman" w:eastAsia="仿宋_GB2312" w:cs="Times New Roman"/>
          <w:u w:val="single"/>
        </w:rPr>
      </w:pP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p>
    <w:p>
      <w:pPr>
        <w:spacing w:line="560" w:lineRule="exact"/>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32"/>
          <w:szCs w:val="32"/>
        </w:rPr>
        <w:t>编（校）稿：</w:t>
      </w:r>
      <w:r>
        <w:rPr>
          <w:rFonts w:hint="eastAsia" w:ascii="仿宋" w:hAnsi="仿宋" w:eastAsia="仿宋"/>
          <w:sz w:val="32"/>
          <w:szCs w:val="32"/>
          <w:lang w:eastAsia="zh-CN"/>
        </w:rPr>
        <w:t>高</w:t>
      </w: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媛</w:t>
      </w: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rPr>
        <w:t xml:space="preserve">                       </w:t>
      </w:r>
      <w:r>
        <w:rPr>
          <w:rFonts w:hint="eastAsia" w:ascii="Times New Roman" w:hAnsi="Times New Roman" w:eastAsia="仿宋_GB2312" w:cs="Times New Roman"/>
          <w:lang w:val="en-US" w:eastAsia="zh-CN"/>
        </w:rPr>
        <w:t xml:space="preserve">   </w:t>
      </w:r>
      <w:r>
        <w:rPr>
          <w:rFonts w:hint="default" w:ascii="Times New Roman" w:hAnsi="Times New Roman" w:eastAsia="仿宋_GB2312" w:cs="Times New Roman"/>
          <w:lang w:val="en-US" w:eastAsia="zh-CN"/>
        </w:rPr>
        <w:t xml:space="preserve"> </w:t>
      </w:r>
      <w:r>
        <w:rPr>
          <w:rFonts w:hint="eastAsia" w:ascii="Times New Roman" w:hAnsi="Times New Roman" w:eastAsia="仿宋_GB2312" w:cs="Times New Roman"/>
          <w:lang w:val="en-US" w:eastAsia="zh-CN"/>
        </w:rPr>
        <w:t xml:space="preserve"> </w:t>
      </w:r>
      <w:r>
        <w:rPr>
          <w:rFonts w:hint="default" w:ascii="Times New Roman" w:hAnsi="Times New Roman" w:eastAsia="仿宋_GB2312" w:cs="Times New Roman"/>
        </w:rPr>
        <w:t xml:space="preserve">    </w:t>
      </w:r>
      <w:r>
        <w:rPr>
          <w:rFonts w:hint="default" w:ascii="Times New Roman" w:hAnsi="Times New Roman" w:eastAsia="仿宋_GB2312" w:cs="Times New Roman"/>
          <w:sz w:val="32"/>
          <w:szCs w:val="32"/>
        </w:rPr>
        <w:t>审稿：</w:t>
      </w:r>
      <w:r>
        <w:rPr>
          <w:rFonts w:hint="eastAsia" w:ascii="仿宋" w:hAnsi="仿宋" w:eastAsia="仿宋"/>
          <w:sz w:val="32"/>
          <w:szCs w:val="32"/>
        </w:rPr>
        <w:t>李迎美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7503AB"/>
    <w:rsid w:val="018E0316"/>
    <w:rsid w:val="019351AE"/>
    <w:rsid w:val="028F74F4"/>
    <w:rsid w:val="032D4844"/>
    <w:rsid w:val="036746E2"/>
    <w:rsid w:val="039006BB"/>
    <w:rsid w:val="03DE0BBA"/>
    <w:rsid w:val="03E83D8D"/>
    <w:rsid w:val="05D1720E"/>
    <w:rsid w:val="05DF10F8"/>
    <w:rsid w:val="074B5150"/>
    <w:rsid w:val="07BB5C14"/>
    <w:rsid w:val="07F95197"/>
    <w:rsid w:val="089B2E97"/>
    <w:rsid w:val="08B43E26"/>
    <w:rsid w:val="09DE563C"/>
    <w:rsid w:val="0AD62B62"/>
    <w:rsid w:val="0C041A53"/>
    <w:rsid w:val="0C9D6E31"/>
    <w:rsid w:val="0CCC346F"/>
    <w:rsid w:val="0CDA33FE"/>
    <w:rsid w:val="0D6E670F"/>
    <w:rsid w:val="0E031173"/>
    <w:rsid w:val="0ED95609"/>
    <w:rsid w:val="0F38167E"/>
    <w:rsid w:val="117E6460"/>
    <w:rsid w:val="122951E5"/>
    <w:rsid w:val="128664E7"/>
    <w:rsid w:val="13B67B4A"/>
    <w:rsid w:val="13D2314C"/>
    <w:rsid w:val="143535FE"/>
    <w:rsid w:val="14604066"/>
    <w:rsid w:val="15F90437"/>
    <w:rsid w:val="16150ECD"/>
    <w:rsid w:val="16EA2072"/>
    <w:rsid w:val="17AB4F11"/>
    <w:rsid w:val="180A147C"/>
    <w:rsid w:val="18AB5501"/>
    <w:rsid w:val="19255582"/>
    <w:rsid w:val="19334EB3"/>
    <w:rsid w:val="1BF22C16"/>
    <w:rsid w:val="1DC140F5"/>
    <w:rsid w:val="1E1D3E18"/>
    <w:rsid w:val="1F017A1D"/>
    <w:rsid w:val="1F7715EA"/>
    <w:rsid w:val="1F8A66C4"/>
    <w:rsid w:val="1F8C5F56"/>
    <w:rsid w:val="1FBA1F57"/>
    <w:rsid w:val="1FEC504E"/>
    <w:rsid w:val="20052259"/>
    <w:rsid w:val="20986894"/>
    <w:rsid w:val="20B269B5"/>
    <w:rsid w:val="20E67F95"/>
    <w:rsid w:val="21CF31F9"/>
    <w:rsid w:val="22F02FF2"/>
    <w:rsid w:val="233A38B5"/>
    <w:rsid w:val="239E572E"/>
    <w:rsid w:val="23F9435E"/>
    <w:rsid w:val="26DE421E"/>
    <w:rsid w:val="27313A2A"/>
    <w:rsid w:val="282613FD"/>
    <w:rsid w:val="28CD125E"/>
    <w:rsid w:val="28E52092"/>
    <w:rsid w:val="2C1830D7"/>
    <w:rsid w:val="2CDB1341"/>
    <w:rsid w:val="2D2C5E90"/>
    <w:rsid w:val="2EC775A1"/>
    <w:rsid w:val="2F0B630E"/>
    <w:rsid w:val="2FC308AA"/>
    <w:rsid w:val="30833531"/>
    <w:rsid w:val="316847D6"/>
    <w:rsid w:val="31DD05C6"/>
    <w:rsid w:val="32196D51"/>
    <w:rsid w:val="333B00A7"/>
    <w:rsid w:val="338E2EDF"/>
    <w:rsid w:val="34352FF4"/>
    <w:rsid w:val="34E85602"/>
    <w:rsid w:val="36616C95"/>
    <w:rsid w:val="36A77DAA"/>
    <w:rsid w:val="383D2723"/>
    <w:rsid w:val="38846875"/>
    <w:rsid w:val="39665B15"/>
    <w:rsid w:val="3B323239"/>
    <w:rsid w:val="3B5D44F4"/>
    <w:rsid w:val="3CA621AB"/>
    <w:rsid w:val="3D3F6064"/>
    <w:rsid w:val="3E713439"/>
    <w:rsid w:val="3F080FA9"/>
    <w:rsid w:val="3F900911"/>
    <w:rsid w:val="3FD75E3B"/>
    <w:rsid w:val="40905513"/>
    <w:rsid w:val="40AE7732"/>
    <w:rsid w:val="41282328"/>
    <w:rsid w:val="41B40632"/>
    <w:rsid w:val="41EF60B4"/>
    <w:rsid w:val="42135466"/>
    <w:rsid w:val="4235719F"/>
    <w:rsid w:val="42E277AA"/>
    <w:rsid w:val="4434582C"/>
    <w:rsid w:val="44706C30"/>
    <w:rsid w:val="44B00CFE"/>
    <w:rsid w:val="453F6075"/>
    <w:rsid w:val="45494EB0"/>
    <w:rsid w:val="45DF26B5"/>
    <w:rsid w:val="465F014E"/>
    <w:rsid w:val="46D317D9"/>
    <w:rsid w:val="46EF7B46"/>
    <w:rsid w:val="47134818"/>
    <w:rsid w:val="47B33E7D"/>
    <w:rsid w:val="482B368B"/>
    <w:rsid w:val="499A19C7"/>
    <w:rsid w:val="4A0B5CAF"/>
    <w:rsid w:val="4A501E03"/>
    <w:rsid w:val="4A570651"/>
    <w:rsid w:val="4CA069B0"/>
    <w:rsid w:val="4CBA03DF"/>
    <w:rsid w:val="4CC467F0"/>
    <w:rsid w:val="4D4E6E61"/>
    <w:rsid w:val="4E111A44"/>
    <w:rsid w:val="4F9C2A56"/>
    <w:rsid w:val="5025545B"/>
    <w:rsid w:val="5186762E"/>
    <w:rsid w:val="546B20DC"/>
    <w:rsid w:val="5562754B"/>
    <w:rsid w:val="558D385A"/>
    <w:rsid w:val="55C7585A"/>
    <w:rsid w:val="5672329C"/>
    <w:rsid w:val="575C534A"/>
    <w:rsid w:val="58130FD1"/>
    <w:rsid w:val="5813506C"/>
    <w:rsid w:val="58533C26"/>
    <w:rsid w:val="5B774C00"/>
    <w:rsid w:val="5C3515E3"/>
    <w:rsid w:val="5D354E62"/>
    <w:rsid w:val="5DB20B4B"/>
    <w:rsid w:val="5E1B07E1"/>
    <w:rsid w:val="5F166907"/>
    <w:rsid w:val="613B2743"/>
    <w:rsid w:val="62F70BE2"/>
    <w:rsid w:val="63082B33"/>
    <w:rsid w:val="633777F9"/>
    <w:rsid w:val="63D31821"/>
    <w:rsid w:val="64213A45"/>
    <w:rsid w:val="64887B71"/>
    <w:rsid w:val="659C6B42"/>
    <w:rsid w:val="65D6612E"/>
    <w:rsid w:val="663F15D2"/>
    <w:rsid w:val="668C3A19"/>
    <w:rsid w:val="67A03786"/>
    <w:rsid w:val="68001997"/>
    <w:rsid w:val="68132C71"/>
    <w:rsid w:val="68163173"/>
    <w:rsid w:val="694C0B74"/>
    <w:rsid w:val="69D17D43"/>
    <w:rsid w:val="69F008FC"/>
    <w:rsid w:val="6A1D1D56"/>
    <w:rsid w:val="6ADE39C0"/>
    <w:rsid w:val="6BCF6452"/>
    <w:rsid w:val="6E310C90"/>
    <w:rsid w:val="6F511761"/>
    <w:rsid w:val="6F78145C"/>
    <w:rsid w:val="70CD3EFC"/>
    <w:rsid w:val="715A15DB"/>
    <w:rsid w:val="71C80BBE"/>
    <w:rsid w:val="723A33DA"/>
    <w:rsid w:val="733D702E"/>
    <w:rsid w:val="744C5E81"/>
    <w:rsid w:val="74E818E9"/>
    <w:rsid w:val="757A2946"/>
    <w:rsid w:val="758A6895"/>
    <w:rsid w:val="766C3D46"/>
    <w:rsid w:val="775124A5"/>
    <w:rsid w:val="77770FA3"/>
    <w:rsid w:val="78147DB8"/>
    <w:rsid w:val="78D57E0B"/>
    <w:rsid w:val="79BB40AE"/>
    <w:rsid w:val="7A253ECC"/>
    <w:rsid w:val="7A5137B5"/>
    <w:rsid w:val="7AB67217"/>
    <w:rsid w:val="7ACE31E2"/>
    <w:rsid w:val="7AFB3C3F"/>
    <w:rsid w:val="7B415E15"/>
    <w:rsid w:val="7B935BCE"/>
    <w:rsid w:val="7CA33427"/>
    <w:rsid w:val="7DEC55C3"/>
    <w:rsid w:val="7E7238CC"/>
    <w:rsid w:val="7E7F20A8"/>
    <w:rsid w:val="7E81394C"/>
    <w:rsid w:val="7EF15C92"/>
    <w:rsid w:val="7EFA1714"/>
    <w:rsid w:val="7F696569"/>
    <w:rsid w:val="7F7F1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spacing w:line="576" w:lineRule="auto"/>
      <w:outlineLvl w:val="0"/>
    </w:pPr>
    <w:rPr>
      <w:b/>
      <w:kern w:val="44"/>
      <w:sz w:val="44"/>
    </w:rPr>
  </w:style>
  <w:style w:type="character" w:default="1" w:styleId="12">
    <w:name w:val="Default Paragraph Font"/>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toa heading"/>
    <w:basedOn w:val="1"/>
    <w:next w:val="1"/>
    <w:qFormat/>
    <w:uiPriority w:val="0"/>
    <w:rPr>
      <w:rFonts w:ascii="Arial" w:hAnsi="Arial" w:cs="Arial"/>
      <w:sz w:val="24"/>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Body Text"/>
    <w:basedOn w:val="1"/>
    <w:next w:val="6"/>
    <w:qFormat/>
    <w:uiPriority w:val="0"/>
    <w:pPr>
      <w:spacing w:after="120"/>
    </w:pPr>
    <w:rPr>
      <w:szCs w:val="24"/>
    </w:rPr>
  </w:style>
  <w:style w:type="paragraph" w:styleId="6">
    <w:name w:val="toc 5"/>
    <w:basedOn w:val="1"/>
    <w:next w:val="1"/>
    <w:qFormat/>
    <w:uiPriority w:val="0"/>
    <w:pPr>
      <w:ind w:left="1680"/>
    </w:pPr>
    <w:rPr>
      <w:rFonts w:ascii="Calibri" w:hAnsi="Calibri"/>
      <w:szCs w:val="2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character" w:styleId="13">
    <w:name w:val="Hyperlink"/>
    <w:basedOn w:val="12"/>
    <w:qFormat/>
    <w:uiPriority w:val="0"/>
    <w:rPr>
      <w:color w:val="0000FF"/>
      <w:u w:val="single"/>
    </w:rPr>
  </w:style>
  <w:style w:type="paragraph" w:customStyle="1" w:styleId="14">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5">
    <w:name w:val="标题 1 Char"/>
    <w:link w:val="3"/>
    <w:qFormat/>
    <w:uiPriority w:val="0"/>
    <w:rPr>
      <w:b/>
      <w:kern w:val="44"/>
      <w:sz w:val="44"/>
    </w:rPr>
  </w:style>
  <w:style w:type="paragraph" w:customStyle="1" w:styleId="16">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7">
    <w:name w:val="页眉 Char"/>
    <w:basedOn w:val="12"/>
    <w:link w:val="8"/>
    <w:qFormat/>
    <w:uiPriority w:val="0"/>
    <w:rPr>
      <w:rFonts w:asciiTheme="minorHAnsi" w:hAnsiTheme="minorHAnsi" w:eastAsiaTheme="minorEastAsia" w:cstheme="minorBidi"/>
      <w:kern w:val="2"/>
      <w:sz w:val="18"/>
      <w:szCs w:val="18"/>
    </w:rPr>
  </w:style>
  <w:style w:type="paragraph" w:customStyle="1" w:styleId="18">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9">
    <w:name w:val="NormalCharacter"/>
    <w:semiHidden/>
    <w:qFormat/>
    <w:uiPriority w:val="0"/>
  </w:style>
  <w:style w:type="character" w:customStyle="1" w:styleId="20">
    <w:name w:val="apple-style-span"/>
    <w:basedOn w:val="12"/>
    <w:qFormat/>
    <w:uiPriority w:val="0"/>
  </w:style>
  <w:style w:type="paragraph" w:customStyle="1" w:styleId="21">
    <w:name w:val="实施方案正文"/>
    <w:basedOn w:val="1"/>
    <w:qFormat/>
    <w:uiPriority w:val="0"/>
    <w:pPr>
      <w:ind w:firstLine="566" w:firstLineChars="202"/>
    </w:pPr>
    <w:rPr>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2</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2020-11-12T02:13:39Z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