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70</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b w:val="0"/>
          <w:bCs w:val="0"/>
          <w:sz w:val="44"/>
          <w:szCs w:val="44"/>
        </w:rPr>
      </w:pPr>
    </w:p>
    <w:p>
      <w:pPr>
        <w:ind w:firstLine="880" w:firstLineChars="200"/>
        <w:jc w:val="both"/>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通报培训促推进   问卷测试找问题</w:t>
      </w:r>
    </w:p>
    <w:p>
      <w:pPr>
        <w:pStyle w:val="2"/>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drawing>
          <wp:anchor distT="0" distB="0" distL="114935" distR="114935" simplePos="0" relativeHeight="251674624" behindDoc="0" locked="0" layoutInCell="1" allowOverlap="1">
            <wp:simplePos x="0" y="0"/>
            <wp:positionH relativeFrom="column">
              <wp:posOffset>1831975</wp:posOffset>
            </wp:positionH>
            <wp:positionV relativeFrom="paragraph">
              <wp:posOffset>1463675</wp:posOffset>
            </wp:positionV>
            <wp:extent cx="3403600" cy="2553335"/>
            <wp:effectExtent l="0" t="0" r="6350" b="18415"/>
            <wp:wrapSquare wrapText="bothSides"/>
            <wp:docPr id="1" name="图片 1" descr="IMG_6474(20201023-17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6474(20201023-171813)"/>
                    <pic:cNvPicPr>
                      <a:picLocks noChangeAspect="1"/>
                    </pic:cNvPicPr>
                  </pic:nvPicPr>
                  <pic:blipFill>
                    <a:blip r:embed="rId4"/>
                    <a:stretch>
                      <a:fillRect/>
                    </a:stretch>
                  </pic:blipFill>
                  <pic:spPr>
                    <a:xfrm>
                      <a:off x="0" y="0"/>
                      <a:ext cx="3403600" cy="2553335"/>
                    </a:xfrm>
                    <a:prstGeom prst="rect">
                      <a:avLst/>
                    </a:prstGeom>
                  </pic:spPr>
                </pic:pic>
              </a:graphicData>
            </a:graphic>
          </wp:anchor>
        </w:drawing>
      </w:r>
      <w:r>
        <w:rPr>
          <w:rFonts w:hint="default" w:ascii="Times New Roman" w:hAnsi="Times New Roman" w:eastAsia="仿宋_GB2312" w:cs="Times New Roman"/>
          <w:kern w:val="2"/>
          <w:sz w:val="32"/>
          <w:szCs w:val="32"/>
          <w:lang w:val="en-US" w:eastAsia="zh-CN" w:bidi="ar-SA"/>
        </w:rPr>
        <w:t>2020年是贯彻执行中国妇女和儿童发展纲要（2011-2020年）、云南省妇女和儿童发展规划（2011-2020年）的收官之年，针对当前西山区各项指标完成情况，为进一步推进我区“两纲”、“两规”任务指标圆满完成，2020年10月22日，西山区妇幼保健计划生育服务中心组织召开“2020年西山区‘两纲两规’工作推进会暨妇幼健康项目管理培训班，会议分两个阶段进行，上午的会议首先通报分析了当前全区“两纲两规”主要指标及妇幼健康相关指标完成情况，辖区12家助产医疗机构和10家社区卫生服务总中心的分管领导、部门负责人和妇幼专干共68人参加会议，区卫健局陈龙副局长到会并对我区“两纲”“两规”终期目标冲刺工作做动员讲话并提出三点工作要求，一是要统一思想，提高认识，</w:t>
      </w:r>
      <w:r>
        <w:rPr>
          <w:rFonts w:hint="default" w:ascii="Times New Roman" w:hAnsi="Times New Roman" w:eastAsia="仿宋_GB2312" w:cs="Times New Roman"/>
          <w:kern w:val="2"/>
          <w:sz w:val="32"/>
          <w:szCs w:val="32"/>
          <w:lang w:val="en-US" w:eastAsia="zh-CN" w:bidi="ar-SA"/>
        </w:rPr>
        <w:drawing>
          <wp:anchor distT="0" distB="0" distL="114935" distR="114935" simplePos="0" relativeHeight="251675648" behindDoc="0" locked="0" layoutInCell="1" allowOverlap="1">
            <wp:simplePos x="0" y="0"/>
            <wp:positionH relativeFrom="column">
              <wp:posOffset>0</wp:posOffset>
            </wp:positionH>
            <wp:positionV relativeFrom="paragraph">
              <wp:posOffset>2377440</wp:posOffset>
            </wp:positionV>
            <wp:extent cx="3422650" cy="2567305"/>
            <wp:effectExtent l="0" t="0" r="6350" b="4445"/>
            <wp:wrapSquare wrapText="bothSides"/>
            <wp:docPr id="2" name="图片 2" descr="IMG_6475(20201023-17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6475(20201023-171828)"/>
                    <pic:cNvPicPr>
                      <a:picLocks noChangeAspect="1"/>
                    </pic:cNvPicPr>
                  </pic:nvPicPr>
                  <pic:blipFill>
                    <a:blip r:embed="rId5"/>
                    <a:stretch>
                      <a:fillRect/>
                    </a:stretch>
                  </pic:blipFill>
                  <pic:spPr>
                    <a:xfrm>
                      <a:off x="0" y="0"/>
                      <a:ext cx="3422650" cy="2567305"/>
                    </a:xfrm>
                    <a:prstGeom prst="rect">
                      <a:avLst/>
                    </a:prstGeom>
                  </pic:spPr>
                </pic:pic>
              </a:graphicData>
            </a:graphic>
          </wp:anchor>
        </w:drawing>
      </w:r>
      <w:r>
        <w:rPr>
          <w:rFonts w:hint="default" w:ascii="Times New Roman" w:hAnsi="Times New Roman" w:eastAsia="仿宋_GB2312" w:cs="Times New Roman"/>
          <w:kern w:val="2"/>
          <w:sz w:val="32"/>
          <w:szCs w:val="32"/>
          <w:lang w:val="en-US" w:eastAsia="zh-CN" w:bidi="ar-SA"/>
        </w:rPr>
        <w:t>打好“两纲两规”工作攻坚克难战；二是要压实责任，找准差距，聚焦重点工作，确保“两纲两规”各项指标任务如期完成；三是要针对有反弹趋势的指标认真分析查找原因，研究制定有效的控制措施。接下来针对辖区各助产医疗机构进行妇幼健康项目工作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下午第二阶段会议内容为课前及课后问卷测试及妇幼健康各项目管理专题培训，辖区所有社区卫生服务中心（站、村卫生室）妇幼专干共133人参训。培训内容覆盖了基本公共卫生妇幼包、妇幼卫生监测、妇幼卫生信息统计等项目工作。此次会议首次创新问卷答题方式，通过微信答题及统计分析，从答题情况查找到了各项目工作的存在问题及薄弱环节，大大提高了培训效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kern w:val="2"/>
          <w:sz w:val="32"/>
          <w:szCs w:val="32"/>
          <w:lang w:val="en-US" w:eastAsia="zh-CN" w:bidi="ar-SA"/>
        </w:rPr>
        <w:t>此次会议的召开，对西山区下一步工作具有较强的指导意见，为“两纲两规”工作目标的完成起到了推动作用。</w:t>
      </w:r>
    </w:p>
    <w:p>
      <w:pPr>
        <w:spacing w:line="560" w:lineRule="exact"/>
        <w:rPr>
          <w:rFonts w:hint="eastAsia" w:ascii="仿宋_GB2312" w:hAnsi="宋体" w:eastAsia="仿宋_GB2312" w:cs="仿宋_GB2312"/>
          <w:u w:val="single"/>
        </w:rPr>
      </w:pPr>
      <w:r>
        <w:rPr>
          <w:rFonts w:hint="eastAsia" w:ascii="仿宋_GB2312" w:hAnsi="宋体" w:eastAsia="仿宋_GB2312" w:cs="仿宋_GB2312"/>
          <w:u w:val="single"/>
        </w:rPr>
        <w:t xml:space="preserve">                                                            </w:t>
      </w:r>
      <w:r>
        <w:rPr>
          <w:rFonts w:hint="eastAsia" w:ascii="仿宋_GB2312" w:hAnsi="宋体" w:eastAsia="仿宋_GB2312" w:cs="仿宋_GB2312"/>
          <w:u w:val="single"/>
          <w:lang w:val="en-US" w:eastAsia="zh-CN"/>
        </w:rPr>
        <w:t xml:space="preserve">  </w:t>
      </w:r>
      <w:r>
        <w:rPr>
          <w:rFonts w:hint="eastAsia" w:ascii="仿宋_GB2312" w:hAnsi="宋体" w:eastAsia="仿宋_GB2312" w:cs="仿宋_GB2312"/>
          <w:u w:val="single"/>
        </w:rPr>
        <w:t xml:space="preserve"> </w:t>
      </w:r>
      <w:r>
        <w:rPr>
          <w:rFonts w:hint="eastAsia" w:ascii="仿宋_GB2312" w:hAnsi="宋体" w:eastAsia="仿宋_GB2312" w:cs="仿宋_GB2312"/>
          <w:u w:val="single"/>
          <w:lang w:val="en-US" w:eastAsia="zh-CN"/>
        </w:rPr>
        <w:t xml:space="preserve"> </w:t>
      </w:r>
      <w:r>
        <w:rPr>
          <w:rFonts w:hint="eastAsia" w:ascii="仿宋_GB2312" w:hAnsi="宋体" w:eastAsia="仿宋_GB2312" w:cs="仿宋_GB2312"/>
          <w:u w:val="single"/>
        </w:rPr>
        <w:t xml:space="preserve">       </w:t>
      </w:r>
      <w:r>
        <w:rPr>
          <w:rFonts w:hint="eastAsia" w:ascii="仿宋_GB2312" w:hAnsi="宋体" w:eastAsia="仿宋_GB2312" w:cs="仿宋_GB2312"/>
          <w:u w:val="single"/>
          <w:lang w:val="en-US" w:eastAsia="zh-CN"/>
        </w:rPr>
        <w:t xml:space="preserve"> </w:t>
      </w:r>
      <w:r>
        <w:rPr>
          <w:rFonts w:hint="eastAsia" w:ascii="仿宋_GB2312" w:hAnsi="宋体" w:eastAsia="仿宋_GB2312" w:cs="仿宋_GB2312"/>
          <w:u w:val="single"/>
        </w:rPr>
        <w:t xml:space="preserve">        </w:t>
      </w:r>
    </w:p>
    <w:p>
      <w:pPr>
        <w:spacing w:line="560" w:lineRule="exact"/>
        <w:rPr>
          <w:rFonts w:hint="default" w:ascii="Times New Roman" w:hAnsi="Times New Roman" w:eastAsia="仿宋_GB2312" w:cs="Times New Roman"/>
          <w:color w:val="auto"/>
          <w:sz w:val="32"/>
          <w:szCs w:val="32"/>
          <w:lang w:eastAsia="zh-CN"/>
        </w:rPr>
      </w:pPr>
      <w:r>
        <w:rPr>
          <w:rFonts w:hint="eastAsia" w:ascii="仿宋_GB2312" w:hAnsi="宋体" w:eastAsia="仿宋_GB2312" w:cs="仿宋_GB2312"/>
          <w:sz w:val="32"/>
          <w:szCs w:val="32"/>
        </w:rPr>
        <w:t>编（校）稿：</w:t>
      </w:r>
      <w:r>
        <w:rPr>
          <w:rFonts w:hint="eastAsia" w:ascii="仿宋_GB2312" w:hAnsi="宋体" w:eastAsia="仿宋_GB2312" w:cs="仿宋_GB2312"/>
          <w:sz w:val="32"/>
          <w:szCs w:val="32"/>
          <w:lang w:eastAsia="zh-CN"/>
        </w:rPr>
        <w:t>尹</w:t>
      </w:r>
      <w:r>
        <w:rPr>
          <w:rFonts w:hint="eastAsia" w:ascii="仿宋_GB2312" w:hAnsi="宋体" w:eastAsia="仿宋_GB2312" w:cs="仿宋_GB2312"/>
          <w:sz w:val="32"/>
          <w:szCs w:val="32"/>
          <w:lang w:val="en-US" w:eastAsia="zh-CN"/>
        </w:rPr>
        <w:t xml:space="preserve">  </w:t>
      </w:r>
      <w:r>
        <w:rPr>
          <w:rFonts w:hint="eastAsia" w:ascii="仿宋_GB2312" w:hAnsi="宋体" w:eastAsia="仿宋_GB2312" w:cs="仿宋_GB2312"/>
          <w:sz w:val="32"/>
          <w:szCs w:val="32"/>
          <w:lang w:eastAsia="zh-CN"/>
        </w:rPr>
        <w:t>莉</w:t>
      </w:r>
      <w:r>
        <w:rPr>
          <w:rFonts w:hint="eastAsia" w:ascii="仿宋_GB2312" w:hAnsi="宋体" w:eastAsia="仿宋_GB2312" w:cs="仿宋_GB2312"/>
        </w:rPr>
        <w:t xml:space="preserve">                         </w:t>
      </w:r>
      <w:r>
        <w:rPr>
          <w:rFonts w:hint="eastAsia" w:ascii="仿宋_GB2312" w:hAnsi="宋体" w:eastAsia="仿宋_GB2312" w:cs="仿宋_GB2312"/>
          <w:lang w:val="en-US" w:eastAsia="zh-CN"/>
        </w:rPr>
        <w:t xml:space="preserve"> </w:t>
      </w:r>
      <w:r>
        <w:rPr>
          <w:rFonts w:hint="eastAsia" w:ascii="仿宋_GB2312" w:hAnsi="宋体" w:eastAsia="仿宋_GB2312" w:cs="仿宋_GB2312"/>
        </w:rPr>
        <w:t xml:space="preserve">   </w:t>
      </w:r>
      <w:r>
        <w:rPr>
          <w:rFonts w:hint="eastAsia" w:ascii="仿宋_GB2312" w:hAnsi="宋体" w:eastAsia="仿宋_GB2312" w:cs="仿宋_GB2312"/>
          <w:lang w:val="en-US" w:eastAsia="zh-CN"/>
        </w:rPr>
        <w:t xml:space="preserve">   </w:t>
      </w:r>
      <w:r>
        <w:rPr>
          <w:rFonts w:hint="eastAsia" w:ascii="仿宋_GB2312" w:hAnsi="宋体" w:eastAsia="仿宋_GB2312" w:cs="仿宋_GB2312"/>
        </w:rPr>
        <w:t xml:space="preserve"> </w:t>
      </w:r>
      <w:r>
        <w:rPr>
          <w:rFonts w:hint="eastAsia" w:ascii="仿宋_GB2312" w:hAnsi="宋体" w:eastAsia="仿宋_GB2312" w:cs="仿宋_GB2312"/>
          <w:sz w:val="32"/>
          <w:szCs w:val="32"/>
        </w:rPr>
        <w:t>审稿：</w:t>
      </w:r>
      <w:r>
        <w:rPr>
          <w:rFonts w:hint="eastAsia" w:ascii="仿宋_GB2312" w:hAnsi="宋体" w:eastAsia="仿宋_GB2312" w:cs="仿宋_GB2312"/>
          <w:sz w:val="32"/>
          <w:szCs w:val="32"/>
          <w:lang w:eastAsia="zh-CN"/>
        </w:rPr>
        <w:t>汪雪芹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7503AB"/>
    <w:rsid w:val="018E0316"/>
    <w:rsid w:val="019351AE"/>
    <w:rsid w:val="028F74F4"/>
    <w:rsid w:val="032D4844"/>
    <w:rsid w:val="039006BB"/>
    <w:rsid w:val="03DE0BBA"/>
    <w:rsid w:val="03E83D8D"/>
    <w:rsid w:val="05D1720E"/>
    <w:rsid w:val="074B5150"/>
    <w:rsid w:val="07BB5C14"/>
    <w:rsid w:val="07F95197"/>
    <w:rsid w:val="089B2E97"/>
    <w:rsid w:val="08B43E26"/>
    <w:rsid w:val="09DE563C"/>
    <w:rsid w:val="0AD62B62"/>
    <w:rsid w:val="0C041A53"/>
    <w:rsid w:val="0C9D6E31"/>
    <w:rsid w:val="0CCC346F"/>
    <w:rsid w:val="0CDA33FE"/>
    <w:rsid w:val="0E031173"/>
    <w:rsid w:val="0ED95609"/>
    <w:rsid w:val="0F38167E"/>
    <w:rsid w:val="122951E5"/>
    <w:rsid w:val="128664E7"/>
    <w:rsid w:val="13B67B4A"/>
    <w:rsid w:val="13D2314C"/>
    <w:rsid w:val="143535FE"/>
    <w:rsid w:val="14604066"/>
    <w:rsid w:val="15F90437"/>
    <w:rsid w:val="16150ECD"/>
    <w:rsid w:val="16EA2072"/>
    <w:rsid w:val="17AB4F11"/>
    <w:rsid w:val="180A147C"/>
    <w:rsid w:val="18AB5501"/>
    <w:rsid w:val="19255582"/>
    <w:rsid w:val="19334EB3"/>
    <w:rsid w:val="1BF22C16"/>
    <w:rsid w:val="1F017A1D"/>
    <w:rsid w:val="1F7715EA"/>
    <w:rsid w:val="1F8A66C4"/>
    <w:rsid w:val="1F8C5F56"/>
    <w:rsid w:val="1FBA1F57"/>
    <w:rsid w:val="1FEC504E"/>
    <w:rsid w:val="20986894"/>
    <w:rsid w:val="20B269B5"/>
    <w:rsid w:val="21CF31F9"/>
    <w:rsid w:val="233A38B5"/>
    <w:rsid w:val="239E572E"/>
    <w:rsid w:val="23F9435E"/>
    <w:rsid w:val="26DE421E"/>
    <w:rsid w:val="27313A2A"/>
    <w:rsid w:val="282613FD"/>
    <w:rsid w:val="28CD125E"/>
    <w:rsid w:val="28E52092"/>
    <w:rsid w:val="2C1830D7"/>
    <w:rsid w:val="2CDB1341"/>
    <w:rsid w:val="2EC775A1"/>
    <w:rsid w:val="2FC308AA"/>
    <w:rsid w:val="30833531"/>
    <w:rsid w:val="316847D6"/>
    <w:rsid w:val="32196D51"/>
    <w:rsid w:val="338E2EDF"/>
    <w:rsid w:val="34352FF4"/>
    <w:rsid w:val="36616C95"/>
    <w:rsid w:val="36A77DAA"/>
    <w:rsid w:val="383D2723"/>
    <w:rsid w:val="38846875"/>
    <w:rsid w:val="39665B15"/>
    <w:rsid w:val="3B5D44F4"/>
    <w:rsid w:val="3CA621AB"/>
    <w:rsid w:val="3E713439"/>
    <w:rsid w:val="3F080FA9"/>
    <w:rsid w:val="3F900911"/>
    <w:rsid w:val="3FD75E3B"/>
    <w:rsid w:val="40905513"/>
    <w:rsid w:val="40AE7732"/>
    <w:rsid w:val="41282328"/>
    <w:rsid w:val="41B40632"/>
    <w:rsid w:val="4235719F"/>
    <w:rsid w:val="4434582C"/>
    <w:rsid w:val="44706C30"/>
    <w:rsid w:val="45494EB0"/>
    <w:rsid w:val="45DF26B5"/>
    <w:rsid w:val="465F014E"/>
    <w:rsid w:val="46D317D9"/>
    <w:rsid w:val="46EF7B46"/>
    <w:rsid w:val="47134818"/>
    <w:rsid w:val="47B33E7D"/>
    <w:rsid w:val="499A19C7"/>
    <w:rsid w:val="4A0B5CAF"/>
    <w:rsid w:val="4A570651"/>
    <w:rsid w:val="4CA069B0"/>
    <w:rsid w:val="4CBA03DF"/>
    <w:rsid w:val="4CC467F0"/>
    <w:rsid w:val="4D4E6E61"/>
    <w:rsid w:val="4E111A44"/>
    <w:rsid w:val="5025545B"/>
    <w:rsid w:val="5186762E"/>
    <w:rsid w:val="546B20DC"/>
    <w:rsid w:val="5562754B"/>
    <w:rsid w:val="558D385A"/>
    <w:rsid w:val="55C7585A"/>
    <w:rsid w:val="5672329C"/>
    <w:rsid w:val="575C534A"/>
    <w:rsid w:val="58130FD1"/>
    <w:rsid w:val="5813506C"/>
    <w:rsid w:val="58533C26"/>
    <w:rsid w:val="5B774C00"/>
    <w:rsid w:val="5D354E62"/>
    <w:rsid w:val="5E1B07E1"/>
    <w:rsid w:val="5F166907"/>
    <w:rsid w:val="613B2743"/>
    <w:rsid w:val="62F70BE2"/>
    <w:rsid w:val="63082B33"/>
    <w:rsid w:val="633777F9"/>
    <w:rsid w:val="63D31821"/>
    <w:rsid w:val="64213A45"/>
    <w:rsid w:val="64887B71"/>
    <w:rsid w:val="659C6B42"/>
    <w:rsid w:val="663F15D2"/>
    <w:rsid w:val="668C3A19"/>
    <w:rsid w:val="67A03786"/>
    <w:rsid w:val="68001997"/>
    <w:rsid w:val="68132C71"/>
    <w:rsid w:val="68163173"/>
    <w:rsid w:val="694C0B74"/>
    <w:rsid w:val="69D17D43"/>
    <w:rsid w:val="69F008FC"/>
    <w:rsid w:val="6A1D1D56"/>
    <w:rsid w:val="6ADE39C0"/>
    <w:rsid w:val="6BCF6452"/>
    <w:rsid w:val="6E310C90"/>
    <w:rsid w:val="6F511761"/>
    <w:rsid w:val="70CD3EFC"/>
    <w:rsid w:val="715A15DB"/>
    <w:rsid w:val="723A33DA"/>
    <w:rsid w:val="733D702E"/>
    <w:rsid w:val="744C5E81"/>
    <w:rsid w:val="74E818E9"/>
    <w:rsid w:val="757A2946"/>
    <w:rsid w:val="758A6895"/>
    <w:rsid w:val="766C3D46"/>
    <w:rsid w:val="775124A5"/>
    <w:rsid w:val="78147DB8"/>
    <w:rsid w:val="78D57E0B"/>
    <w:rsid w:val="79BB40AE"/>
    <w:rsid w:val="7A253ECC"/>
    <w:rsid w:val="7A5137B5"/>
    <w:rsid w:val="7ACE31E2"/>
    <w:rsid w:val="7AFB3C3F"/>
    <w:rsid w:val="7B415E15"/>
    <w:rsid w:val="7B935BCE"/>
    <w:rsid w:val="7CA33427"/>
    <w:rsid w:val="7DEC55C3"/>
    <w:rsid w:val="7E7238CC"/>
    <w:rsid w:val="7E7F20A8"/>
    <w:rsid w:val="7E81394C"/>
    <w:rsid w:val="7EF15C92"/>
    <w:rsid w:val="7EFA1714"/>
    <w:rsid w:val="7F696569"/>
    <w:rsid w:val="7F7F1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2"/>
    <w:qFormat/>
    <w:uiPriority w:val="0"/>
    <w:pPr>
      <w:keepNext/>
      <w:keepLines/>
      <w:spacing w:line="576" w:lineRule="auto"/>
      <w:outlineLvl w:val="0"/>
    </w:pPr>
    <w:rPr>
      <w:b/>
      <w:kern w:val="44"/>
      <w:sz w:val="44"/>
    </w:rPr>
  </w:style>
  <w:style w:type="character" w:default="1" w:styleId="10">
    <w:name w:val="Default Paragraph Font"/>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character" w:styleId="11">
    <w:name w:val="Hyperlink"/>
    <w:basedOn w:val="10"/>
    <w:qFormat/>
    <w:uiPriority w:val="0"/>
    <w:rPr>
      <w:color w:val="0000FF"/>
      <w:u w:val="single"/>
    </w:rPr>
  </w:style>
  <w:style w:type="character" w:customStyle="1" w:styleId="12">
    <w:name w:val="标题 1 Char"/>
    <w:link w:val="3"/>
    <w:qFormat/>
    <w:uiPriority w:val="0"/>
    <w:rPr>
      <w:b/>
      <w:kern w:val="44"/>
      <w:sz w:val="44"/>
    </w:rPr>
  </w:style>
  <w:style w:type="paragraph" w:customStyle="1" w:styleId="13">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paragraph" w:customStyle="1" w:styleId="15">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6">
    <w:name w:val="NormalCharacter"/>
    <w:semiHidden/>
    <w:qFormat/>
    <w:uiPriority w:val="0"/>
  </w:style>
  <w:style w:type="character" w:customStyle="1" w:styleId="17">
    <w:name w:val="apple-style-span"/>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1</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2020-10-26T06:52:36Z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