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ascii="Times New Roman" w:hAnsi="Times New Roman" w:eastAsia="华文行楷" w:cs="Times New Roman"/>
          <w:bCs/>
          <w:color w:val="FF0000"/>
          <w:sz w:val="84"/>
          <w:szCs w:val="84"/>
        </w:rPr>
      </w:pPr>
      <w:r>
        <w:rPr>
          <w:rFonts w:hint="default" w:ascii="Times New Roman" w:hAnsi="Times New Roman" w:eastAsia="华文行楷" w:cs="Times New Roman"/>
          <w:color w:val="FF0000"/>
          <w:sz w:val="136"/>
          <w:szCs w:val="136"/>
        </w:rPr>
        <w:t>西山卫生信息</w:t>
      </w:r>
    </w:p>
    <w:p>
      <w:pPr>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第1</w:t>
      </w:r>
      <w:r>
        <w:rPr>
          <w:rFonts w:hint="default" w:ascii="Times New Roman" w:hAnsi="Times New Roman" w:eastAsia="仿宋_GB2312" w:cs="Times New Roman"/>
          <w:sz w:val="32"/>
          <w:szCs w:val="32"/>
          <w:lang w:val="en-US" w:eastAsia="zh-CN"/>
        </w:rPr>
        <w:t>6</w:t>
      </w:r>
      <w:r>
        <w:rPr>
          <w:rFonts w:hint="eastAsia" w:ascii="Times New Roman" w:hAnsi="Times New Roman" w:eastAsia="仿宋_GB2312" w:cs="Times New Roman"/>
          <w:sz w:val="32"/>
          <w:szCs w:val="32"/>
          <w:lang w:val="en-US" w:eastAsia="zh-CN"/>
        </w:rPr>
        <w:t>8</w:t>
      </w:r>
      <w:r>
        <w:rPr>
          <w:rFonts w:hint="default" w:ascii="Times New Roman" w:hAnsi="Times New Roman" w:eastAsia="仿宋_GB2312" w:cs="Times New Roman"/>
          <w:sz w:val="32"/>
          <w:szCs w:val="32"/>
        </w:rPr>
        <w:t>期</w:t>
      </w:r>
    </w:p>
    <w:p>
      <w:pPr>
        <w:jc w:val="center"/>
        <w:rPr>
          <w:rFonts w:hint="default" w:ascii="Times New Roman" w:hAnsi="Times New Roman" w:eastAsia="仿宋_GB2312" w:cs="Times New Roman"/>
          <w:sz w:val="32"/>
          <w:szCs w:val="32"/>
        </w:rPr>
      </w:pPr>
    </w:p>
    <w:p>
      <w:pPr>
        <w:spacing w:line="560" w:lineRule="exact"/>
        <w:ind w:firstLine="105" w:firstLineChars="50"/>
        <w:rPr>
          <w:rFonts w:hint="default" w:ascii="Times New Roman" w:hAnsi="Times New Roman" w:eastAsia="仿宋_GB2312" w:cs="Times New Roman"/>
          <w:sz w:val="32"/>
          <w:szCs w:val="32"/>
        </w:rPr>
      </w:pPr>
      <w:r>
        <w:rPr>
          <w:rFonts w:hint="default" w:ascii="Times New Roman" w:hAnsi="Times New Roman" w:cs="Times New Roman"/>
        </w:rPr>
        <mc:AlternateContent>
          <mc:Choice Requires="wps">
            <w:drawing>
              <wp:anchor distT="0" distB="0" distL="114300" distR="114300" simplePos="0" relativeHeight="251673600" behindDoc="0" locked="0" layoutInCell="1" allowOverlap="1">
                <wp:simplePos x="0" y="0"/>
                <wp:positionH relativeFrom="column">
                  <wp:posOffset>9525</wp:posOffset>
                </wp:positionH>
                <wp:positionV relativeFrom="paragraph">
                  <wp:posOffset>345440</wp:posOffset>
                </wp:positionV>
                <wp:extent cx="5278755" cy="0"/>
                <wp:effectExtent l="0" t="9525" r="17145" b="9525"/>
                <wp:wrapNone/>
                <wp:docPr id="3" name="直接连接符 3"/>
                <wp:cNvGraphicFramePr/>
                <a:graphic xmlns:a="http://schemas.openxmlformats.org/drawingml/2006/main">
                  <a:graphicData uri="http://schemas.microsoft.com/office/word/2010/wordprocessingShape">
                    <wps:wsp>
                      <wps:cNvCnPr/>
                      <wps:spPr>
                        <a:xfrm flipV="1">
                          <a:off x="0" y="0"/>
                          <a:ext cx="5257800" cy="0"/>
                        </a:xfrm>
                        <a:prstGeom prst="line">
                          <a:avLst/>
                        </a:prstGeom>
                        <a:ln w="19050" cap="flat" cmpd="sng">
                          <a:solidFill>
                            <a:srgbClr val="FF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flip:y;margin-left:0.75pt;margin-top:27.2pt;height:0pt;width:415.65pt;z-index:251673600;mso-width-relative:page;mso-height-relative:page;" filled="f" stroked="t" coordsize="21600,21600" o:gfxdata="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ftmDEtQA&#10;AAAHAQAADwAAAAAAAAABACAAAAAiAAAAZHJzL2Rvd25yZXYueG1sUEsBAhQAFAAAAAgAh07iQIQl&#10;8rnqAQAArwMAAA4AAAAAAAAAAQAgAAAAIwEAAGRycy9lMm9Eb2MueG1sUEsFBgAAAAAGAAYAWQEA&#10;AH8FAAAAAA==&#10;">
                <v:fill on="f" focussize="0,0"/>
                <v:stroke weight="1.5pt" color="#FF0000" joinstyle="round"/>
                <v:imagedata o:title=""/>
                <o:lock v:ext="edit" aspectratio="f"/>
              </v:line>
            </w:pict>
          </mc:Fallback>
        </mc:AlternateContent>
      </w:r>
      <w:r>
        <w:rPr>
          <w:rFonts w:hint="default" w:ascii="Times New Roman" w:hAnsi="Times New Roman" w:eastAsia="仿宋_GB2312" w:cs="Times New Roman"/>
          <w:sz w:val="32"/>
          <w:szCs w:val="32"/>
        </w:rPr>
        <w:t>昆明市西山区卫生健康局办公室       2020年</w:t>
      </w:r>
      <w:r>
        <w:rPr>
          <w:rFonts w:hint="default" w:ascii="Times New Roman" w:hAnsi="Times New Roman" w:eastAsia="仿宋_GB2312" w:cs="Times New Roman"/>
          <w:sz w:val="32"/>
          <w:szCs w:val="32"/>
          <w:lang w:val="en-US" w:eastAsia="zh-CN"/>
        </w:rPr>
        <w:t>10</w:t>
      </w:r>
      <w:r>
        <w:rPr>
          <w:rFonts w:hint="default" w:ascii="Times New Roman" w:hAnsi="Times New Roman" w:eastAsia="仿宋_GB2312" w:cs="Times New Roman"/>
          <w:sz w:val="32"/>
          <w:szCs w:val="32"/>
        </w:rPr>
        <w:t>月</w:t>
      </w:r>
      <w:r>
        <w:rPr>
          <w:rFonts w:hint="default" w:ascii="Times New Roman" w:hAnsi="Times New Roman" w:eastAsia="仿宋_GB2312" w:cs="Times New Roman"/>
          <w:sz w:val="32"/>
          <w:szCs w:val="32"/>
          <w:lang w:val="en-US" w:eastAsia="zh-CN"/>
        </w:rPr>
        <w:t>2</w:t>
      </w:r>
      <w:r>
        <w:rPr>
          <w:rFonts w:hint="eastAsia"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rPr>
        <w:t>日</w:t>
      </w:r>
    </w:p>
    <w:p>
      <w:pPr>
        <w:keepNext w:val="0"/>
        <w:keepLines w:val="0"/>
        <w:pageBreakBefore w:val="0"/>
        <w:widowControl w:val="0"/>
        <w:kinsoku/>
        <w:wordWrap/>
        <w:overflowPunct/>
        <w:topLinePunct w:val="0"/>
        <w:autoSpaceDE/>
        <w:autoSpaceDN/>
        <w:bidi w:val="0"/>
        <w:adjustRightInd/>
        <w:snapToGrid/>
        <w:spacing w:line="590" w:lineRule="exact"/>
        <w:jc w:val="center"/>
        <w:textAlignment w:val="auto"/>
        <w:rPr>
          <w:rFonts w:hint="default" w:ascii="Times New Roman" w:hAnsi="Times New Roman" w:eastAsia="方正小标宋简体" w:cs="Times New Roman"/>
          <w:b w:val="0"/>
          <w:bCs w:val="0"/>
          <w:sz w:val="44"/>
          <w:szCs w:val="44"/>
        </w:rPr>
      </w:pPr>
    </w:p>
    <w:p>
      <w:pPr>
        <w:keepNext w:val="0"/>
        <w:keepLines w:val="0"/>
        <w:pageBreakBefore w:val="0"/>
        <w:widowControl w:val="0"/>
        <w:kinsoku/>
        <w:wordWrap/>
        <w:overflowPunct/>
        <w:topLinePunct w:val="0"/>
        <w:autoSpaceDE/>
        <w:autoSpaceDN/>
        <w:bidi w:val="0"/>
        <w:adjustRightInd/>
        <w:snapToGrid/>
        <w:spacing w:line="590" w:lineRule="exact"/>
        <w:jc w:val="center"/>
        <w:textAlignment w:val="auto"/>
        <w:rPr>
          <w:rFonts w:asciiTheme="majorEastAsia" w:hAnsiTheme="majorEastAsia" w:eastAsiaTheme="majorEastAsia"/>
          <w:sz w:val="44"/>
          <w:szCs w:val="44"/>
        </w:rPr>
      </w:pPr>
      <w:r>
        <w:rPr>
          <w:rFonts w:hint="eastAsia" w:ascii="方正小标宋简体" w:hAnsi="方正小标宋简体" w:eastAsia="方正小标宋简体" w:cs="方正小标宋简体"/>
          <w:sz w:val="44"/>
          <w:szCs w:val="44"/>
        </w:rPr>
        <w:t>西山区卫生健康局对辖区餐饮企业进行常消毒培训</w:t>
      </w:r>
    </w:p>
    <w:p>
      <w:pPr>
        <w:pStyle w:val="2"/>
        <w:keepNext w:val="0"/>
        <w:keepLines w:val="0"/>
        <w:pageBreakBefore w:val="0"/>
        <w:widowControl w:val="0"/>
        <w:kinsoku/>
        <w:wordWrap/>
        <w:overflowPunct/>
        <w:topLinePunct w:val="0"/>
        <w:autoSpaceDE/>
        <w:autoSpaceDN/>
        <w:bidi w:val="0"/>
        <w:adjustRightInd/>
        <w:snapToGrid/>
        <w:spacing w:line="590" w:lineRule="exact"/>
        <w:textAlignment w:val="auto"/>
        <w:rPr>
          <w:rFonts w:hint="default" w:ascii="Times New Roman" w:hAnsi="Times New Roman" w:cs="Times New Roman"/>
        </w:rPr>
      </w:pPr>
    </w:p>
    <w:p>
      <w:pPr>
        <w:ind w:firstLine="640" w:firstLineChars="200"/>
        <w:rPr>
          <w:rFonts w:ascii="仿宋_GB2312" w:eastAsia="仿宋_GB2312"/>
          <w:sz w:val="32"/>
          <w:szCs w:val="32"/>
        </w:rPr>
      </w:pPr>
      <w:r>
        <w:rPr>
          <w:rFonts w:ascii="仿宋_GB2312" w:eastAsia="仿宋_GB2312"/>
          <w:sz w:val="32"/>
          <w:szCs w:val="32"/>
        </w:rPr>
        <w:drawing>
          <wp:anchor distT="0" distB="0" distL="114300" distR="114300" simplePos="0" relativeHeight="251674624" behindDoc="0" locked="0" layoutInCell="1" allowOverlap="1">
            <wp:simplePos x="0" y="0"/>
            <wp:positionH relativeFrom="column">
              <wp:posOffset>-19050</wp:posOffset>
            </wp:positionH>
            <wp:positionV relativeFrom="paragraph">
              <wp:posOffset>411480</wp:posOffset>
            </wp:positionV>
            <wp:extent cx="3293110" cy="2466975"/>
            <wp:effectExtent l="0" t="0" r="2540" b="9525"/>
            <wp:wrapSquare wrapText="bothSides"/>
            <wp:docPr id="1" name="图片 1" descr="C:\Users\ADMINI~1\AppData\Local\Temp\WeChat Files\28eea497fc07b304ec4d34aa1ce92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ADMINI~1\AppData\Local\Temp\WeChat Files\28eea497fc07b304ec4d34aa1ce9200.jpg"/>
                    <pic:cNvPicPr>
                      <a:picLocks noChangeAspect="1" noChangeArrowheads="1"/>
                    </pic:cNvPicPr>
                  </pic:nvPicPr>
                  <pic:blipFill>
                    <a:blip r:embed="rId4"/>
                    <a:srcRect/>
                    <a:stretch>
                      <a:fillRect/>
                    </a:stretch>
                  </pic:blipFill>
                  <pic:spPr>
                    <a:xfrm>
                      <a:off x="0" y="0"/>
                      <a:ext cx="3293110" cy="2466975"/>
                    </a:xfrm>
                    <a:prstGeom prst="rect">
                      <a:avLst/>
                    </a:prstGeom>
                    <a:noFill/>
                    <a:ln w="9525">
                      <a:noFill/>
                      <a:miter lim="800000"/>
                      <a:headEnd/>
                      <a:tailEnd/>
                    </a:ln>
                  </pic:spPr>
                </pic:pic>
              </a:graphicData>
            </a:graphic>
          </wp:anchor>
        </w:drawing>
      </w:r>
      <w:r>
        <w:rPr>
          <w:rFonts w:hint="eastAsia" w:ascii="仿宋_GB2312" w:eastAsia="仿宋_GB2312"/>
          <w:sz w:val="32"/>
          <w:szCs w:val="32"/>
        </w:rPr>
        <w:t>为进一步做好餐饮服务环境、农（集）贸市场卫生条件提升改善，做好消毒及防疫工作，</w:t>
      </w:r>
      <w:r>
        <w:rPr>
          <w:rFonts w:hint="eastAsia" w:ascii="仿宋_GB2312" w:eastAsia="仿宋_GB2312"/>
          <w:sz w:val="32"/>
          <w:szCs w:val="32"/>
          <w:lang w:eastAsia="zh-CN"/>
        </w:rPr>
        <w:t>西山</w:t>
      </w:r>
      <w:r>
        <w:rPr>
          <w:rFonts w:hint="eastAsia" w:ascii="仿宋_GB2312" w:eastAsia="仿宋_GB2312"/>
          <w:sz w:val="32"/>
          <w:szCs w:val="32"/>
        </w:rPr>
        <w:t>区卫生健康局组织</w:t>
      </w:r>
      <w:r>
        <w:rPr>
          <w:rFonts w:hint="eastAsia" w:ascii="仿宋_GB2312" w:eastAsia="仿宋_GB2312"/>
          <w:sz w:val="32"/>
          <w:szCs w:val="32"/>
          <w:lang w:eastAsia="zh-CN"/>
        </w:rPr>
        <w:t>西山</w:t>
      </w:r>
      <w:r>
        <w:rPr>
          <w:rFonts w:hint="eastAsia" w:ascii="仿宋_GB2312" w:eastAsia="仿宋_GB2312"/>
          <w:sz w:val="32"/>
          <w:szCs w:val="32"/>
        </w:rPr>
        <w:t>区疾</w:t>
      </w:r>
      <w:r>
        <w:rPr>
          <w:rFonts w:hint="eastAsia" w:ascii="仿宋_GB2312" w:eastAsia="仿宋_GB2312"/>
          <w:sz w:val="32"/>
          <w:szCs w:val="32"/>
          <w:lang w:eastAsia="zh-CN"/>
        </w:rPr>
        <w:t>病预防控制</w:t>
      </w:r>
      <w:bookmarkStart w:id="0" w:name="_GoBack"/>
      <w:bookmarkEnd w:id="0"/>
      <w:r>
        <w:rPr>
          <w:rFonts w:hint="eastAsia" w:ascii="仿宋_GB2312" w:eastAsia="仿宋_GB2312"/>
          <w:sz w:val="32"/>
          <w:szCs w:val="32"/>
        </w:rPr>
        <w:t>中心专家，于10月22日在福海街道办事处二楼会议大厅对区市场监管局、区城市管理局等14家区级单位，10家街道办事处，35户辖区餐饮经营户负责人，共计59人进行了餐馆、集市常消毒、病媒生物防治知识培训。培训内容全面，讲解细致，语言生动，便于群众理解。强调了在日常消毒工作中容易混淆的概念，纠正了日常的一些错误操作与理解，让我区餐饮、集市的消毒工作更规范，扎实推进公共场所清洁消毒全覆盖专项行动，全力保障人民群众身体健康，严防传染性疾病在公共场所传播，打造卫生安全、公众放心的餐饮、集市。</w:t>
      </w:r>
    </w:p>
    <w:p>
      <w:pPr>
        <w:ind w:firstLine="707" w:firstLineChars="221"/>
        <w:rPr>
          <w:rFonts w:ascii="仿宋_GB2312" w:eastAsia="仿宋_GB2312"/>
          <w:sz w:val="32"/>
          <w:szCs w:val="32"/>
        </w:rPr>
      </w:pPr>
      <w:r>
        <w:rPr>
          <w:rFonts w:ascii="仿宋_GB2312" w:eastAsia="仿宋_GB2312"/>
          <w:sz w:val="32"/>
          <w:szCs w:val="32"/>
        </w:rPr>
        <w:drawing>
          <wp:anchor distT="0" distB="0" distL="114300" distR="114300" simplePos="0" relativeHeight="251693056" behindDoc="0" locked="0" layoutInCell="1" allowOverlap="1">
            <wp:simplePos x="0" y="0"/>
            <wp:positionH relativeFrom="column">
              <wp:posOffset>1862455</wp:posOffset>
            </wp:positionH>
            <wp:positionV relativeFrom="paragraph">
              <wp:posOffset>96520</wp:posOffset>
            </wp:positionV>
            <wp:extent cx="3309620" cy="2476500"/>
            <wp:effectExtent l="0" t="0" r="5080" b="0"/>
            <wp:wrapSquare wrapText="bothSides"/>
            <wp:docPr id="2" name="图片 2" descr="C:\Users\ADMINI~1\AppData\Local\Temp\WeChat Files\e73b4823174b455cb98bc8b7cc4d6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Users\ADMINI~1\AppData\Local\Temp\WeChat Files\e73b4823174b455cb98bc8b7cc4d624.jpg"/>
                    <pic:cNvPicPr>
                      <a:picLocks noChangeAspect="1" noChangeArrowheads="1"/>
                    </pic:cNvPicPr>
                  </pic:nvPicPr>
                  <pic:blipFill>
                    <a:blip r:embed="rId5" cstate="print"/>
                    <a:srcRect/>
                    <a:stretch>
                      <a:fillRect/>
                    </a:stretch>
                  </pic:blipFill>
                  <pic:spPr>
                    <a:xfrm>
                      <a:off x="0" y="0"/>
                      <a:ext cx="3309620" cy="2476500"/>
                    </a:xfrm>
                    <a:prstGeom prst="rect">
                      <a:avLst/>
                    </a:prstGeom>
                    <a:noFill/>
                    <a:ln w="9525">
                      <a:noFill/>
                      <a:miter lim="800000"/>
                      <a:headEnd/>
                      <a:tailEnd/>
                    </a:ln>
                  </pic:spPr>
                </pic:pic>
              </a:graphicData>
            </a:graphic>
          </wp:anchor>
        </w:drawing>
      </w:r>
      <w:r>
        <w:rPr>
          <w:rFonts w:hint="eastAsia" w:ascii="仿宋_GB2312" w:eastAsia="仿宋_GB2312"/>
          <w:sz w:val="32"/>
          <w:szCs w:val="32"/>
        </w:rPr>
        <w:t>作为“常消毒”专项行动的牵头单位，我局根据《西山区推进爱国卫生“7个专项行动”方案》拟定了《西山区公共场所清洁消毒工作方案》，成立工作小组，明确工作职责，制定工作计划、目标和要求。加强对个类公共场所业务培训，提升工作能力，确保公共场所清洁消毒全覆盖专项行动目标任务按质完成。按照“整治一批、规范一批、达标一批”的要求，我局组织区疾控中心专家分批对客运站(站台)、高速公路服务区、旅游景区、三星级以上宾馆、商场、电影院、学校等重点场所等公共场所清洁消毒相关工作规范和技术指引等知识进行了培训，重点讲解了“常消毒”专项行动的工作目标、时间安排、信息报送、卫生质量抽检、卫生管理规范达标等工作要求。通过培训，进一步提高参训人员对开展公共场所清洁消毒全覆盖专项行动认识，提升了医疗、疾控和监督执法队伍业务水平和工作能力。</w:t>
      </w:r>
    </w:p>
    <w:p>
      <w:pPr>
        <w:ind w:firstLine="640" w:firstLineChars="200"/>
        <w:rPr>
          <w:rFonts w:ascii="仿宋_GB2312" w:eastAsia="仿宋_GB2312"/>
          <w:sz w:val="32"/>
          <w:szCs w:val="32"/>
        </w:rPr>
      </w:pPr>
      <w:r>
        <w:rPr>
          <w:rFonts w:hint="eastAsia" w:ascii="仿宋_GB2312" w:eastAsia="仿宋_GB2312"/>
          <w:sz w:val="32"/>
          <w:szCs w:val="32"/>
        </w:rPr>
        <w:t>同时加强监督检查，落实属地责任，确保公共场所清洁消毒全覆盖专项行动目标有效推进。截至10月14日，重点场所抽检率为64.7%，市级要求到10月底完成20%，其他公共场所抽检率为29%，抽检工作全市领先。教体局218所学校（包含幼儿园）累计检查率为256%，12家电影院，区委宣传部累计检查率为208%，176家学校食堂，区市场监管局累计检查率为273%。到年底抽检率将达到100%，对不合格的100%复核检测。通过综合监督检查，强化技术指导、宣传公共卫生知识，推进落实疫情常态化防控和“常消毒”专项行动的有效开展，</w:t>
      </w:r>
      <w:r>
        <w:rPr>
          <w:rFonts w:eastAsia="仿宋_GB2312"/>
          <w:snapToGrid w:val="0"/>
          <w:kern w:val="0"/>
          <w:sz w:val="32"/>
          <w:szCs w:val="32"/>
        </w:rPr>
        <w:t>实现公共场所清洁消毒全覆盖</w:t>
      </w:r>
      <w:r>
        <w:rPr>
          <w:rFonts w:hint="eastAsia" w:eastAsia="仿宋_GB2312"/>
          <w:snapToGrid w:val="0"/>
          <w:kern w:val="0"/>
          <w:sz w:val="32"/>
          <w:szCs w:val="32"/>
        </w:rPr>
        <w:t>，</w:t>
      </w:r>
      <w:r>
        <w:rPr>
          <w:rFonts w:eastAsia="仿宋_GB2312"/>
          <w:snapToGrid w:val="0"/>
          <w:kern w:val="0"/>
          <w:sz w:val="32"/>
          <w:szCs w:val="32"/>
        </w:rPr>
        <w:t>严防传染性疾病在公共场所传播。</w:t>
      </w:r>
    </w:p>
    <w:p>
      <w:pPr>
        <w:pStyle w:val="2"/>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sz w:val="32"/>
          <w:szCs w:val="32"/>
        </w:rPr>
      </w:pPr>
    </w:p>
    <w:p>
      <w:pPr>
        <w:pStyle w:val="2"/>
        <w:rPr>
          <w:rFonts w:hint="default" w:ascii="Times New Roman" w:hAnsi="Times New Roman" w:eastAsia="仿宋_GB2312" w:cs="Times New Roman"/>
          <w:sz w:val="32"/>
          <w:szCs w:val="32"/>
          <w:lang w:eastAsia="zh-CN"/>
        </w:rPr>
      </w:pPr>
    </w:p>
    <w:p>
      <w:pPr>
        <w:tabs>
          <w:tab w:val="left" w:pos="6989"/>
        </w:tabs>
        <w:bidi w:val="0"/>
        <w:jc w:val="both"/>
        <w:rPr>
          <w:rFonts w:hint="default" w:ascii="Times New Roman" w:hAnsi="Times New Roman" w:eastAsia="仿宋_GB2312" w:cs="Times New Roman"/>
          <w:color w:val="auto"/>
          <w:sz w:val="32"/>
          <w:szCs w:val="32"/>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libri Light">
    <w:panose1 w:val="020F0302020204030204"/>
    <w:charset w:val="00"/>
    <w:family w:val="auto"/>
    <w:pitch w:val="default"/>
    <w:sig w:usb0="A00002EF" w:usb1="4000207B" w:usb2="00000000" w:usb3="00000000" w:csb0="2000019F" w:csb1="00000000"/>
  </w:font>
  <w:font w:name="Cambria">
    <w:panose1 w:val="02040503050406030204"/>
    <w:charset w:val="00"/>
    <w:family w:val="roman"/>
    <w:pitch w:val="default"/>
    <w:sig w:usb0="E00002FF" w:usb1="400004FF" w:usb2="00000000" w:usb3="00000000" w:csb0="2000019F" w:csb1="00000000"/>
  </w:font>
  <w:font w:name="Arial Unicode MS">
    <w:panose1 w:val="020B0604020202020204"/>
    <w:charset w:val="86"/>
    <w:family w:val="roman"/>
    <w:pitch w:val="default"/>
    <w:sig w:usb0="FFFFFFFF" w:usb1="E9FFFFFF" w:usb2="0000003F" w:usb3="00000000" w:csb0="603F01FF" w:csb1="FFFF0000"/>
  </w:font>
  <w:font w:name="华文行楷">
    <w:panose1 w:val="02010800040101010101"/>
    <w:charset w:val="86"/>
    <w:family w:val="auto"/>
    <w:pitch w:val="default"/>
    <w:sig w:usb0="00000001" w:usb1="080F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1006"/>
    <w:rsid w:val="00000B66"/>
    <w:rsid w:val="00002E3B"/>
    <w:rsid w:val="000045F1"/>
    <w:rsid w:val="00024FC7"/>
    <w:rsid w:val="00047B19"/>
    <w:rsid w:val="00095CE7"/>
    <w:rsid w:val="000A1006"/>
    <w:rsid w:val="000C71A8"/>
    <w:rsid w:val="000E0C3A"/>
    <w:rsid w:val="001151A0"/>
    <w:rsid w:val="00184B51"/>
    <w:rsid w:val="00266E88"/>
    <w:rsid w:val="00276660"/>
    <w:rsid w:val="00425A5A"/>
    <w:rsid w:val="004D60A7"/>
    <w:rsid w:val="00515F55"/>
    <w:rsid w:val="00564416"/>
    <w:rsid w:val="006518CF"/>
    <w:rsid w:val="006E63CA"/>
    <w:rsid w:val="00814EE9"/>
    <w:rsid w:val="008444C2"/>
    <w:rsid w:val="00877962"/>
    <w:rsid w:val="00A50120"/>
    <w:rsid w:val="00A622C9"/>
    <w:rsid w:val="00BA0115"/>
    <w:rsid w:val="00C00391"/>
    <w:rsid w:val="00C40E84"/>
    <w:rsid w:val="00C6476B"/>
    <w:rsid w:val="00C71AEC"/>
    <w:rsid w:val="00CA31EC"/>
    <w:rsid w:val="00CD5F0D"/>
    <w:rsid w:val="00D66D6A"/>
    <w:rsid w:val="00E671BC"/>
    <w:rsid w:val="00ED32E0"/>
    <w:rsid w:val="00ED468D"/>
    <w:rsid w:val="00F21862"/>
    <w:rsid w:val="00F267E4"/>
    <w:rsid w:val="00FC742F"/>
    <w:rsid w:val="00FE71F2"/>
    <w:rsid w:val="012B14B7"/>
    <w:rsid w:val="018E0316"/>
    <w:rsid w:val="019351AE"/>
    <w:rsid w:val="028F74F4"/>
    <w:rsid w:val="032D4844"/>
    <w:rsid w:val="039006BB"/>
    <w:rsid w:val="03DE0BBA"/>
    <w:rsid w:val="03E83D8D"/>
    <w:rsid w:val="05D1720E"/>
    <w:rsid w:val="074B5150"/>
    <w:rsid w:val="07BB5C14"/>
    <w:rsid w:val="07F95197"/>
    <w:rsid w:val="089B2E97"/>
    <w:rsid w:val="08B43E26"/>
    <w:rsid w:val="09DE563C"/>
    <w:rsid w:val="0AD62B62"/>
    <w:rsid w:val="0C041A53"/>
    <w:rsid w:val="0C9D6E31"/>
    <w:rsid w:val="0CCC346F"/>
    <w:rsid w:val="0CDA33FE"/>
    <w:rsid w:val="0E031173"/>
    <w:rsid w:val="0ED95609"/>
    <w:rsid w:val="0F38167E"/>
    <w:rsid w:val="122951E5"/>
    <w:rsid w:val="128664E7"/>
    <w:rsid w:val="13B67B4A"/>
    <w:rsid w:val="13D2314C"/>
    <w:rsid w:val="143535FE"/>
    <w:rsid w:val="14604066"/>
    <w:rsid w:val="15F90437"/>
    <w:rsid w:val="16150ECD"/>
    <w:rsid w:val="16EA2072"/>
    <w:rsid w:val="17AB4F11"/>
    <w:rsid w:val="180A147C"/>
    <w:rsid w:val="18AB5501"/>
    <w:rsid w:val="19255582"/>
    <w:rsid w:val="19334EB3"/>
    <w:rsid w:val="1BF22C16"/>
    <w:rsid w:val="1F017A1D"/>
    <w:rsid w:val="1F7715EA"/>
    <w:rsid w:val="1F8A66C4"/>
    <w:rsid w:val="1F8C5F56"/>
    <w:rsid w:val="1FBA1F57"/>
    <w:rsid w:val="1FEC504E"/>
    <w:rsid w:val="20986894"/>
    <w:rsid w:val="20B269B5"/>
    <w:rsid w:val="21CF31F9"/>
    <w:rsid w:val="233A38B5"/>
    <w:rsid w:val="239E572E"/>
    <w:rsid w:val="23F9435E"/>
    <w:rsid w:val="26DE421E"/>
    <w:rsid w:val="27313A2A"/>
    <w:rsid w:val="282613FD"/>
    <w:rsid w:val="28CD125E"/>
    <w:rsid w:val="28E52092"/>
    <w:rsid w:val="2C1830D7"/>
    <w:rsid w:val="2CDB1341"/>
    <w:rsid w:val="2EC775A1"/>
    <w:rsid w:val="2FC308AA"/>
    <w:rsid w:val="30833531"/>
    <w:rsid w:val="316847D6"/>
    <w:rsid w:val="32196D51"/>
    <w:rsid w:val="338E2EDF"/>
    <w:rsid w:val="34352FF4"/>
    <w:rsid w:val="36A77DAA"/>
    <w:rsid w:val="383D2723"/>
    <w:rsid w:val="38846875"/>
    <w:rsid w:val="39665B15"/>
    <w:rsid w:val="3B5D44F4"/>
    <w:rsid w:val="3CA621AB"/>
    <w:rsid w:val="3E713439"/>
    <w:rsid w:val="3F080FA9"/>
    <w:rsid w:val="3F900911"/>
    <w:rsid w:val="3FD75E3B"/>
    <w:rsid w:val="40905513"/>
    <w:rsid w:val="40AE7732"/>
    <w:rsid w:val="41282328"/>
    <w:rsid w:val="41B40632"/>
    <w:rsid w:val="4235719F"/>
    <w:rsid w:val="4434582C"/>
    <w:rsid w:val="44706C30"/>
    <w:rsid w:val="45494EB0"/>
    <w:rsid w:val="45DF26B5"/>
    <w:rsid w:val="465F014E"/>
    <w:rsid w:val="46D317D9"/>
    <w:rsid w:val="46EF7B46"/>
    <w:rsid w:val="47134818"/>
    <w:rsid w:val="47B33E7D"/>
    <w:rsid w:val="499A19C7"/>
    <w:rsid w:val="4A0B5CAF"/>
    <w:rsid w:val="4A570651"/>
    <w:rsid w:val="4CA069B0"/>
    <w:rsid w:val="4CBA03DF"/>
    <w:rsid w:val="4CC467F0"/>
    <w:rsid w:val="4D4E6E61"/>
    <w:rsid w:val="4E111A44"/>
    <w:rsid w:val="5025545B"/>
    <w:rsid w:val="5186762E"/>
    <w:rsid w:val="5562754B"/>
    <w:rsid w:val="558D385A"/>
    <w:rsid w:val="55C7585A"/>
    <w:rsid w:val="5672329C"/>
    <w:rsid w:val="575C534A"/>
    <w:rsid w:val="58130FD1"/>
    <w:rsid w:val="5813506C"/>
    <w:rsid w:val="58533C26"/>
    <w:rsid w:val="5B774C00"/>
    <w:rsid w:val="5D354E62"/>
    <w:rsid w:val="5E1B07E1"/>
    <w:rsid w:val="5F166907"/>
    <w:rsid w:val="613B2743"/>
    <w:rsid w:val="62F70BE2"/>
    <w:rsid w:val="63082B33"/>
    <w:rsid w:val="633777F9"/>
    <w:rsid w:val="63D31821"/>
    <w:rsid w:val="64213A45"/>
    <w:rsid w:val="64887B71"/>
    <w:rsid w:val="659C6B42"/>
    <w:rsid w:val="663F15D2"/>
    <w:rsid w:val="668C3A19"/>
    <w:rsid w:val="67A03786"/>
    <w:rsid w:val="68001997"/>
    <w:rsid w:val="68132C71"/>
    <w:rsid w:val="68163173"/>
    <w:rsid w:val="694C0B74"/>
    <w:rsid w:val="69D17D43"/>
    <w:rsid w:val="69F008FC"/>
    <w:rsid w:val="6A1D1D56"/>
    <w:rsid w:val="6ADE39C0"/>
    <w:rsid w:val="6BCF6452"/>
    <w:rsid w:val="6E310C90"/>
    <w:rsid w:val="6F511761"/>
    <w:rsid w:val="70CD3EFC"/>
    <w:rsid w:val="715A15DB"/>
    <w:rsid w:val="723A33DA"/>
    <w:rsid w:val="733D702E"/>
    <w:rsid w:val="744C5E81"/>
    <w:rsid w:val="74E818E9"/>
    <w:rsid w:val="757A2946"/>
    <w:rsid w:val="758A6895"/>
    <w:rsid w:val="766C3D46"/>
    <w:rsid w:val="775124A5"/>
    <w:rsid w:val="78147DB8"/>
    <w:rsid w:val="78D57E0B"/>
    <w:rsid w:val="79BB40AE"/>
    <w:rsid w:val="7A253ECC"/>
    <w:rsid w:val="7A5137B5"/>
    <w:rsid w:val="7ACE31E2"/>
    <w:rsid w:val="7AFB3C3F"/>
    <w:rsid w:val="7B415E15"/>
    <w:rsid w:val="7B935BCE"/>
    <w:rsid w:val="7CA33427"/>
    <w:rsid w:val="7DEC55C3"/>
    <w:rsid w:val="7E7238CC"/>
    <w:rsid w:val="7E7F20A8"/>
    <w:rsid w:val="7E81394C"/>
    <w:rsid w:val="7EFA1714"/>
    <w:rsid w:val="7F6965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35"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link w:val="12"/>
    <w:qFormat/>
    <w:uiPriority w:val="0"/>
    <w:pPr>
      <w:keepNext/>
      <w:keepLines/>
      <w:spacing w:line="576" w:lineRule="auto"/>
      <w:outlineLvl w:val="0"/>
    </w:pPr>
    <w:rPr>
      <w:b/>
      <w:kern w:val="44"/>
      <w:sz w:val="44"/>
    </w:rPr>
  </w:style>
  <w:style w:type="character" w:default="1" w:styleId="10">
    <w:name w:val="Default Paragraph Font"/>
    <w:unhideWhenUsed/>
    <w:qFormat/>
    <w:uiPriority w:val="1"/>
  </w:style>
  <w:style w:type="table" w:default="1" w:styleId="9">
    <w:name w:val="Normal Table"/>
    <w:semiHidden/>
    <w:unhideWhenUsed/>
    <w:qFormat/>
    <w:uiPriority w:val="99"/>
    <w:tblPr>
      <w:tblLayout w:type="fixed"/>
      <w:tblCellMar>
        <w:top w:w="0" w:type="dxa"/>
        <w:left w:w="108" w:type="dxa"/>
        <w:bottom w:w="0" w:type="dxa"/>
        <w:right w:w="108" w:type="dxa"/>
      </w:tblCellMar>
    </w:tblPr>
  </w:style>
  <w:style w:type="paragraph" w:customStyle="1" w:styleId="2">
    <w:name w:val="无间隔1"/>
    <w:unhideWhenUsed/>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4">
    <w:name w:val="caption"/>
    <w:basedOn w:val="1"/>
    <w:next w:val="1"/>
    <w:unhideWhenUsed/>
    <w:qFormat/>
    <w:uiPriority w:val="35"/>
    <w:pPr>
      <w:widowControl w:val="0"/>
      <w:jc w:val="both"/>
    </w:pPr>
    <w:rPr>
      <w:rFonts w:eastAsia="黑体" w:asciiTheme="majorHAnsi" w:hAnsiTheme="majorHAnsi" w:cstheme="majorBidi"/>
      <w:kern w:val="2"/>
      <w:sz w:val="20"/>
      <w:szCs w:val="20"/>
      <w:lang w:val="en-US" w:eastAsia="zh-CN" w:bidi="ar-SA"/>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link w:val="14"/>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0"/>
    <w:pPr>
      <w:spacing w:beforeAutospacing="1" w:afterAutospacing="1"/>
      <w:jc w:val="left"/>
    </w:pPr>
    <w:rPr>
      <w:rFonts w:cs="Times New Roman"/>
      <w:kern w:val="0"/>
      <w:sz w:val="24"/>
    </w:rPr>
  </w:style>
  <w:style w:type="paragraph" w:styleId="8">
    <w:name w:val="Title"/>
    <w:basedOn w:val="1"/>
    <w:next w:val="1"/>
    <w:qFormat/>
    <w:uiPriority w:val="0"/>
    <w:pPr>
      <w:spacing w:before="240" w:after="60"/>
      <w:jc w:val="center"/>
      <w:outlineLvl w:val="0"/>
    </w:pPr>
    <w:rPr>
      <w:rFonts w:ascii="Cambria" w:hAnsi="Cambria" w:cs="Times New Roman"/>
      <w:b/>
      <w:bCs/>
      <w:sz w:val="32"/>
      <w:szCs w:val="32"/>
    </w:rPr>
  </w:style>
  <w:style w:type="character" w:styleId="11">
    <w:name w:val="Hyperlink"/>
    <w:basedOn w:val="10"/>
    <w:qFormat/>
    <w:uiPriority w:val="0"/>
    <w:rPr>
      <w:color w:val="0000FF"/>
      <w:u w:val="single"/>
    </w:rPr>
  </w:style>
  <w:style w:type="character" w:customStyle="1" w:styleId="12">
    <w:name w:val="标题 1 Char"/>
    <w:link w:val="3"/>
    <w:qFormat/>
    <w:uiPriority w:val="0"/>
    <w:rPr>
      <w:b/>
      <w:kern w:val="44"/>
      <w:sz w:val="44"/>
    </w:rPr>
  </w:style>
  <w:style w:type="paragraph" w:customStyle="1" w:styleId="13">
    <w:name w:val="Body text|1"/>
    <w:basedOn w:val="1"/>
    <w:qFormat/>
    <w:uiPriority w:val="0"/>
    <w:pPr>
      <w:spacing w:line="410" w:lineRule="auto"/>
      <w:ind w:firstLine="400"/>
    </w:pPr>
    <w:rPr>
      <w:rFonts w:ascii="宋体" w:hAnsi="宋体" w:eastAsia="宋体" w:cs="宋体"/>
      <w:sz w:val="30"/>
      <w:szCs w:val="30"/>
      <w:lang w:val="zh-TW" w:eastAsia="zh-TW" w:bidi="zh-TW"/>
    </w:rPr>
  </w:style>
  <w:style w:type="character" w:customStyle="1" w:styleId="14">
    <w:name w:val="页眉 Char"/>
    <w:basedOn w:val="10"/>
    <w:link w:val="6"/>
    <w:qFormat/>
    <w:uiPriority w:val="0"/>
    <w:rPr>
      <w:rFonts w:asciiTheme="minorHAnsi" w:hAnsiTheme="minorHAnsi" w:eastAsiaTheme="minorEastAsia" w:cstheme="minorBidi"/>
      <w:kern w:val="2"/>
      <w:sz w:val="18"/>
      <w:szCs w:val="18"/>
    </w:rPr>
  </w:style>
  <w:style w:type="paragraph" w:customStyle="1" w:styleId="15">
    <w:name w:val="正文 A"/>
    <w:qFormat/>
    <w:uiPriority w:val="0"/>
    <w:pPr>
      <w:keepNext w:val="0"/>
      <w:keepLines w:val="0"/>
      <w:pageBreakBefore w:val="0"/>
      <w:framePr w:w="0" w:wrap="around" w:vAnchor="margin" w:hAnchor="text" w:yAlign="inline"/>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240" w:lineRule="auto"/>
      <w:ind w:left="0" w:right="0" w:firstLine="0"/>
      <w:jc w:val="both"/>
      <w:outlineLvl w:val="9"/>
    </w:pPr>
    <w:rPr>
      <w:rFonts w:hint="eastAsia" w:ascii="Arial Unicode MS" w:hAnsi="Arial Unicode MS" w:eastAsia="Arial Unicode MS" w:cs="Arial Unicode MS"/>
      <w:color w:val="000000"/>
      <w:spacing w:val="0"/>
      <w:w w:val="100"/>
      <w:kern w:val="2"/>
      <w:position w:val="0"/>
      <w:sz w:val="21"/>
      <w:szCs w:val="21"/>
      <w:u w:val="none" w:color="000000"/>
      <w:vertAlign w:val="baseline"/>
      <w:lang w:val="en-US"/>
    </w:rPr>
  </w:style>
  <w:style w:type="character" w:customStyle="1" w:styleId="16">
    <w:name w:val="NormalCharacter"/>
    <w:semiHidden/>
    <w:qFormat/>
    <w:uiPriority w:val="0"/>
  </w:style>
  <w:style w:type="character" w:customStyle="1" w:styleId="17">
    <w:name w:val="apple-style-span"/>
    <w:basedOn w:val="10"/>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3</Pages>
  <Words>122</Words>
  <Characters>702</Characters>
  <Lines>5</Lines>
  <Paragraphs>1</Paragraphs>
  <TotalTime>1</TotalTime>
  <ScaleCrop>false</ScaleCrop>
  <LinksUpToDate>false</LinksUpToDate>
  <CharactersWithSpaces>823</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2020-09-14T07:05:00Z</dcterms:created>
  <dc:creator>Administrator</dc:creator>
  <cp:lastModifiedBy>Administrator</cp:lastModifiedBy>
  <dcterms:modified xsi:type="dcterms:W3CDTF">2020-10-23T04:44:09Z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