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FFE" w:rsidRDefault="00AB1ADC">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6B7FFE" w:rsidRDefault="006B7FFE">
      <w:pPr>
        <w:jc w:val="center"/>
        <w:rPr>
          <w:rFonts w:ascii="仿宋_GB2312" w:eastAsia="仿宋_GB2312"/>
          <w:sz w:val="32"/>
          <w:szCs w:val="32"/>
        </w:rPr>
      </w:pPr>
    </w:p>
    <w:p w:rsidR="006B7FFE" w:rsidRPr="00B1115F" w:rsidRDefault="00B1115F" w:rsidP="00B1115F">
      <w:pPr>
        <w:jc w:val="center"/>
        <w:rPr>
          <w:rFonts w:ascii="Times New Roman" w:eastAsia="仿宋_GB2312" w:hAnsi="Times New Roman"/>
          <w:sz w:val="32"/>
          <w:szCs w:val="32"/>
        </w:rPr>
      </w:pPr>
      <w:r w:rsidRPr="00B1115F">
        <w:rPr>
          <w:rFonts w:ascii="Times New Roman" w:eastAsia="仿宋_GB2312"/>
          <w:sz w:val="32"/>
          <w:szCs w:val="32"/>
        </w:rPr>
        <w:t>第</w:t>
      </w:r>
      <w:r w:rsidRPr="00B1115F">
        <w:rPr>
          <w:rFonts w:ascii="Times New Roman" w:eastAsia="仿宋_GB2312" w:hAnsi="Times New Roman"/>
          <w:sz w:val="32"/>
          <w:szCs w:val="32"/>
        </w:rPr>
        <w:t>5</w:t>
      </w:r>
      <w:r>
        <w:rPr>
          <w:rFonts w:ascii="Times New Roman" w:eastAsia="仿宋_GB2312" w:hAnsi="Times New Roman" w:hint="eastAsia"/>
          <w:sz w:val="32"/>
          <w:szCs w:val="32"/>
        </w:rPr>
        <w:t>9</w:t>
      </w:r>
      <w:r w:rsidRPr="00B1115F">
        <w:rPr>
          <w:rFonts w:ascii="Times New Roman" w:eastAsia="仿宋_GB2312"/>
          <w:sz w:val="32"/>
          <w:szCs w:val="32"/>
        </w:rPr>
        <w:t>期</w:t>
      </w:r>
    </w:p>
    <w:p w:rsidR="00B1115F" w:rsidRDefault="00B1115F">
      <w:pPr>
        <w:jc w:val="center"/>
        <w:rPr>
          <w:rFonts w:eastAsia="仿宋_GB2312"/>
          <w:sz w:val="32"/>
          <w:szCs w:val="32"/>
        </w:rPr>
      </w:pPr>
    </w:p>
    <w:p w:rsidR="006B7FFE" w:rsidRDefault="00AB1ADC">
      <w:pPr>
        <w:ind w:firstLineChars="50" w:firstLine="160"/>
        <w:rPr>
          <w:rFonts w:eastAsia="仿宋_GB2312"/>
          <w:sz w:val="32"/>
          <w:szCs w:val="32"/>
        </w:rPr>
      </w:pPr>
      <w:r>
        <w:rPr>
          <w:rFonts w:eastAsia="仿宋_GB2312"/>
          <w:sz w:val="32"/>
          <w:szCs w:val="32"/>
        </w:rPr>
        <w:t>区卫生</w:t>
      </w:r>
      <w:r>
        <w:rPr>
          <w:rFonts w:eastAsia="仿宋_GB2312" w:hint="eastAsia"/>
          <w:sz w:val="32"/>
          <w:szCs w:val="32"/>
        </w:rPr>
        <w:t>健康</w:t>
      </w:r>
      <w:r>
        <w:rPr>
          <w:rFonts w:eastAsia="仿宋_GB2312"/>
          <w:sz w:val="32"/>
          <w:szCs w:val="32"/>
        </w:rPr>
        <w:t>局办公室</w:t>
      </w:r>
      <w:r>
        <w:rPr>
          <w:rFonts w:eastAsia="仿宋_GB2312"/>
          <w:sz w:val="32"/>
          <w:szCs w:val="32"/>
        </w:rPr>
        <w:t xml:space="preserve">         </w:t>
      </w:r>
      <w:r>
        <w:rPr>
          <w:rFonts w:eastAsia="仿宋_GB2312"/>
          <w:sz w:val="32"/>
          <w:szCs w:val="32"/>
        </w:rPr>
        <w:t xml:space="preserve">　</w:t>
      </w:r>
      <w:r>
        <w:rPr>
          <w:rFonts w:eastAsia="仿宋_GB2312"/>
          <w:sz w:val="32"/>
          <w:szCs w:val="32"/>
        </w:rPr>
        <w:t xml:space="preserve">     201</w:t>
      </w:r>
      <w:r>
        <w:rPr>
          <w:rFonts w:eastAsia="仿宋_GB2312" w:hint="eastAsia"/>
          <w:sz w:val="32"/>
          <w:szCs w:val="32"/>
        </w:rPr>
        <w:t>9</w:t>
      </w:r>
      <w:r>
        <w:rPr>
          <w:rFonts w:eastAsia="仿宋_GB2312" w:hint="eastAsia"/>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16</w:t>
      </w:r>
      <w:r>
        <w:rPr>
          <w:rFonts w:eastAsia="仿宋_GB2312"/>
          <w:sz w:val="32"/>
          <w:szCs w:val="32"/>
        </w:rPr>
        <w:t>日</w:t>
      </w:r>
    </w:p>
    <w:p w:rsidR="006B7FFE" w:rsidRDefault="00BE7FDE">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_x0000_s1026" style="position:absolute;left:0;text-align:left;z-index:251658240"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w:pict>
      </w:r>
      <w:r>
        <w:rPr>
          <w:rFonts w:ascii="方正小标宋简体" w:eastAsia="方正小标宋简体" w:hAnsi="方正小标宋简体" w:cs="方正小标宋简体"/>
          <w:sz w:val="44"/>
          <w:szCs w:val="44"/>
        </w:rPr>
        <w:pict>
          <v:line id="_x0000_s1027" style="position:absolute;left:0;text-align:left;flip:y;z-index:251659264" from=".75pt,7.8pt" to="414.75pt,7.8pt" o:gfxdata="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g1QJrTAAAABwEAAA8A&#10;AAAAAAAAAQAgAAAAIgAAAGRycy9kb3ducmV2LnhtbFBLAQIUABQAAAAIAIdO4kC4UlFX4wEAAKED&#10;AAAOAAAAAAAAAAEAIAAAACIBAABkcnMvZTJvRG9jLnhtbFBLBQYAAAAABgAGAFkBAAB3BQAAAAA=&#10;" strokecolor="red" strokeweight="1.5pt"/>
        </w:pict>
      </w:r>
    </w:p>
    <w:p w:rsidR="006B7FFE" w:rsidRDefault="00AB1ADC">
      <w:pPr>
        <w:pStyle w:val="a4"/>
        <w:spacing w:before="0" w:beforeAutospacing="0" w:after="0" w:afterAutospacing="0" w:line="560" w:lineRule="exact"/>
        <w:ind w:firstLineChars="200" w:firstLine="88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西山区卫生健康局开展“4.15”全民国家安全教育日宣传工作</w:t>
      </w:r>
    </w:p>
    <w:p w:rsidR="006B7FFE" w:rsidRDefault="006B7FFE" w:rsidP="007B5036">
      <w:pPr>
        <w:pStyle w:val="a4"/>
        <w:spacing w:before="0" w:beforeAutospacing="0" w:after="0" w:afterAutospacing="0" w:line="480" w:lineRule="exact"/>
        <w:jc w:val="both"/>
        <w:rPr>
          <w:rFonts w:ascii="方正小标宋简体" w:eastAsia="方正小标宋简体" w:hAnsi="方正小标宋简体" w:cs="方正小标宋简体"/>
          <w:sz w:val="44"/>
          <w:szCs w:val="44"/>
        </w:rPr>
      </w:pPr>
    </w:p>
    <w:p w:rsidR="006B7FFE" w:rsidRPr="00B1115F" w:rsidRDefault="00AB1ADC" w:rsidP="007B5036">
      <w:pPr>
        <w:pStyle w:val="a4"/>
        <w:spacing w:before="0" w:beforeAutospacing="0" w:after="0" w:afterAutospacing="0" w:line="480" w:lineRule="exact"/>
        <w:ind w:firstLineChars="200" w:firstLine="640"/>
        <w:jc w:val="both"/>
        <w:rPr>
          <w:rFonts w:ascii="仿宋_GB2312" w:eastAsia="仿宋_GB2312" w:hAnsi="仿宋_GB2312" w:cs="仿宋_GB2312"/>
          <w:color w:val="000000"/>
          <w:sz w:val="32"/>
          <w:szCs w:val="32"/>
        </w:rPr>
      </w:pPr>
      <w:r w:rsidRPr="00B1115F">
        <w:rPr>
          <w:rFonts w:ascii="仿宋_GB2312" w:eastAsia="仿宋_GB2312" w:hAnsi="仿宋_GB2312" w:cs="仿宋_GB2312" w:hint="eastAsia"/>
          <w:noProof/>
          <w:sz w:val="32"/>
          <w:szCs w:val="32"/>
        </w:rPr>
        <w:drawing>
          <wp:anchor distT="0" distB="0" distL="114300" distR="114300" simplePos="0" relativeHeight="251660288" behindDoc="1" locked="0" layoutInCell="1" allowOverlap="1">
            <wp:simplePos x="0" y="0"/>
            <wp:positionH relativeFrom="column">
              <wp:posOffset>1403350</wp:posOffset>
            </wp:positionH>
            <wp:positionV relativeFrom="paragraph">
              <wp:posOffset>733425</wp:posOffset>
            </wp:positionV>
            <wp:extent cx="3776980" cy="2447925"/>
            <wp:effectExtent l="0" t="0" r="13970" b="9525"/>
            <wp:wrapTight wrapText="bothSides">
              <wp:wrapPolygon edited="0">
                <wp:start x="0" y="0"/>
                <wp:lineTo x="0" y="21516"/>
                <wp:lineTo x="21462" y="21516"/>
                <wp:lineTo x="21462" y="0"/>
                <wp:lineTo x="0" y="0"/>
              </wp:wrapPolygon>
            </wp:wrapTight>
            <wp:docPr id="3" name="图片 2" descr="7b5be0cb6ba48b0c2bba071f141a4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7b5be0cb6ba48b0c2bba071f141a4db"/>
                    <pic:cNvPicPr>
                      <a:picLocks noChangeAspect="1"/>
                    </pic:cNvPicPr>
                  </pic:nvPicPr>
                  <pic:blipFill>
                    <a:blip r:embed="rId7" cstate="print"/>
                    <a:stretch>
                      <a:fillRect/>
                    </a:stretch>
                  </pic:blipFill>
                  <pic:spPr>
                    <a:xfrm>
                      <a:off x="0" y="0"/>
                      <a:ext cx="3776980" cy="2447925"/>
                    </a:xfrm>
                    <a:prstGeom prst="rect">
                      <a:avLst/>
                    </a:prstGeom>
                    <a:noFill/>
                    <a:ln>
                      <a:noFill/>
                    </a:ln>
                  </pic:spPr>
                </pic:pic>
              </a:graphicData>
            </a:graphic>
          </wp:anchor>
        </w:drawing>
      </w:r>
      <w:r w:rsidRPr="00B1115F">
        <w:rPr>
          <w:rFonts w:ascii="仿宋_GB2312" w:eastAsia="仿宋_GB2312" w:hAnsi="仿宋_GB2312" w:cs="仿宋_GB2312" w:hint="eastAsia"/>
          <w:color w:val="000000"/>
          <w:sz w:val="32"/>
          <w:szCs w:val="32"/>
        </w:rPr>
        <w:t>为切实落实好西山区委国家安全委员会办公室《关于开展2019年“4.15”全民国家安全教育日宣传工作的通知》文件精神，区卫生健康局紧扣“坚持总体国家安全观着力防范化解重大风险喜迎中华人民共和国成立70周年”的宣传主题，积极落实工作，在全区14家下属单位及7家民营医院扎实开展宣传活动。</w:t>
      </w:r>
    </w:p>
    <w:p w:rsidR="006B7FFE" w:rsidRPr="00B1115F" w:rsidRDefault="00AB1ADC" w:rsidP="007B5036">
      <w:pPr>
        <w:adjustRightInd w:val="0"/>
        <w:snapToGrid w:val="0"/>
        <w:spacing w:line="480" w:lineRule="exact"/>
        <w:ind w:firstLineChars="200" w:firstLine="640"/>
        <w:rPr>
          <w:rFonts w:ascii="仿宋_GB2312" w:eastAsia="仿宋_GB2312" w:hAnsi="仿宋_GB2312" w:cs="仿宋_GB2312"/>
          <w:kern w:val="0"/>
          <w:sz w:val="32"/>
          <w:szCs w:val="32"/>
        </w:rPr>
      </w:pPr>
      <w:r w:rsidRPr="00B1115F">
        <w:rPr>
          <w:rFonts w:ascii="仿宋_GB2312" w:eastAsia="仿宋_GB2312" w:hAnsi="仿宋_GB2312" w:cs="仿宋_GB2312" w:hint="eastAsia"/>
          <w:noProof/>
          <w:kern w:val="0"/>
          <w:sz w:val="32"/>
          <w:szCs w:val="32"/>
        </w:rPr>
        <w:lastRenderedPageBreak/>
        <w:drawing>
          <wp:anchor distT="0" distB="0" distL="114300" distR="114300" simplePos="0" relativeHeight="251661312" behindDoc="0" locked="0" layoutInCell="1" allowOverlap="1">
            <wp:simplePos x="0" y="0"/>
            <wp:positionH relativeFrom="column">
              <wp:posOffset>155575</wp:posOffset>
            </wp:positionH>
            <wp:positionV relativeFrom="paragraph">
              <wp:posOffset>565150</wp:posOffset>
            </wp:positionV>
            <wp:extent cx="3958590" cy="2424430"/>
            <wp:effectExtent l="0" t="0" r="3810" b="13970"/>
            <wp:wrapSquare wrapText="bothSides"/>
            <wp:docPr id="4" name="图片 3" descr="IMG_20190416_09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0190416_092709"/>
                    <pic:cNvPicPr>
                      <a:picLocks noChangeAspect="1"/>
                    </pic:cNvPicPr>
                  </pic:nvPicPr>
                  <pic:blipFill>
                    <a:blip r:embed="rId8" cstate="print"/>
                    <a:stretch>
                      <a:fillRect/>
                    </a:stretch>
                  </pic:blipFill>
                  <pic:spPr>
                    <a:xfrm>
                      <a:off x="0" y="0"/>
                      <a:ext cx="3958590" cy="2424430"/>
                    </a:xfrm>
                    <a:prstGeom prst="rect">
                      <a:avLst/>
                    </a:prstGeom>
                    <a:noFill/>
                    <a:ln>
                      <a:noFill/>
                    </a:ln>
                  </pic:spPr>
                </pic:pic>
              </a:graphicData>
            </a:graphic>
          </wp:anchor>
        </w:drawing>
      </w:r>
      <w:r w:rsidRPr="00B1115F">
        <w:rPr>
          <w:rFonts w:ascii="仿宋_GB2312" w:eastAsia="仿宋_GB2312" w:hAnsi="仿宋_GB2312" w:cs="仿宋_GB2312" w:hint="eastAsia"/>
          <w:kern w:val="0"/>
          <w:sz w:val="32"/>
          <w:szCs w:val="32"/>
        </w:rPr>
        <w:t>此次宣传工作局领导高度重视，各单位运用现有LED大小显示屏，循环滚动播放“增强反奸防敌的国家安全意识”及“国家安全，你我同行”宣传内容，并在门诊大厅滚动播放相关宣传视频。同时采取多形式、多种类的宣传方法，营造浓厚的宣传氛围。</w:t>
      </w:r>
    </w:p>
    <w:p w:rsidR="00B1115F" w:rsidRPr="007B5036" w:rsidRDefault="00AB1ADC" w:rsidP="007B5036">
      <w:pPr>
        <w:adjustRightInd w:val="0"/>
        <w:snapToGrid w:val="0"/>
        <w:spacing w:line="480" w:lineRule="exact"/>
        <w:ind w:firstLineChars="200" w:firstLine="640"/>
        <w:rPr>
          <w:rFonts w:ascii="仿宋_GB2312" w:eastAsia="仿宋_GB2312" w:hAnsi="仿宋"/>
          <w:sz w:val="32"/>
          <w:szCs w:val="32"/>
        </w:rPr>
      </w:pPr>
      <w:r w:rsidRPr="00B1115F">
        <w:rPr>
          <w:rFonts w:ascii="仿宋_GB2312" w:eastAsia="仿宋_GB2312" w:hAnsi="仿宋_GB2312" w:cs="仿宋_GB2312" w:hint="eastAsia"/>
          <w:sz w:val="32"/>
          <w:szCs w:val="32"/>
        </w:rPr>
        <w:t>通</w:t>
      </w:r>
      <w:r w:rsidRPr="00B1115F">
        <w:rPr>
          <w:rFonts w:ascii="仿宋_GB2312" w:eastAsia="仿宋_GB2312" w:hAnsi="Times New Roman" w:hint="eastAsia"/>
          <w:color w:val="444444"/>
          <w:spacing w:val="8"/>
          <w:kern w:val="0"/>
          <w:sz w:val="32"/>
          <w:szCs w:val="32"/>
        </w:rPr>
        <w:t>过本次宣传活动，使全</w:t>
      </w:r>
      <w:r w:rsidRPr="00B1115F">
        <w:rPr>
          <w:rFonts w:ascii="仿宋_GB2312" w:eastAsia="仿宋_GB2312" w:hAnsi="仿宋_GB2312" w:cs="仿宋_GB2312" w:hint="eastAsia"/>
          <w:sz w:val="32"/>
          <w:szCs w:val="32"/>
        </w:rPr>
        <w:t>区卫生健康系统深刻了解到国家安全的重要性及国家对安全环境建设的高度重视</w:t>
      </w:r>
      <w:r w:rsidRPr="00B1115F">
        <w:rPr>
          <w:rFonts w:ascii="仿宋_GB2312" w:eastAsia="仿宋_GB2312" w:hAnsi="仿宋_GB2312" w:cs="仿宋_GB2312" w:hint="eastAsia"/>
          <w:color w:val="000000"/>
          <w:sz w:val="32"/>
          <w:szCs w:val="32"/>
        </w:rPr>
        <w:t>，同时认识坚持总体国家安全观、维护国家安全的丰富内涵和重大意义</w:t>
      </w:r>
      <w:r w:rsidRPr="00B1115F">
        <w:rPr>
          <w:rFonts w:ascii="仿宋_GB2312" w:eastAsia="仿宋_GB2312" w:hAnsi="仿宋_GB2312" w:cs="仿宋_GB2312" w:hint="eastAsia"/>
          <w:sz w:val="32"/>
          <w:szCs w:val="32"/>
        </w:rPr>
        <w:t>。</w:t>
      </w:r>
      <w:r w:rsidRPr="00B1115F">
        <w:rPr>
          <w:rFonts w:ascii="仿宋_GB2312" w:eastAsia="仿宋_GB2312" w:hAnsi="仿宋_GB2312" w:cs="仿宋_GB2312" w:hint="eastAsia"/>
          <w:color w:val="000000"/>
          <w:sz w:val="32"/>
          <w:szCs w:val="32"/>
        </w:rPr>
        <w:t>不断增强</w:t>
      </w:r>
      <w:r w:rsidRPr="00B1115F">
        <w:rPr>
          <w:rFonts w:ascii="仿宋_GB2312" w:eastAsia="仿宋_GB2312" w:hAnsi="仿宋_GB2312" w:cs="仿宋_GB2312" w:hint="eastAsia"/>
          <w:noProof/>
          <w:color w:val="000000"/>
          <w:sz w:val="32"/>
          <w:szCs w:val="32"/>
        </w:rPr>
        <w:drawing>
          <wp:anchor distT="0" distB="0" distL="114300" distR="114300" simplePos="0" relativeHeight="251662336" behindDoc="0" locked="0" layoutInCell="1" allowOverlap="1">
            <wp:simplePos x="0" y="0"/>
            <wp:positionH relativeFrom="column">
              <wp:posOffset>1515745</wp:posOffset>
            </wp:positionH>
            <wp:positionV relativeFrom="paragraph">
              <wp:posOffset>790575</wp:posOffset>
            </wp:positionV>
            <wp:extent cx="3758565" cy="2359025"/>
            <wp:effectExtent l="0" t="0" r="13335" b="3175"/>
            <wp:wrapSquare wrapText="bothSides"/>
            <wp:docPr id="5"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片1"/>
                    <pic:cNvPicPr>
                      <a:picLocks noChangeAspect="1"/>
                    </pic:cNvPicPr>
                  </pic:nvPicPr>
                  <pic:blipFill>
                    <a:blip r:embed="rId9" cstate="print"/>
                    <a:stretch>
                      <a:fillRect/>
                    </a:stretch>
                  </pic:blipFill>
                  <pic:spPr>
                    <a:xfrm>
                      <a:off x="0" y="0"/>
                      <a:ext cx="3758565" cy="2359025"/>
                    </a:xfrm>
                    <a:prstGeom prst="rect">
                      <a:avLst/>
                    </a:prstGeom>
                    <a:noFill/>
                    <a:ln>
                      <a:noFill/>
                    </a:ln>
                  </pic:spPr>
                </pic:pic>
              </a:graphicData>
            </a:graphic>
          </wp:anchor>
        </w:drawing>
      </w:r>
      <w:r w:rsidRPr="00B1115F">
        <w:rPr>
          <w:rFonts w:ascii="仿宋_GB2312" w:eastAsia="仿宋_GB2312" w:hAnsi="仿宋_GB2312" w:cs="仿宋_GB2312" w:hint="eastAsia"/>
          <w:color w:val="000000"/>
          <w:sz w:val="32"/>
          <w:szCs w:val="32"/>
        </w:rPr>
        <w:t>全民国家安全意识，增强了广大人民群众对国家安全防范的关注度和知悉度，形成维护国家安全的强大合力，为中华人民共和国成立70周年营造和谐稳定的社会环境和良好的法治环境</w:t>
      </w:r>
      <w:r w:rsidRPr="00B1115F">
        <w:rPr>
          <w:rFonts w:ascii="仿宋_GB2312" w:eastAsia="仿宋_GB2312" w:hAnsi="仿宋" w:hint="eastAsia"/>
          <w:sz w:val="32"/>
          <w:szCs w:val="32"/>
        </w:rPr>
        <w:tab/>
      </w:r>
      <w:bookmarkStart w:id="0" w:name="_GoBack"/>
      <w:bookmarkEnd w:id="0"/>
    </w:p>
    <w:p w:rsidR="006B7FFE" w:rsidRDefault="00AB1ADC">
      <w:pPr>
        <w:pStyle w:val="a4"/>
        <w:shd w:val="clear" w:color="auto" w:fill="FFFFFF"/>
        <w:spacing w:before="0" w:beforeAutospacing="0" w:after="200" w:afterAutospacing="0"/>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p>
    <w:p w:rsidR="006B7FFE" w:rsidRDefault="00AB1ADC">
      <w:pPr>
        <w:widowControl/>
        <w:spacing w:line="56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编（校）稿：杨家雄                    审稿：杨显勇</w:t>
      </w:r>
    </w:p>
    <w:sectPr w:rsidR="006B7FFE" w:rsidSect="006B7FF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C37" w:rsidRDefault="00E42C37" w:rsidP="00B1115F">
      <w:r>
        <w:separator/>
      </w:r>
    </w:p>
  </w:endnote>
  <w:endnote w:type="continuationSeparator" w:id="0">
    <w:p w:rsidR="00E42C37" w:rsidRDefault="00E42C37" w:rsidP="00B111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C37" w:rsidRDefault="00E42C37" w:rsidP="00B1115F">
      <w:r>
        <w:separator/>
      </w:r>
    </w:p>
  </w:footnote>
  <w:footnote w:type="continuationSeparator" w:id="0">
    <w:p w:rsidR="00E42C37" w:rsidRDefault="00E42C37" w:rsidP="00B111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B7FFE"/>
    <w:rsid w:val="006B7FFE"/>
    <w:rsid w:val="007B5036"/>
    <w:rsid w:val="00AB1ADC"/>
    <w:rsid w:val="00B1115F"/>
    <w:rsid w:val="00BE7FDE"/>
    <w:rsid w:val="00E42C37"/>
    <w:rsid w:val="0FFB6AD6"/>
    <w:rsid w:val="1D6F5088"/>
    <w:rsid w:val="239B54CD"/>
    <w:rsid w:val="280C1354"/>
    <w:rsid w:val="2C7D2B61"/>
    <w:rsid w:val="4F1D7C99"/>
    <w:rsid w:val="5E7E3038"/>
    <w:rsid w:val="7F3913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7FFE"/>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B7FFE"/>
    <w:pPr>
      <w:pBdr>
        <w:bottom w:val="single" w:sz="6" w:space="1" w:color="auto"/>
      </w:pBdr>
      <w:tabs>
        <w:tab w:val="center" w:pos="4153"/>
        <w:tab w:val="right" w:pos="8306"/>
      </w:tabs>
      <w:snapToGrid w:val="0"/>
      <w:jc w:val="center"/>
    </w:pPr>
    <w:rPr>
      <w:sz w:val="18"/>
      <w:szCs w:val="18"/>
    </w:rPr>
  </w:style>
  <w:style w:type="paragraph" w:styleId="a4">
    <w:name w:val="Normal (Web)"/>
    <w:basedOn w:val="a"/>
    <w:qFormat/>
    <w:rsid w:val="006B7FFE"/>
    <w:pPr>
      <w:widowControl/>
      <w:spacing w:before="100" w:beforeAutospacing="1" w:after="100" w:afterAutospacing="1"/>
      <w:jc w:val="left"/>
    </w:pPr>
    <w:rPr>
      <w:rFonts w:ascii="宋体" w:hAnsi="宋体" w:cs="宋体"/>
      <w:kern w:val="0"/>
      <w:sz w:val="24"/>
    </w:rPr>
  </w:style>
  <w:style w:type="paragraph" w:styleId="a5">
    <w:name w:val="footer"/>
    <w:basedOn w:val="a"/>
    <w:link w:val="Char"/>
    <w:rsid w:val="00B1115F"/>
    <w:pPr>
      <w:tabs>
        <w:tab w:val="center" w:pos="4153"/>
        <w:tab w:val="right" w:pos="8306"/>
      </w:tabs>
      <w:snapToGrid w:val="0"/>
      <w:jc w:val="left"/>
    </w:pPr>
    <w:rPr>
      <w:sz w:val="18"/>
      <w:szCs w:val="18"/>
    </w:rPr>
  </w:style>
  <w:style w:type="character" w:customStyle="1" w:styleId="Char">
    <w:name w:val="页脚 Char"/>
    <w:basedOn w:val="a0"/>
    <w:link w:val="a5"/>
    <w:rsid w:val="00B1115F"/>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89</Words>
  <Characters>508</Characters>
  <Application>Microsoft Office Word</Application>
  <DocSecurity>0</DocSecurity>
  <Lines>4</Lines>
  <Paragraphs>1</Paragraphs>
  <ScaleCrop>false</ScaleCrop>
  <Company>Sky123.Org</Company>
  <LinksUpToDate>false</LinksUpToDate>
  <CharactersWithSpaces>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3</cp:revision>
  <cp:lastPrinted>2019-04-09T01:48:00Z</cp:lastPrinted>
  <dcterms:created xsi:type="dcterms:W3CDTF">2014-10-29T12:08:00Z</dcterms:created>
  <dcterms:modified xsi:type="dcterms:W3CDTF">2019-04-16T02:13:00Z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