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24" w:rsidRPr="00F00524" w:rsidRDefault="00F00524" w:rsidP="00F00524">
      <w:pPr>
        <w:widowControl/>
        <w:shd w:val="clear" w:color="auto" w:fill="FFFFFF"/>
        <w:spacing w:after="240"/>
        <w:jc w:val="center"/>
        <w:outlineLvl w:val="1"/>
        <w:rPr>
          <w:rFonts w:ascii="方正小标宋简体" w:eastAsia="方正小标宋简体" w:hAnsi="Microsoft YaHei UI" w:cs="宋体" w:hint="eastAsia"/>
          <w:color w:val="333333"/>
          <w:spacing w:val="9"/>
          <w:kern w:val="0"/>
          <w:sz w:val="38"/>
          <w:szCs w:val="38"/>
        </w:rPr>
      </w:pPr>
      <w:r w:rsidRPr="00F00524">
        <w:rPr>
          <w:rFonts w:ascii="方正小标宋简体" w:eastAsia="方正小标宋简体" w:hAnsi="Microsoft YaHei UI" w:cs="宋体" w:hint="eastAsia"/>
          <w:color w:val="333333"/>
          <w:spacing w:val="9"/>
          <w:kern w:val="0"/>
          <w:sz w:val="38"/>
          <w:szCs w:val="38"/>
        </w:rPr>
        <w:t>财政部关于推进政府和社会资本合作规范发展的实施意见</w:t>
      </w:r>
    </w:p>
    <w:tbl>
      <w:tblPr>
        <w:tblW w:w="5083" w:type="pct"/>
        <w:tblCellMar>
          <w:left w:w="0" w:type="dxa"/>
          <w:right w:w="0" w:type="dxa"/>
        </w:tblCellMar>
        <w:tblLook w:val="04A0"/>
      </w:tblPr>
      <w:tblGrid>
        <w:gridCol w:w="9454"/>
      </w:tblGrid>
      <w:tr w:rsidR="00F00524" w:rsidRPr="00F00524" w:rsidTr="00F00524">
        <w:trPr>
          <w:trHeight w:val="11296"/>
        </w:trPr>
        <w:tc>
          <w:tcPr>
            <w:tcW w:w="5000" w:type="pct"/>
            <w:tcBorders>
              <w:top w:val="single" w:sz="6" w:space="0" w:color="DDDDDD"/>
              <w:left w:val="single" w:sz="6" w:space="0" w:color="DDDDDD"/>
              <w:bottom w:val="single" w:sz="6" w:space="0" w:color="DDDDDD"/>
              <w:right w:val="single" w:sz="6" w:space="0" w:color="DDDDDD"/>
            </w:tcBorders>
            <w:tcMar>
              <w:top w:w="86" w:type="dxa"/>
              <w:left w:w="171" w:type="dxa"/>
              <w:bottom w:w="86" w:type="dxa"/>
              <w:right w:w="171" w:type="dxa"/>
            </w:tcMar>
            <w:vAlign w:val="center"/>
            <w:hideMark/>
          </w:tcPr>
          <w:p w:rsidR="00F00524" w:rsidRPr="00F00524" w:rsidRDefault="00F00524" w:rsidP="00F00524">
            <w:pPr>
              <w:widowControl/>
              <w:wordWrap w:val="0"/>
              <w:jc w:val="center"/>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财金〔2019〕10号</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各省、自治区、直辖市、计划单列市财政厅（局），新疆生产建设兵团财政局，财政部驻各省、自治区、直辖市、计划单列市财政监察专员办事处：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在公共服务领域推广运用政府和社会资本合作（PPP）模式，引入社会力量参与公共服务供给，提升供给质量和效率，是党中央、国务院</w:t>
            </w:r>
            <w:proofErr w:type="gramStart"/>
            <w:r w:rsidRPr="00F00524">
              <w:rPr>
                <w:rFonts w:ascii="仿宋_GB2312" w:eastAsia="仿宋_GB2312" w:hAnsi="宋体" w:cs="宋体" w:hint="eastAsia"/>
                <w:kern w:val="0"/>
                <w:sz w:val="32"/>
                <w:szCs w:val="32"/>
              </w:rPr>
              <w:t>作出</w:t>
            </w:r>
            <w:proofErr w:type="gramEnd"/>
            <w:r w:rsidRPr="00F00524">
              <w:rPr>
                <w:rFonts w:ascii="仿宋_GB2312" w:eastAsia="仿宋_GB2312" w:hAnsi="宋体" w:cs="宋体" w:hint="eastAsia"/>
                <w:kern w:val="0"/>
                <w:sz w:val="32"/>
                <w:szCs w:val="32"/>
              </w:rPr>
              <w:t>的一项重大决策部署。为贯彻落实中央经济工作会议和全国财政工作会议精神，有效防控地方政府隐性债务风险，充分发挥PPP模式积极作用，落实好“六稳”工作要求，补齐基础设施短板，推动经济高质量发展，现提出如下意见：</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b/>
                <w:bCs/>
                <w:kern w:val="0"/>
                <w:sz w:val="32"/>
                <w:szCs w:val="32"/>
              </w:rPr>
              <w:t xml:space="preserve">　　一、牢牢把握推动PPP规范发展的总体要求</w:t>
            </w:r>
            <w:r w:rsidRPr="00F00524">
              <w:rPr>
                <w:rFonts w:ascii="宋体" w:eastAsia="仿宋_GB2312" w:hAnsi="宋体" w:cs="宋体" w:hint="eastAsia"/>
                <w:b/>
                <w:bCs/>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近年来，各级财政部门会同有关方面大力推进PPP工作，在稳增长、促改革、惠民生方面发挥了积极作用，但也存在超出自身财力、固化政府支出责任、泛化运用范围等问题。各级财政部门要进一步提高认识，遵循“规范运行、严格监管、公开透明、诚信履约”的原则，切实防控地方政府隐性债务风险，坚决打好防范化解重大风险攻坚战，扎实推进PPP规范发展。</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lastRenderedPageBreak/>
              <w:t xml:space="preserve">　　（一）规范运行。健全制度体系，明确“正负面”清单，</w:t>
            </w:r>
            <w:proofErr w:type="gramStart"/>
            <w:r w:rsidRPr="00F00524">
              <w:rPr>
                <w:rFonts w:ascii="仿宋_GB2312" w:eastAsia="仿宋_GB2312" w:hAnsi="宋体" w:cs="宋体" w:hint="eastAsia"/>
                <w:kern w:val="0"/>
                <w:sz w:val="32"/>
                <w:szCs w:val="32"/>
              </w:rPr>
              <w:t>明确全</w:t>
            </w:r>
            <w:proofErr w:type="gramEnd"/>
            <w:r w:rsidRPr="00F00524">
              <w:rPr>
                <w:rFonts w:ascii="仿宋_GB2312" w:eastAsia="仿宋_GB2312" w:hAnsi="宋体" w:cs="宋体" w:hint="eastAsia"/>
                <w:kern w:val="0"/>
                <w:sz w:val="32"/>
                <w:szCs w:val="32"/>
              </w:rPr>
              <w:t>生命周期管理要求，严格项目入库，完善“能进能出”动态调整机制，落实项目绩效激励考核。</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（二）严格监管。坚持必要、可承受的财政投入原则，审慎科学决策，健全财政支出责任监测和风险预警机制，防止政府支出责任过多、</w:t>
            </w:r>
            <w:proofErr w:type="gramStart"/>
            <w:r w:rsidRPr="00F00524">
              <w:rPr>
                <w:rFonts w:ascii="仿宋_GB2312" w:eastAsia="仿宋_GB2312" w:hAnsi="宋体" w:cs="宋体" w:hint="eastAsia"/>
                <w:kern w:val="0"/>
                <w:sz w:val="32"/>
                <w:szCs w:val="32"/>
              </w:rPr>
              <w:t>过重加大</w:t>
            </w:r>
            <w:proofErr w:type="gramEnd"/>
            <w:r w:rsidRPr="00F00524">
              <w:rPr>
                <w:rFonts w:ascii="仿宋_GB2312" w:eastAsia="仿宋_GB2312" w:hAnsi="宋体" w:cs="宋体" w:hint="eastAsia"/>
                <w:kern w:val="0"/>
                <w:sz w:val="32"/>
                <w:szCs w:val="32"/>
              </w:rPr>
              <w:t>财政支出压力，切实防控假借PPP名义增加地方政府隐性债务。</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（三）公开透明。公平、公正、公开择优采购社会资本方。用好全国PPP综合信息平台，充分披露PPP项目全生命周期信息，保障公众知情权，对参与各方形成有效监督和约束。</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四）诚信履约。加强地方政府诚信建设，增强契约理念，充分体现平等合作原则，保障社会资本合法权益。依法依规将符合条件的PPP项目财政支出责任纳入预算管理，按照合同约定及时履约，增强社会资本长期投资信心。</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b/>
                <w:bCs/>
                <w:kern w:val="0"/>
                <w:sz w:val="32"/>
                <w:szCs w:val="32"/>
              </w:rPr>
              <w:t xml:space="preserve">　　二、规范推进PPP项目实施</w:t>
            </w:r>
            <w:r w:rsidRPr="00F00524">
              <w:rPr>
                <w:rFonts w:ascii="宋体" w:eastAsia="仿宋_GB2312" w:hAnsi="宋体" w:cs="宋体" w:hint="eastAsia"/>
                <w:b/>
                <w:bCs/>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（一）规范的PPP项目应当符合以下条件：</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1.</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属于公共服务领域的公益性项目，合作期限原则上在10年以上，按规定履行物有所值评价、财政承受能力论证程序；</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2.</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社会资本负责项目投资、建设、运营并承担相应风险，政府承担政策、法律等风险；</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lastRenderedPageBreak/>
              <w:t xml:space="preserve">　　3.</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建立完全与项目产出绩效相挂钩的付费机制，不得通过降低考核标准等方式，提前锁定、固化政府支出责任；</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4.</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项目资本金符合国家规定比例，项目公司股东以自有资金按时足额缴纳资本金；</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5.</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政府方签约主体应为县级及县级以上人民政府或其授权的机关或事业单位；</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6.</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按规定纳入全国PPP综合信息平台项目库，及时充分披露项目信息，主动接受社会监督。</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（二）在符合上述条件的同时，新上政府付费项目原则上还应符合以下审慎要求：</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1.</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财政支出责任占比超过5%的地区，不得新上政府付费项目。按照“实质重于形式”原则，污水、垃圾处理等依照收支两条线管理、表现为政府付费形式的PPP项目除外；</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2.</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采用公开招标、邀请招标、竞争性磋商、竞争性谈判等竞争性方式选择社会资本方；</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3.</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严格控制项目投资、建设、运营成本，加强跟踪审计。</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对于规避上述限制条件，将新上政府付费项目打捆、包装为少量使用者付费项目，项目内容无实质关联、使用者付费比例低于10%的，不予入库。</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（三）强化财政支出责任监管。确保每一年度本级全部PPP</w:t>
            </w:r>
            <w:r w:rsidRPr="00F00524">
              <w:rPr>
                <w:rFonts w:ascii="仿宋_GB2312" w:eastAsia="仿宋_GB2312" w:hAnsi="宋体" w:cs="宋体" w:hint="eastAsia"/>
                <w:kern w:val="0"/>
                <w:sz w:val="32"/>
                <w:szCs w:val="32"/>
              </w:rPr>
              <w:lastRenderedPageBreak/>
              <w:t>项目从一般公共预算列支的财政支出责任，不超过当年本级一般公共预算支出的10%。新签约项目不得从政府性基金预算、国有资本经营预算安排PPP项目运营补贴支出。建立PPP项目支出责任预警机制，对财政支出责任占比超过7%的地区进行风险提示，对超过10%的地区严禁新项目入库。</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b/>
                <w:bCs/>
                <w:kern w:val="0"/>
                <w:sz w:val="32"/>
                <w:szCs w:val="32"/>
              </w:rPr>
              <w:t xml:space="preserve">　　三、加强项目规范管理</w:t>
            </w:r>
            <w:r w:rsidRPr="00F00524">
              <w:rPr>
                <w:rFonts w:ascii="宋体" w:eastAsia="仿宋_GB2312" w:hAnsi="宋体" w:cs="宋体" w:hint="eastAsia"/>
                <w:b/>
                <w:bCs/>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各级财政部门要将规范运作放在首位，严格按照要求实施规范的PPP项目，不得出现以下行为：</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一）存在政府方或政府方出资代表向社会资本回购投资本金、承诺固定回报或保障最低收益的。通过签订阴阳合同，或由政府方或政府方出资代表为项目融资提供各种形式的担保、还款承诺等方式，由政府实际兜底项目投资建设运营风险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二）本级政府所属的各类融资平台公司、融资平台公司参股并能对其经营活动构成实质性影响的国有企业作为社会资本参与本级PPP项目的。社会资本方实际只承担项目建设、不承担项目运营责任，或政府支出事项与项目产出绩效脱钩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（三）未经法定程序选择社会资本方的。未按规定通过物有所值评价、财政承受能力论证或规避财政承受能力10%红线，自行以PPP名义实施的。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（四）以债务性资金充当项目资本金，虚假出资或出资不实</w:t>
            </w:r>
            <w:r w:rsidRPr="00F00524">
              <w:rPr>
                <w:rFonts w:ascii="仿宋_GB2312" w:eastAsia="仿宋_GB2312" w:hAnsi="宋体" w:cs="宋体" w:hint="eastAsia"/>
                <w:kern w:val="0"/>
                <w:sz w:val="32"/>
                <w:szCs w:val="32"/>
              </w:rPr>
              <w:lastRenderedPageBreak/>
              <w:t>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（五）未按规定及时充分披露项目信息或披露虚假项目信息，严重影响行使公众知情权和社会监督权的。</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对于存在本条（一）项情形，已入库项目应当予以清退，项目形成的财政支出责任，应当认定为地方政府隐性债务，依法依规提请有关部门对相关单位及个人予以严肃问责。</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对于存在本条（二）至（五）项情形的，应在限期内进行整改。无法整改或逾期整改不到位的，已入库项目应当予以清退，涉及增加地方政府隐性债务的，依法依规提请有关部门</w:t>
            </w:r>
            <w:proofErr w:type="gramStart"/>
            <w:r w:rsidRPr="00F00524">
              <w:rPr>
                <w:rFonts w:ascii="仿宋_GB2312" w:eastAsia="仿宋_GB2312" w:hAnsi="宋体" w:cs="宋体" w:hint="eastAsia"/>
                <w:kern w:val="0"/>
                <w:sz w:val="32"/>
                <w:szCs w:val="32"/>
              </w:rPr>
              <w:t>予以问</w:t>
            </w:r>
            <w:proofErr w:type="gramEnd"/>
            <w:r w:rsidRPr="00F00524">
              <w:rPr>
                <w:rFonts w:ascii="仿宋_GB2312" w:eastAsia="仿宋_GB2312" w:hAnsi="宋体" w:cs="宋体" w:hint="eastAsia"/>
                <w:kern w:val="0"/>
                <w:sz w:val="32"/>
                <w:szCs w:val="32"/>
              </w:rPr>
              <w:t>责和妥善处置。</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b/>
                <w:bCs/>
                <w:kern w:val="0"/>
                <w:sz w:val="32"/>
                <w:szCs w:val="32"/>
              </w:rPr>
              <w:t xml:space="preserve">　　四、营造规范发展的良好环境</w:t>
            </w:r>
            <w:r w:rsidRPr="00F00524">
              <w:rPr>
                <w:rFonts w:ascii="宋体" w:eastAsia="仿宋_GB2312" w:hAnsi="宋体" w:cs="宋体" w:hint="eastAsia"/>
                <w:b/>
                <w:bCs/>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各级财政部门要会同有关部门，多</w:t>
            </w:r>
            <w:proofErr w:type="gramStart"/>
            <w:r w:rsidRPr="00F00524">
              <w:rPr>
                <w:rFonts w:ascii="仿宋_GB2312" w:eastAsia="仿宋_GB2312" w:hAnsi="宋体" w:cs="宋体" w:hint="eastAsia"/>
                <w:kern w:val="0"/>
                <w:sz w:val="32"/>
                <w:szCs w:val="32"/>
              </w:rPr>
              <w:t>措</w:t>
            </w:r>
            <w:proofErr w:type="gramEnd"/>
            <w:r w:rsidRPr="00F00524">
              <w:rPr>
                <w:rFonts w:ascii="仿宋_GB2312" w:eastAsia="仿宋_GB2312" w:hAnsi="宋体" w:cs="宋体" w:hint="eastAsia"/>
                <w:kern w:val="0"/>
                <w:sz w:val="32"/>
                <w:szCs w:val="32"/>
              </w:rPr>
              <w:t>并举，加强规范管理和分类指导，对重点领域、重点项目加大政策支持力度。</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一）鼓励民资和外资参与。加大对民营企业、外资企业参与PPP项目的支持力度，向民营企业推介政府信用良好、项目收益稳定的优质项目，并在同等条件下对民营企业参与项目给予优先支持。中央财政公共服务领域相关专项转移支付资金优先支持符合条件的民营企业参与的PPP项目。研究完善中国PPP基金绩效考核办法，将投资民营企业参与项目作为重要考核指标，引导中国PPP基金加大支持力度。各地在开展PPP项目时，不得对外</w:t>
            </w:r>
            <w:r w:rsidRPr="00F00524">
              <w:rPr>
                <w:rFonts w:ascii="仿宋_GB2312" w:eastAsia="仿宋_GB2312" w:hAnsi="宋体" w:cs="宋体" w:hint="eastAsia"/>
                <w:kern w:val="0"/>
                <w:sz w:val="32"/>
                <w:szCs w:val="32"/>
              </w:rPr>
              <w:lastRenderedPageBreak/>
              <w:t>资企业、中资境外分支机构参与设置歧视性条款或附加条件。提倡优质优价采购，应当根据采购项目需求特点，合理选择采购方式，进一步加强采购需求和履约验收管理，提高采购质量。</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二）加大融资支持。结合自身财力状况，因地制宜采取注入资本金、运营补贴等方式支持规范的PPP项目。引导保险资金、中国PPP基金加大项目股权投资力度，拓宽项目资本金来源。鼓励通过股权转让、资产交易、资产证券化等方式，盘活项目存量资产，丰富社会资本进入和退出渠道。</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三）聚焦重点领域。优先支持基础设施补短板以及健康、养老、文化、体育、旅游等基本公共服务均等化领域有一定收益的公益性项目。加快实施符合经济社会发展需要、决策程序完备、回报机制清晰、融资结构合理的项目。</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四）保障合理支出。符合条件的PPP项目形成的政府支出事项，以公众享受符合约定条件的公共服务为支付依据，是政府为公众享受公共服务提供运营补贴形成的经常性支出。各地要依法依规将规范的PPP项目财政支出纳入预算管理，重诺守约，稳定市场预期。</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（五）加强信息披露。依托全国PPP综合信息平台，对PPP项目信息进行全流程公开披露、汇总统计和分析监测，完善项目库“能进能出”的动态调整机制，不以入库为项目合</w:t>
            </w:r>
            <w:proofErr w:type="gramStart"/>
            <w:r w:rsidRPr="00F00524">
              <w:rPr>
                <w:rFonts w:ascii="仿宋_GB2312" w:eastAsia="仿宋_GB2312" w:hAnsi="宋体" w:cs="宋体" w:hint="eastAsia"/>
                <w:kern w:val="0"/>
                <w:sz w:val="32"/>
                <w:szCs w:val="32"/>
              </w:rPr>
              <w:t>规</w:t>
            </w:r>
            <w:proofErr w:type="gramEnd"/>
            <w:r w:rsidRPr="00F00524">
              <w:rPr>
                <w:rFonts w:ascii="仿宋_GB2312" w:eastAsia="仿宋_GB2312" w:hAnsi="宋体" w:cs="宋体" w:hint="eastAsia"/>
                <w:kern w:val="0"/>
                <w:sz w:val="32"/>
                <w:szCs w:val="32"/>
              </w:rPr>
              <w:t>“背书”，</w:t>
            </w:r>
            <w:r w:rsidRPr="00F00524">
              <w:rPr>
                <w:rFonts w:ascii="仿宋_GB2312" w:eastAsia="仿宋_GB2312" w:hAnsi="宋体" w:cs="宋体" w:hint="eastAsia"/>
                <w:kern w:val="0"/>
                <w:sz w:val="32"/>
                <w:szCs w:val="32"/>
              </w:rPr>
              <w:lastRenderedPageBreak/>
              <w:t>不以入库作为商业银行贷款条件。</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六）加强分类指导。对于在建项目，督促各方严格履约，保障出资到位，推动项目按期完工，避免出现“半拉子”项目。对于尚未开工的项目，督促各方严格按照要求加强合同条款审核，规范融资安排。对于进入采购阶段的项目，加强宣传推介和信息披露，吸引各类市场主体特别是民营企业和外资企业平等参与。同时，加强重大项目储备，扎实做好项目前期论证，推动形成远近结合、梯次接续的项目开发格局。</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（七）强化PPP咨询机构库和专家库管理。咨询机构和专家要发挥专业作用，遵守职业操守，依法合</w:t>
            </w:r>
            <w:proofErr w:type="gramStart"/>
            <w:r w:rsidRPr="00F00524">
              <w:rPr>
                <w:rFonts w:ascii="仿宋_GB2312" w:eastAsia="仿宋_GB2312" w:hAnsi="宋体" w:cs="宋体" w:hint="eastAsia"/>
                <w:kern w:val="0"/>
                <w:sz w:val="32"/>
                <w:szCs w:val="32"/>
              </w:rPr>
              <w:t>规</w:t>
            </w:r>
            <w:proofErr w:type="gramEnd"/>
            <w:r w:rsidRPr="00F00524">
              <w:rPr>
                <w:rFonts w:ascii="仿宋_GB2312" w:eastAsia="仿宋_GB2312" w:hAnsi="宋体" w:cs="宋体" w:hint="eastAsia"/>
                <w:kern w:val="0"/>
                <w:sz w:val="32"/>
                <w:szCs w:val="32"/>
              </w:rPr>
              <w:t>提供PPP项目咨询服务。对于包装不规范PPP项目增加隐性债务风险、出具咨询意见违反相关政策规定、收费标准偏离市场合理水平、对PPP项目实施造成消极影响和严重后果的咨询机构和专家，要按照规定严肃追究责任。</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b/>
                <w:bCs/>
                <w:kern w:val="0"/>
                <w:sz w:val="32"/>
                <w:szCs w:val="32"/>
              </w:rPr>
              <w:t xml:space="preserve">　　五、协同配合抓好落实</w:t>
            </w:r>
            <w:r w:rsidRPr="00F00524">
              <w:rPr>
                <w:rFonts w:ascii="宋体" w:eastAsia="仿宋_GB2312" w:hAnsi="宋体" w:cs="宋体" w:hint="eastAsia"/>
                <w:b/>
                <w:bCs/>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各级财政部门要提高站位，主动作为，加快推动建立协同配合、保障有力、措施到位的工作机制。</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（一）加强部门协作，强化项目前期识别、论证和入库等环节的沟通协调与信息共享，扎实做好项目前期准备工作，夯实项目实施基础，推进科学决策。</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lastRenderedPageBreak/>
              <w:t xml:space="preserve">　　（二）强化跟踪监测。加强对项目全生命周期的跟踪指导和监督检查，建立健全政策落实和项目实施督查机制。加大信息公开力度，主动接受审计监督和社会监督，推动项目规范有序实施。</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（三）鼓励地方和部门因地制宜创新工作机制、加大政策扶持力度，加强经验总结和案例推广，工作推进中形成的经验做法和发现的重大问题，及时向财政部报告。</w:t>
            </w:r>
            <w:r w:rsidRPr="00F00524">
              <w:rPr>
                <w:rFonts w:ascii="宋体" w:eastAsia="仿宋_GB2312" w:hAnsi="宋体" w:cs="宋体" w:hint="eastAsia"/>
                <w:kern w:val="0"/>
                <w:sz w:val="32"/>
                <w:szCs w:val="32"/>
              </w:rPr>
              <w:t>  </w:t>
            </w:r>
          </w:p>
          <w:p w:rsidR="00F00524" w:rsidRPr="00F00524" w:rsidRDefault="00F00524" w:rsidP="00F00524">
            <w:pPr>
              <w:widowControl/>
              <w:wordWrap w:val="0"/>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w:t>
            </w:r>
            <w:r w:rsidRPr="00F00524">
              <w:rPr>
                <w:rFonts w:ascii="宋体" w:eastAsia="仿宋_GB2312" w:hAnsi="宋体" w:cs="宋体" w:hint="eastAsia"/>
                <w:kern w:val="0"/>
                <w:sz w:val="32"/>
                <w:szCs w:val="32"/>
              </w:rPr>
              <w:t>  </w:t>
            </w:r>
          </w:p>
          <w:p w:rsidR="00F00524" w:rsidRPr="00F00524" w:rsidRDefault="00F00524" w:rsidP="00F00524">
            <w:pPr>
              <w:widowControl/>
              <w:wordWrap w:val="0"/>
              <w:jc w:val="right"/>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w:t>
            </w:r>
            <w:r w:rsidRPr="00F00524">
              <w:rPr>
                <w:rFonts w:ascii="宋体" w:eastAsia="仿宋_GB2312" w:hAnsi="宋体" w:cs="宋体" w:hint="eastAsia"/>
                <w:kern w:val="0"/>
                <w:sz w:val="32"/>
                <w:szCs w:val="32"/>
              </w:rPr>
              <w:t>          </w:t>
            </w:r>
          </w:p>
          <w:p w:rsidR="00F00524" w:rsidRPr="00F00524" w:rsidRDefault="00F00524" w:rsidP="00F00524">
            <w:pPr>
              <w:widowControl/>
              <w:wordWrap w:val="0"/>
              <w:jc w:val="right"/>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财</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政</w:t>
            </w:r>
            <w:r w:rsidRPr="00F00524">
              <w:rPr>
                <w:rFonts w:ascii="宋体" w:eastAsia="仿宋_GB2312" w:hAnsi="宋体" w:cs="宋体" w:hint="eastAsia"/>
                <w:kern w:val="0"/>
                <w:sz w:val="32"/>
                <w:szCs w:val="32"/>
              </w:rPr>
              <w:t>  </w:t>
            </w:r>
            <w:r w:rsidRPr="00F00524">
              <w:rPr>
                <w:rFonts w:ascii="仿宋_GB2312" w:eastAsia="仿宋_GB2312" w:hAnsi="宋体" w:cs="宋体" w:hint="eastAsia"/>
                <w:kern w:val="0"/>
                <w:sz w:val="32"/>
                <w:szCs w:val="32"/>
              </w:rPr>
              <w:t>部</w:t>
            </w:r>
            <w:r w:rsidRPr="00F00524">
              <w:rPr>
                <w:rFonts w:ascii="宋体" w:eastAsia="仿宋_GB2312" w:hAnsi="宋体" w:cs="宋体" w:hint="eastAsia"/>
                <w:kern w:val="0"/>
                <w:sz w:val="32"/>
                <w:szCs w:val="32"/>
              </w:rPr>
              <w:t> </w:t>
            </w:r>
          </w:p>
          <w:p w:rsidR="00F00524" w:rsidRPr="00F00524" w:rsidRDefault="00F00524" w:rsidP="00F00524">
            <w:pPr>
              <w:widowControl/>
              <w:wordWrap w:val="0"/>
              <w:jc w:val="right"/>
              <w:rPr>
                <w:rFonts w:ascii="仿宋_GB2312" w:eastAsia="仿宋_GB2312" w:hAnsi="宋体" w:cs="宋体" w:hint="eastAsia"/>
                <w:kern w:val="0"/>
                <w:sz w:val="32"/>
                <w:szCs w:val="32"/>
              </w:rPr>
            </w:pPr>
            <w:r w:rsidRPr="00F00524">
              <w:rPr>
                <w:rFonts w:ascii="仿宋_GB2312" w:eastAsia="仿宋_GB2312" w:hAnsi="宋体" w:cs="宋体" w:hint="eastAsia"/>
                <w:kern w:val="0"/>
                <w:sz w:val="32"/>
                <w:szCs w:val="32"/>
              </w:rPr>
              <w:t xml:space="preserve">　　2019年3月7日</w:t>
            </w:r>
          </w:p>
        </w:tc>
      </w:tr>
    </w:tbl>
    <w:p w:rsidR="00B730CE" w:rsidRDefault="00B730CE"/>
    <w:sectPr w:rsidR="00B730CE" w:rsidSect="00F00524">
      <w:pgSz w:w="11906" w:h="16838"/>
      <w:pgMar w:top="2098"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984" w:rsidRDefault="00193984" w:rsidP="00F00524">
      <w:r>
        <w:separator/>
      </w:r>
    </w:p>
  </w:endnote>
  <w:endnote w:type="continuationSeparator" w:id="0">
    <w:p w:rsidR="00193984" w:rsidRDefault="00193984" w:rsidP="00F00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984" w:rsidRDefault="00193984" w:rsidP="00F00524">
      <w:r>
        <w:separator/>
      </w:r>
    </w:p>
  </w:footnote>
  <w:footnote w:type="continuationSeparator" w:id="0">
    <w:p w:rsidR="00193984" w:rsidRDefault="00193984" w:rsidP="00F00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524"/>
    <w:rsid w:val="00193984"/>
    <w:rsid w:val="00B730CE"/>
    <w:rsid w:val="00F00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0CE"/>
    <w:pPr>
      <w:widowControl w:val="0"/>
      <w:jc w:val="both"/>
    </w:pPr>
  </w:style>
  <w:style w:type="paragraph" w:styleId="2">
    <w:name w:val="heading 2"/>
    <w:basedOn w:val="a"/>
    <w:link w:val="2Char"/>
    <w:uiPriority w:val="9"/>
    <w:qFormat/>
    <w:rsid w:val="00F005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0524"/>
    <w:rPr>
      <w:sz w:val="18"/>
      <w:szCs w:val="18"/>
    </w:rPr>
  </w:style>
  <w:style w:type="paragraph" w:styleId="a4">
    <w:name w:val="footer"/>
    <w:basedOn w:val="a"/>
    <w:link w:val="Char0"/>
    <w:uiPriority w:val="99"/>
    <w:semiHidden/>
    <w:unhideWhenUsed/>
    <w:rsid w:val="00F005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0524"/>
    <w:rPr>
      <w:sz w:val="18"/>
      <w:szCs w:val="18"/>
    </w:rPr>
  </w:style>
  <w:style w:type="character" w:customStyle="1" w:styleId="2Char">
    <w:name w:val="标题 2 Char"/>
    <w:basedOn w:val="a0"/>
    <w:link w:val="2"/>
    <w:uiPriority w:val="9"/>
    <w:rsid w:val="00F00524"/>
    <w:rPr>
      <w:rFonts w:ascii="宋体" w:eastAsia="宋体" w:hAnsi="宋体" w:cs="宋体"/>
      <w:b/>
      <w:bCs/>
      <w:kern w:val="0"/>
      <w:sz w:val="36"/>
      <w:szCs w:val="36"/>
    </w:rPr>
  </w:style>
  <w:style w:type="character" w:customStyle="1" w:styleId="richmediameta">
    <w:name w:val="rich_media_meta"/>
    <w:basedOn w:val="a0"/>
    <w:rsid w:val="00F00524"/>
  </w:style>
  <w:style w:type="character" w:customStyle="1" w:styleId="apple-converted-space">
    <w:name w:val="apple-converted-space"/>
    <w:basedOn w:val="a0"/>
    <w:rsid w:val="00F00524"/>
  </w:style>
  <w:style w:type="character" w:styleId="a5">
    <w:name w:val="Hyperlink"/>
    <w:basedOn w:val="a0"/>
    <w:uiPriority w:val="99"/>
    <w:semiHidden/>
    <w:unhideWhenUsed/>
    <w:rsid w:val="00F00524"/>
    <w:rPr>
      <w:color w:val="0000FF"/>
      <w:u w:val="single"/>
    </w:rPr>
  </w:style>
  <w:style w:type="character" w:styleId="a6">
    <w:name w:val="Emphasis"/>
    <w:basedOn w:val="a0"/>
    <w:uiPriority w:val="20"/>
    <w:qFormat/>
    <w:rsid w:val="00F00524"/>
    <w:rPr>
      <w:i/>
      <w:iCs/>
    </w:rPr>
  </w:style>
  <w:style w:type="paragraph" w:styleId="a7">
    <w:name w:val="Normal (Web)"/>
    <w:basedOn w:val="a"/>
    <w:uiPriority w:val="99"/>
    <w:unhideWhenUsed/>
    <w:rsid w:val="00F0052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00524"/>
    <w:rPr>
      <w:b/>
      <w:bCs/>
    </w:rPr>
  </w:style>
</w:styles>
</file>

<file path=word/webSettings.xml><?xml version="1.0" encoding="utf-8"?>
<w:webSettings xmlns:r="http://schemas.openxmlformats.org/officeDocument/2006/relationships" xmlns:w="http://schemas.openxmlformats.org/wordprocessingml/2006/main">
  <w:divs>
    <w:div w:id="1847206577">
      <w:bodyDiv w:val="1"/>
      <w:marLeft w:val="0"/>
      <w:marRight w:val="0"/>
      <w:marTop w:val="0"/>
      <w:marBottom w:val="0"/>
      <w:divBdr>
        <w:top w:val="none" w:sz="0" w:space="0" w:color="auto"/>
        <w:left w:val="none" w:sz="0" w:space="0" w:color="auto"/>
        <w:bottom w:val="none" w:sz="0" w:space="0" w:color="auto"/>
        <w:right w:val="none" w:sz="0" w:space="0" w:color="auto"/>
      </w:divBdr>
      <w:divsChild>
        <w:div w:id="2009820074">
          <w:marLeft w:val="0"/>
          <w:marRight w:val="0"/>
          <w:marTop w:val="0"/>
          <w:marBottom w:val="37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2019-03-11T08:20:00Z</dcterms:created>
  <dcterms:modified xsi:type="dcterms:W3CDTF">2019-03-11T08:24:00Z</dcterms:modified>
</cp:coreProperties>
</file>