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2768D" w:rsidRPr="009A3750" w:rsidRDefault="00AE539D" w:rsidP="00AE539D">
      <w:pPr>
        <w:jc w:val="center"/>
        <w:rPr>
          <w:b/>
          <w:sz w:val="44"/>
          <w:szCs w:val="44"/>
        </w:rPr>
      </w:pPr>
      <w:r w:rsidRPr="009A3750">
        <w:rPr>
          <w:rFonts w:hint="eastAsia"/>
          <w:b/>
          <w:sz w:val="44"/>
          <w:szCs w:val="44"/>
        </w:rPr>
        <w:t>企业简易注销知识问答</w:t>
      </w:r>
    </w:p>
    <w:p w:rsidR="00531646" w:rsidRDefault="00531646">
      <w:pPr>
        <w:rPr>
          <w:b/>
        </w:rPr>
      </w:pPr>
    </w:p>
    <w:p w:rsidR="00AE539D" w:rsidRPr="0072504C" w:rsidRDefault="00AE539D">
      <w:pPr>
        <w:rPr>
          <w:b/>
        </w:rPr>
      </w:pPr>
      <w:r w:rsidRPr="0072504C">
        <w:rPr>
          <w:rFonts w:hint="eastAsia"/>
          <w:b/>
        </w:rPr>
        <w:t>1</w:t>
      </w:r>
      <w:r w:rsidRPr="0072504C">
        <w:rPr>
          <w:rFonts w:hint="eastAsia"/>
          <w:b/>
        </w:rPr>
        <w:t>、哪些类型的企业可以申请简易注销</w:t>
      </w:r>
      <w:r w:rsidR="00531646">
        <w:rPr>
          <w:rFonts w:hint="eastAsia"/>
          <w:b/>
        </w:rPr>
        <w:t>登记</w:t>
      </w:r>
      <w:r w:rsidRPr="0072504C">
        <w:rPr>
          <w:rFonts w:hint="eastAsia"/>
          <w:b/>
        </w:rPr>
        <w:t>？</w:t>
      </w:r>
    </w:p>
    <w:p w:rsidR="00AE539D" w:rsidRDefault="00AE539D" w:rsidP="00AE539D">
      <w:r>
        <w:rPr>
          <w:rFonts w:hint="eastAsia"/>
        </w:rPr>
        <w:t>答：</w:t>
      </w:r>
      <w:r w:rsidR="00531646">
        <w:rPr>
          <w:rFonts w:hint="eastAsia"/>
        </w:rPr>
        <w:t>未开业、无债权债务的</w:t>
      </w:r>
      <w:r w:rsidRPr="00AE539D">
        <w:rPr>
          <w:rFonts w:hint="eastAsia"/>
        </w:rPr>
        <w:t>有限责任公司</w:t>
      </w:r>
      <w:r w:rsidR="00531646">
        <w:rPr>
          <w:rFonts w:hint="eastAsia"/>
        </w:rPr>
        <w:t>、</w:t>
      </w:r>
      <w:r w:rsidRPr="00AE539D">
        <w:rPr>
          <w:rFonts w:hint="eastAsia"/>
        </w:rPr>
        <w:t>非公司企业法人</w:t>
      </w:r>
      <w:r w:rsidR="00531646">
        <w:rPr>
          <w:rFonts w:hint="eastAsia"/>
        </w:rPr>
        <w:t>、</w:t>
      </w:r>
      <w:r w:rsidRPr="00AE539D">
        <w:rPr>
          <w:rFonts w:hint="eastAsia"/>
        </w:rPr>
        <w:t>个人独资企业</w:t>
      </w:r>
      <w:r w:rsidR="00531646">
        <w:rPr>
          <w:rFonts w:hint="eastAsia"/>
        </w:rPr>
        <w:t>、</w:t>
      </w:r>
      <w:r w:rsidRPr="00AE539D">
        <w:rPr>
          <w:rFonts w:hint="eastAsia"/>
        </w:rPr>
        <w:t>合伙企业</w:t>
      </w:r>
      <w:r w:rsidR="00531646">
        <w:rPr>
          <w:rFonts w:hint="eastAsia"/>
        </w:rPr>
        <w:t>（含外商投资企业，以下统称企业）可以申请办理简易注销登记。</w:t>
      </w:r>
    </w:p>
    <w:p w:rsidR="00AE539D" w:rsidRDefault="00AE539D" w:rsidP="00AE539D"/>
    <w:p w:rsidR="00AE539D" w:rsidRPr="00531646" w:rsidRDefault="00AE539D" w:rsidP="00AE539D">
      <w:pPr>
        <w:rPr>
          <w:b/>
        </w:rPr>
      </w:pPr>
      <w:r w:rsidRPr="00531646">
        <w:rPr>
          <w:rFonts w:hint="eastAsia"/>
          <w:b/>
        </w:rPr>
        <w:t>2</w:t>
      </w:r>
      <w:r w:rsidRPr="00531646">
        <w:rPr>
          <w:rFonts w:hint="eastAsia"/>
          <w:b/>
        </w:rPr>
        <w:t>、</w:t>
      </w:r>
      <w:r w:rsidR="00531646" w:rsidRPr="00531646">
        <w:rPr>
          <w:rFonts w:ascii="Calibri" w:eastAsia="宋体" w:hAnsi="Calibri" w:cs="Times New Roman" w:hint="eastAsia"/>
          <w:b/>
        </w:rPr>
        <w:t>什么是未开业企业？什么是无债权债务企业？</w:t>
      </w:r>
    </w:p>
    <w:p w:rsidR="00AE539D" w:rsidRDefault="00AE539D" w:rsidP="00531646">
      <w:r>
        <w:rPr>
          <w:rFonts w:hint="eastAsia"/>
        </w:rPr>
        <w:t>答：</w:t>
      </w:r>
      <w:r w:rsidR="00531646" w:rsidRPr="00531646">
        <w:rPr>
          <w:rFonts w:ascii="Calibri" w:eastAsia="宋体" w:hAnsi="Calibri" w:cs="Times New Roman" w:hint="eastAsia"/>
        </w:rPr>
        <w:t>未开业企业，是指领取营业执照后未开展经营活动的企业；无债权债务企业</w:t>
      </w:r>
      <w:r w:rsidR="00531646" w:rsidRPr="00531646">
        <w:rPr>
          <w:rFonts w:ascii="Calibri" w:eastAsia="宋体" w:hAnsi="Calibri" w:cs="Times New Roman" w:hint="eastAsia"/>
        </w:rPr>
        <w:t>,</w:t>
      </w:r>
      <w:r w:rsidR="00531646" w:rsidRPr="00531646">
        <w:rPr>
          <w:rFonts w:ascii="Calibri" w:eastAsia="宋体" w:hAnsi="Calibri" w:cs="Times New Roman" w:hint="eastAsia"/>
        </w:rPr>
        <w:t>是指申请注销登记前未发生债权债务或已将债权债务清算完结的企业。</w:t>
      </w:r>
      <w:r w:rsidR="00531646">
        <w:t xml:space="preserve"> </w:t>
      </w:r>
    </w:p>
    <w:p w:rsidR="00AE539D" w:rsidRDefault="00AE539D" w:rsidP="00AE539D"/>
    <w:p w:rsidR="00AE539D" w:rsidRPr="0072504C" w:rsidRDefault="00AE539D" w:rsidP="00AE539D">
      <w:pPr>
        <w:rPr>
          <w:b/>
        </w:rPr>
      </w:pPr>
      <w:r w:rsidRPr="0072504C">
        <w:rPr>
          <w:rFonts w:hint="eastAsia"/>
          <w:b/>
        </w:rPr>
        <w:t>3</w:t>
      </w:r>
      <w:r w:rsidRPr="0072504C">
        <w:rPr>
          <w:rFonts w:hint="eastAsia"/>
          <w:b/>
        </w:rPr>
        <w:t>、哪些情形不能办理简易注销？</w:t>
      </w:r>
    </w:p>
    <w:p w:rsidR="00AE539D" w:rsidRDefault="00AE539D" w:rsidP="00AE539D">
      <w:r>
        <w:rPr>
          <w:rFonts w:hint="eastAsia"/>
        </w:rPr>
        <w:t>答：企业有下列情况之一的，不能办理简易注销：</w:t>
      </w:r>
    </w:p>
    <w:p w:rsidR="00AE539D" w:rsidRPr="00AE539D" w:rsidRDefault="00AE539D" w:rsidP="00AE539D">
      <w:r w:rsidRPr="00AE539D">
        <w:rPr>
          <w:rFonts w:hint="eastAsia"/>
        </w:rPr>
        <w:t>（</w:t>
      </w:r>
      <w:r w:rsidRPr="00AE539D">
        <w:rPr>
          <w:rFonts w:hint="eastAsia"/>
        </w:rPr>
        <w:t>1</w:t>
      </w:r>
      <w:r w:rsidRPr="00AE539D">
        <w:rPr>
          <w:rFonts w:hint="eastAsia"/>
        </w:rPr>
        <w:t>）涉及国家规定实施准入特别管理措施的外商投资企业；</w:t>
      </w:r>
    </w:p>
    <w:p w:rsidR="00AE539D" w:rsidRPr="00AE539D" w:rsidRDefault="00AE539D" w:rsidP="00AE539D">
      <w:r w:rsidRPr="00AE539D">
        <w:rPr>
          <w:rFonts w:hint="eastAsia"/>
        </w:rPr>
        <w:t>（</w:t>
      </w:r>
      <w:r w:rsidRPr="00AE539D">
        <w:rPr>
          <w:rFonts w:hint="eastAsia"/>
        </w:rPr>
        <w:t>2</w:t>
      </w:r>
      <w:r w:rsidRPr="00AE539D">
        <w:rPr>
          <w:rFonts w:hint="eastAsia"/>
        </w:rPr>
        <w:t>）被列入企业经营异常名录或严重违法失信企业名单的；（指申请简易注销公告时，正在被列入经营异常名录或者严重违法失信企业名单的企业，《指导意见》虽然没有明确规定，但技术方案和总局对文件的解读材料都明确企业移出异常名录后，仍可以申请简易注销）</w:t>
      </w:r>
    </w:p>
    <w:p w:rsidR="00AE539D" w:rsidRPr="00AE539D" w:rsidRDefault="00AE539D" w:rsidP="00AE539D">
      <w:r w:rsidRPr="00AE539D">
        <w:rPr>
          <w:rFonts w:hint="eastAsia"/>
        </w:rPr>
        <w:t>（</w:t>
      </w:r>
      <w:r w:rsidRPr="00AE539D">
        <w:rPr>
          <w:rFonts w:hint="eastAsia"/>
        </w:rPr>
        <w:t>3</w:t>
      </w:r>
      <w:r w:rsidRPr="00AE539D">
        <w:rPr>
          <w:rFonts w:hint="eastAsia"/>
        </w:rPr>
        <w:t>）存在股权（投资权益）被冻结，出质或动产抵押等情形；</w:t>
      </w:r>
    </w:p>
    <w:p w:rsidR="00AE539D" w:rsidRPr="00AE539D" w:rsidRDefault="00AE539D" w:rsidP="00AE539D">
      <w:r w:rsidRPr="00AE539D">
        <w:rPr>
          <w:rFonts w:hint="eastAsia"/>
        </w:rPr>
        <w:t>（</w:t>
      </w:r>
      <w:r w:rsidRPr="00AE539D">
        <w:rPr>
          <w:rFonts w:hint="eastAsia"/>
        </w:rPr>
        <w:t>4</w:t>
      </w:r>
      <w:r w:rsidRPr="00AE539D">
        <w:rPr>
          <w:rFonts w:hint="eastAsia"/>
        </w:rPr>
        <w:t>）有正在被立案调查或采取行政强制，司法协助，被予以行政处罚等情形的；</w:t>
      </w:r>
    </w:p>
    <w:p w:rsidR="00AE539D" w:rsidRPr="00AE539D" w:rsidRDefault="00AE539D" w:rsidP="00AE539D">
      <w:r w:rsidRPr="00AE539D">
        <w:rPr>
          <w:rFonts w:hint="eastAsia"/>
        </w:rPr>
        <w:t>（</w:t>
      </w:r>
      <w:r w:rsidRPr="00AE539D">
        <w:rPr>
          <w:rFonts w:hint="eastAsia"/>
        </w:rPr>
        <w:t>5</w:t>
      </w:r>
      <w:r w:rsidRPr="00AE539D">
        <w:rPr>
          <w:rFonts w:hint="eastAsia"/>
        </w:rPr>
        <w:t>）企业所属的非法人分支机构未办理注销登记；</w:t>
      </w:r>
    </w:p>
    <w:p w:rsidR="00AE539D" w:rsidRPr="00AE539D" w:rsidRDefault="00AE539D" w:rsidP="00AE539D">
      <w:r w:rsidRPr="00AE539D">
        <w:rPr>
          <w:rFonts w:hint="eastAsia"/>
        </w:rPr>
        <w:t>（</w:t>
      </w:r>
      <w:r w:rsidRPr="00AE539D">
        <w:rPr>
          <w:rFonts w:hint="eastAsia"/>
        </w:rPr>
        <w:t>6</w:t>
      </w:r>
      <w:r w:rsidRPr="00AE539D">
        <w:rPr>
          <w:rFonts w:hint="eastAsia"/>
        </w:rPr>
        <w:t>）曾被终止简易注销程序的；</w:t>
      </w:r>
    </w:p>
    <w:p w:rsidR="00AE539D" w:rsidRPr="00AE539D" w:rsidRDefault="00AE539D" w:rsidP="00AE539D">
      <w:r w:rsidRPr="00AE539D">
        <w:rPr>
          <w:rFonts w:hint="eastAsia"/>
        </w:rPr>
        <w:t>（</w:t>
      </w:r>
      <w:r w:rsidRPr="00AE539D">
        <w:rPr>
          <w:rFonts w:hint="eastAsia"/>
        </w:rPr>
        <w:t>7</w:t>
      </w:r>
      <w:r w:rsidRPr="00AE539D">
        <w:rPr>
          <w:rFonts w:hint="eastAsia"/>
        </w:rPr>
        <w:t>）法律，行政法规或者国务院决定规定在注销登记前需经批准的；</w:t>
      </w:r>
    </w:p>
    <w:p w:rsidR="00AE539D" w:rsidRDefault="00AE539D" w:rsidP="00AE539D">
      <w:r w:rsidRPr="00AE539D">
        <w:rPr>
          <w:rFonts w:hint="eastAsia"/>
        </w:rPr>
        <w:t>（</w:t>
      </w:r>
      <w:r w:rsidRPr="00AE539D">
        <w:rPr>
          <w:rFonts w:hint="eastAsia"/>
        </w:rPr>
        <w:t>8</w:t>
      </w:r>
      <w:r w:rsidRPr="00AE539D">
        <w:rPr>
          <w:rFonts w:hint="eastAsia"/>
        </w:rPr>
        <w:t>）不适用企业简易注销的其他企业；</w:t>
      </w:r>
      <w:r w:rsidR="0072504C">
        <w:rPr>
          <w:rFonts w:hint="eastAsia"/>
        </w:rPr>
        <w:t>（</w:t>
      </w:r>
      <w:r w:rsidR="0072504C" w:rsidRPr="0072504C">
        <w:rPr>
          <w:rFonts w:hint="eastAsia"/>
        </w:rPr>
        <w:t>我省获得“两个</w:t>
      </w:r>
      <w:r w:rsidR="0072504C" w:rsidRPr="0072504C">
        <w:t>10</w:t>
      </w:r>
      <w:r w:rsidR="0072504C" w:rsidRPr="0072504C">
        <w:rPr>
          <w:rFonts w:hint="eastAsia"/>
        </w:rPr>
        <w:t>万元”微型企业培育工程资金扶持的小微企业两年内不得申请简易注销登记。</w:t>
      </w:r>
      <w:r w:rsidR="0072504C">
        <w:rPr>
          <w:rFonts w:hint="eastAsia"/>
        </w:rPr>
        <w:t>）</w:t>
      </w:r>
    </w:p>
    <w:p w:rsidR="0072504C" w:rsidRDefault="0072504C" w:rsidP="00AE539D"/>
    <w:p w:rsidR="00531646" w:rsidRPr="00531646" w:rsidRDefault="00531646" w:rsidP="00AE539D">
      <w:pPr>
        <w:rPr>
          <w:b/>
        </w:rPr>
      </w:pPr>
      <w:r w:rsidRPr="00531646">
        <w:rPr>
          <w:rFonts w:hint="eastAsia"/>
          <w:b/>
        </w:rPr>
        <w:t>4</w:t>
      </w:r>
      <w:r w:rsidRPr="00531646">
        <w:rPr>
          <w:rFonts w:hint="eastAsia"/>
          <w:b/>
        </w:rPr>
        <w:t>、</w:t>
      </w:r>
      <w:r w:rsidRPr="00531646">
        <w:rPr>
          <w:rFonts w:ascii="Calibri" w:eastAsia="宋体" w:hAnsi="Calibri" w:cs="Times New Roman" w:hint="eastAsia"/>
          <w:b/>
        </w:rPr>
        <w:t>企业申请简易注销登记能够给企业带来哪些便利？</w:t>
      </w:r>
    </w:p>
    <w:p w:rsidR="00531646" w:rsidRDefault="00531646" w:rsidP="00AE539D">
      <w:r w:rsidRPr="00531646">
        <w:rPr>
          <w:rFonts w:hint="eastAsia"/>
        </w:rPr>
        <w:t>答：</w:t>
      </w:r>
      <w:r w:rsidRPr="00531646">
        <w:rPr>
          <w:rFonts w:ascii="Calibri" w:eastAsia="宋体" w:hAnsi="Calibri" w:cs="Times New Roman" w:hint="eastAsia"/>
        </w:rPr>
        <w:t>企业申请简易注销登记不再进行清算组备案、登报公告，不再提交清算报告、清算组备案证明和清税证明。</w:t>
      </w:r>
    </w:p>
    <w:p w:rsidR="00531646" w:rsidRDefault="00531646" w:rsidP="00AE539D"/>
    <w:p w:rsidR="00531646" w:rsidRPr="00531646" w:rsidRDefault="00531646" w:rsidP="00531646">
      <w:pPr>
        <w:rPr>
          <w:rFonts w:ascii="Calibri" w:eastAsia="宋体" w:hAnsi="Calibri" w:cs="Times New Roman"/>
          <w:b/>
        </w:rPr>
      </w:pPr>
      <w:r w:rsidRPr="00531646">
        <w:rPr>
          <w:rFonts w:hint="eastAsia"/>
          <w:b/>
        </w:rPr>
        <w:t>5</w:t>
      </w:r>
      <w:r w:rsidRPr="00531646">
        <w:rPr>
          <w:rFonts w:hint="eastAsia"/>
          <w:b/>
        </w:rPr>
        <w:t>、</w:t>
      </w:r>
      <w:r w:rsidRPr="00531646">
        <w:rPr>
          <w:rFonts w:ascii="Calibri" w:eastAsia="宋体" w:hAnsi="Calibri" w:cs="Times New Roman" w:hint="eastAsia"/>
          <w:b/>
        </w:rPr>
        <w:t>本市行政区域内的企业应当向何登记机关申请办理简易注销登记？</w:t>
      </w:r>
    </w:p>
    <w:p w:rsidR="00531646" w:rsidRPr="00531646" w:rsidRDefault="00531646" w:rsidP="00531646">
      <w:pPr>
        <w:rPr>
          <w:rFonts w:ascii="Calibri" w:eastAsia="宋体" w:hAnsi="Calibri" w:cs="Times New Roman"/>
        </w:rPr>
      </w:pPr>
      <w:r w:rsidRPr="00531646">
        <w:rPr>
          <w:rFonts w:ascii="Calibri" w:eastAsia="宋体" w:hAnsi="Calibri" w:cs="Times New Roman" w:hint="eastAsia"/>
        </w:rPr>
        <w:t>答：本市行政区域内的企业应当向原企业登记机关申请办理简易注销登记。</w:t>
      </w:r>
    </w:p>
    <w:p w:rsidR="00531646" w:rsidRPr="00531646" w:rsidRDefault="00531646" w:rsidP="00AE539D"/>
    <w:p w:rsidR="0072504C" w:rsidRPr="0072504C" w:rsidRDefault="00531646" w:rsidP="00AE539D">
      <w:pPr>
        <w:rPr>
          <w:b/>
        </w:rPr>
      </w:pPr>
      <w:r>
        <w:rPr>
          <w:rFonts w:hint="eastAsia"/>
          <w:b/>
        </w:rPr>
        <w:t>6</w:t>
      </w:r>
      <w:r w:rsidR="007E342E">
        <w:rPr>
          <w:rFonts w:hint="eastAsia"/>
          <w:b/>
        </w:rPr>
        <w:t>、企业</w:t>
      </w:r>
      <w:r>
        <w:rPr>
          <w:rFonts w:hint="eastAsia"/>
          <w:b/>
        </w:rPr>
        <w:t>应当</w:t>
      </w:r>
      <w:r w:rsidR="007E342E">
        <w:rPr>
          <w:rFonts w:hint="eastAsia"/>
          <w:b/>
        </w:rPr>
        <w:t>如何进行</w:t>
      </w:r>
      <w:r w:rsidR="0072504C" w:rsidRPr="0072504C">
        <w:rPr>
          <w:rFonts w:hint="eastAsia"/>
          <w:b/>
        </w:rPr>
        <w:t>简易注销</w:t>
      </w:r>
      <w:r w:rsidR="007E342E">
        <w:rPr>
          <w:rFonts w:hint="eastAsia"/>
          <w:b/>
        </w:rPr>
        <w:t>公告</w:t>
      </w:r>
      <w:r w:rsidR="0072504C" w:rsidRPr="0072504C">
        <w:rPr>
          <w:rFonts w:hint="eastAsia"/>
          <w:b/>
        </w:rPr>
        <w:t>？</w:t>
      </w:r>
    </w:p>
    <w:p w:rsidR="00F626AD" w:rsidRDefault="0072504C" w:rsidP="00F626AD">
      <w:r>
        <w:rPr>
          <w:rFonts w:hint="eastAsia"/>
        </w:rPr>
        <w:t>答：符合条件的企业申请简易注销登记，</w:t>
      </w:r>
      <w:r w:rsidRPr="0072504C">
        <w:rPr>
          <w:rFonts w:hint="eastAsia"/>
        </w:rPr>
        <w:t>应当先通过国家企业信用信息公示系统（云南）《简易注销公告》专栏，主动向社会公告拟申请简易注销登记及全体投资人承诺等信息（以下简称注销公告），强制清算终结和破产程序终结的企业除外。注销公告期为</w:t>
      </w:r>
      <w:r w:rsidRPr="0072504C">
        <w:t>45</w:t>
      </w:r>
      <w:r w:rsidR="00F626AD">
        <w:rPr>
          <w:rFonts w:hint="eastAsia"/>
        </w:rPr>
        <w:t>日。</w:t>
      </w:r>
    </w:p>
    <w:p w:rsidR="0072504C" w:rsidRDefault="00F626AD" w:rsidP="00F626AD">
      <w:pPr>
        <w:ind w:firstLineChars="200" w:firstLine="420"/>
      </w:pPr>
      <w:r w:rsidRPr="0072504C">
        <w:rPr>
          <w:rFonts w:hint="eastAsia"/>
        </w:rPr>
        <w:t>企业</w:t>
      </w:r>
      <w:r>
        <w:rPr>
          <w:rFonts w:hint="eastAsia"/>
        </w:rPr>
        <w:t>必须在</w:t>
      </w:r>
      <w:r w:rsidR="0072504C" w:rsidRPr="0072504C">
        <w:rPr>
          <w:rFonts w:hint="eastAsia"/>
        </w:rPr>
        <w:t>公告期满</w:t>
      </w:r>
      <w:r>
        <w:rPr>
          <w:rFonts w:hint="eastAsia"/>
        </w:rPr>
        <w:t>后</w:t>
      </w:r>
      <w:r w:rsidR="0072504C">
        <w:rPr>
          <w:rFonts w:hint="eastAsia"/>
        </w:rPr>
        <w:t>30</w:t>
      </w:r>
      <w:r w:rsidR="0072504C">
        <w:rPr>
          <w:rFonts w:hint="eastAsia"/>
        </w:rPr>
        <w:t>日</w:t>
      </w:r>
      <w:r>
        <w:rPr>
          <w:rFonts w:hint="eastAsia"/>
        </w:rPr>
        <w:t>内向登记机关提出简易注销登记申请，否则</w:t>
      </w:r>
      <w:r w:rsidRPr="001C21D8">
        <w:rPr>
          <w:rFonts w:ascii="Calibri" w:eastAsia="宋体" w:hAnsi="Calibri" w:cs="Times New Roman" w:hint="eastAsia"/>
        </w:rPr>
        <w:t>简易注销登记程序自动终止</w:t>
      </w:r>
      <w:r>
        <w:rPr>
          <w:rFonts w:ascii="Calibri" w:eastAsia="宋体" w:hAnsi="Calibri" w:cs="Times New Roman" w:hint="eastAsia"/>
        </w:rPr>
        <w:t>。</w:t>
      </w:r>
    </w:p>
    <w:p w:rsidR="008C2E0A" w:rsidRPr="00F626AD" w:rsidRDefault="008C2E0A" w:rsidP="005472E1">
      <w:pPr>
        <w:ind w:firstLineChars="200" w:firstLine="420"/>
      </w:pPr>
    </w:p>
    <w:p w:rsidR="008C2E0A" w:rsidRPr="008C2E0A" w:rsidRDefault="00531646" w:rsidP="008C2E0A">
      <w:pPr>
        <w:rPr>
          <w:b/>
        </w:rPr>
      </w:pPr>
      <w:r>
        <w:rPr>
          <w:rFonts w:hint="eastAsia"/>
          <w:b/>
        </w:rPr>
        <w:t>7</w:t>
      </w:r>
      <w:r w:rsidR="008C2E0A" w:rsidRPr="008C2E0A">
        <w:rPr>
          <w:rFonts w:hint="eastAsia"/>
          <w:b/>
        </w:rPr>
        <w:t>、企业</w:t>
      </w:r>
      <w:r w:rsidR="001C21D8">
        <w:rPr>
          <w:rFonts w:hint="eastAsia"/>
          <w:b/>
        </w:rPr>
        <w:t>进行了</w:t>
      </w:r>
      <w:r w:rsidR="008C2E0A" w:rsidRPr="008C2E0A">
        <w:rPr>
          <w:rFonts w:hint="eastAsia"/>
          <w:b/>
        </w:rPr>
        <w:t>简易注销</w:t>
      </w:r>
      <w:r w:rsidR="001C21D8">
        <w:rPr>
          <w:rFonts w:hint="eastAsia"/>
          <w:b/>
        </w:rPr>
        <w:t>公告</w:t>
      </w:r>
      <w:r w:rsidR="008C2E0A" w:rsidRPr="008C2E0A">
        <w:rPr>
          <w:rFonts w:hint="eastAsia"/>
          <w:b/>
        </w:rPr>
        <w:t>后可以撤销公告吗？</w:t>
      </w:r>
    </w:p>
    <w:p w:rsidR="008C2E0A" w:rsidRDefault="008C2E0A" w:rsidP="008C2E0A">
      <w:r>
        <w:rPr>
          <w:rFonts w:hint="eastAsia"/>
        </w:rPr>
        <w:t>答：可以撤销的，</w:t>
      </w:r>
      <w:r w:rsidRPr="00EE6A99">
        <w:rPr>
          <w:rFonts w:hint="eastAsia"/>
        </w:rPr>
        <w:t>企业可以从提交简易注销公告开始至正式提交简易注销登记申请前主动撤销简易注销公告，</w:t>
      </w:r>
      <w:r>
        <w:rPr>
          <w:rFonts w:hint="eastAsia"/>
        </w:rPr>
        <w:t>但是</w:t>
      </w:r>
      <w:r w:rsidRPr="005472E1">
        <w:rPr>
          <w:rFonts w:hint="eastAsia"/>
        </w:rPr>
        <w:t>一个企业只有一次申请简易注销的机会</w:t>
      </w:r>
      <w:r>
        <w:rPr>
          <w:rFonts w:hint="eastAsia"/>
        </w:rPr>
        <w:t>，</w:t>
      </w:r>
      <w:r w:rsidRPr="00EE6A99">
        <w:rPr>
          <w:rFonts w:hint="eastAsia"/>
        </w:rPr>
        <w:t>撤销后不能再提交简易注销公告、申请办理简易注销登记手续。</w:t>
      </w:r>
    </w:p>
    <w:p w:rsidR="008C2E0A" w:rsidRDefault="008C2E0A" w:rsidP="008C2E0A"/>
    <w:p w:rsidR="008C2E0A" w:rsidRPr="00145932" w:rsidRDefault="00531646" w:rsidP="008C2E0A">
      <w:pPr>
        <w:rPr>
          <w:b/>
        </w:rPr>
      </w:pPr>
      <w:r>
        <w:rPr>
          <w:rFonts w:hint="eastAsia"/>
          <w:b/>
        </w:rPr>
        <w:lastRenderedPageBreak/>
        <w:t>8</w:t>
      </w:r>
      <w:r w:rsidR="008C2E0A" w:rsidRPr="00145932">
        <w:rPr>
          <w:rFonts w:hint="eastAsia"/>
          <w:b/>
        </w:rPr>
        <w:t>、企业在申请简易注销后可以办理其他变更登记事项吗？</w:t>
      </w:r>
    </w:p>
    <w:p w:rsidR="00C86B79" w:rsidRDefault="008C2E0A" w:rsidP="00AE539D">
      <w:r>
        <w:rPr>
          <w:rFonts w:hint="eastAsia"/>
        </w:rPr>
        <w:t>答：不行。企业在申请简易注销后，就不能</w:t>
      </w:r>
      <w:r w:rsidR="00C86B79">
        <w:rPr>
          <w:rFonts w:hint="eastAsia"/>
        </w:rPr>
        <w:t>再申请办理变更登记、备案登记、迁移登记和一般程序注销登记。但是企业可以填报年报。</w:t>
      </w:r>
    </w:p>
    <w:p w:rsidR="00531646" w:rsidRDefault="00531646" w:rsidP="00AE539D"/>
    <w:p w:rsidR="0072504C" w:rsidRPr="00C86B79" w:rsidRDefault="00531646" w:rsidP="00AE539D">
      <w:r>
        <w:rPr>
          <w:rFonts w:hint="eastAsia"/>
          <w:b/>
        </w:rPr>
        <w:t>9</w:t>
      </w:r>
      <w:r w:rsidR="0072504C" w:rsidRPr="00EE6A99">
        <w:rPr>
          <w:rFonts w:hint="eastAsia"/>
          <w:b/>
        </w:rPr>
        <w:t>、</w:t>
      </w:r>
      <w:r w:rsidR="00EE6A99" w:rsidRPr="00EE6A99">
        <w:rPr>
          <w:rFonts w:hint="eastAsia"/>
          <w:b/>
        </w:rPr>
        <w:t>公告期满后应提交什么材料到</w:t>
      </w:r>
      <w:r>
        <w:rPr>
          <w:rFonts w:hint="eastAsia"/>
          <w:b/>
        </w:rPr>
        <w:t>登记机关</w:t>
      </w:r>
      <w:r w:rsidR="00EE6A99" w:rsidRPr="00EE6A99">
        <w:rPr>
          <w:rFonts w:hint="eastAsia"/>
          <w:b/>
        </w:rPr>
        <w:t>办理简易注销登记？</w:t>
      </w:r>
    </w:p>
    <w:p w:rsidR="00EE6A99" w:rsidRDefault="00EE6A99" w:rsidP="00EE6A99">
      <w:r>
        <w:rPr>
          <w:rFonts w:hint="eastAsia"/>
        </w:rPr>
        <w:t>答：企业在公告期满后应提交以下材料到</w:t>
      </w:r>
      <w:r w:rsidR="00531646">
        <w:rPr>
          <w:rFonts w:hint="eastAsia"/>
        </w:rPr>
        <w:t>企业登记机关</w:t>
      </w:r>
      <w:r>
        <w:rPr>
          <w:rFonts w:hint="eastAsia"/>
        </w:rPr>
        <w:t>办理简易注销：</w:t>
      </w:r>
    </w:p>
    <w:p w:rsidR="00EE6A99" w:rsidRPr="00EE6A99" w:rsidRDefault="00EE6A99" w:rsidP="00EE6A99">
      <w:pPr>
        <w:ind w:firstLineChars="100" w:firstLine="210"/>
      </w:pPr>
      <w:r w:rsidRPr="00EE6A99">
        <w:rPr>
          <w:rFonts w:hint="eastAsia"/>
        </w:rPr>
        <w:t>（一）《申请书》；</w:t>
      </w:r>
    </w:p>
    <w:p w:rsidR="00EE6A99" w:rsidRPr="00EE6A99" w:rsidRDefault="00EE6A99" w:rsidP="00EE6A99">
      <w:r w:rsidRPr="00EE6A99">
        <w:t xml:space="preserve">  </w:t>
      </w:r>
      <w:r w:rsidRPr="00EE6A99">
        <w:t>（二）</w:t>
      </w:r>
      <w:r w:rsidRPr="00EE6A99">
        <w:rPr>
          <w:rFonts w:hint="eastAsia"/>
        </w:rPr>
        <w:t>《指定代表或者共同委托代理人授权委托书》；</w:t>
      </w:r>
    </w:p>
    <w:p w:rsidR="00EE6A99" w:rsidRPr="00EE6A99" w:rsidRDefault="00EE6A99" w:rsidP="00EE6A99">
      <w:r w:rsidRPr="00EE6A99">
        <w:t xml:space="preserve">  </w:t>
      </w:r>
      <w:r w:rsidRPr="00EE6A99">
        <w:t>（三）</w:t>
      </w:r>
      <w:r w:rsidRPr="00EE6A99">
        <w:rPr>
          <w:rFonts w:hint="eastAsia"/>
        </w:rPr>
        <w:t>《全体投资人承诺书》</w:t>
      </w:r>
      <w:r w:rsidRPr="00EE6A99">
        <w:rPr>
          <w:rFonts w:hint="eastAsia"/>
        </w:rPr>
        <w:t>(</w:t>
      </w:r>
      <w:r w:rsidRPr="00EE6A99">
        <w:rPr>
          <w:rFonts w:hint="eastAsia"/>
        </w:rPr>
        <w:t>强制清算终结的企业提交人民法院终结强制清算程序裁定</w:t>
      </w:r>
      <w:r w:rsidRPr="00EE6A99">
        <w:t>,</w:t>
      </w:r>
      <w:r w:rsidRPr="00EE6A99">
        <w:rPr>
          <w:rFonts w:hint="eastAsia"/>
        </w:rPr>
        <w:t>破产程序终结的企业提交人民法院终结破产程序裁定</w:t>
      </w:r>
      <w:r w:rsidRPr="00EE6A99">
        <w:t>)</w:t>
      </w:r>
      <w:r w:rsidRPr="00EE6A99">
        <w:rPr>
          <w:rFonts w:hint="eastAsia"/>
        </w:rPr>
        <w:t>；</w:t>
      </w:r>
    </w:p>
    <w:p w:rsidR="00EE6A99" w:rsidRDefault="00EE6A99" w:rsidP="00EE6A99">
      <w:r w:rsidRPr="00EE6A99">
        <w:t xml:space="preserve">  </w:t>
      </w:r>
      <w:r w:rsidRPr="00EE6A99">
        <w:t>（四）营业执照正、副本。</w:t>
      </w:r>
    </w:p>
    <w:p w:rsidR="00EE6A99" w:rsidRPr="001C21D8" w:rsidRDefault="001C21D8" w:rsidP="00531646">
      <w:pPr>
        <w:autoSpaceDE w:val="0"/>
        <w:autoSpaceDN w:val="0"/>
        <w:snapToGrid w:val="0"/>
        <w:spacing w:line="560" w:lineRule="exact"/>
        <w:rPr>
          <w:b/>
        </w:rPr>
      </w:pPr>
      <w:r w:rsidRPr="001C21D8">
        <w:rPr>
          <w:rFonts w:hint="eastAsia"/>
          <w:b/>
        </w:rPr>
        <w:t>10</w:t>
      </w:r>
      <w:r w:rsidR="00EE6A99" w:rsidRPr="001C21D8">
        <w:rPr>
          <w:rFonts w:hint="eastAsia"/>
          <w:b/>
        </w:rPr>
        <w:t>、</w:t>
      </w:r>
      <w:r w:rsidR="00531646" w:rsidRPr="001C21D8">
        <w:rPr>
          <w:rFonts w:ascii="Calibri" w:eastAsia="宋体" w:hAnsi="Calibri" w:cs="Times New Roman" w:hint="eastAsia"/>
          <w:b/>
        </w:rPr>
        <w:t>登记机关应当在几个工作日内办结企业简易注销登记？</w:t>
      </w:r>
    </w:p>
    <w:p w:rsidR="00EE6A99" w:rsidRDefault="00EE6A99" w:rsidP="00EE6A99">
      <w:r>
        <w:rPr>
          <w:rFonts w:hint="eastAsia"/>
        </w:rPr>
        <w:t>答：</w:t>
      </w:r>
      <w:r w:rsidR="00531646" w:rsidRPr="00531646">
        <w:rPr>
          <w:rFonts w:ascii="Calibri" w:eastAsia="宋体" w:hAnsi="Calibri" w:cs="Times New Roman" w:hint="eastAsia"/>
        </w:rPr>
        <w:t>登记机关</w:t>
      </w:r>
      <w:r w:rsidR="00531646">
        <w:rPr>
          <w:rFonts w:hint="eastAsia"/>
        </w:rPr>
        <w:t>在</w:t>
      </w:r>
      <w:r>
        <w:rPr>
          <w:rFonts w:hint="eastAsia"/>
        </w:rPr>
        <w:t>收到企业申请</w:t>
      </w:r>
      <w:r w:rsidR="00531646">
        <w:rPr>
          <w:rFonts w:hint="eastAsia"/>
        </w:rPr>
        <w:t>材料</w:t>
      </w:r>
      <w:r>
        <w:rPr>
          <w:rFonts w:hint="eastAsia"/>
        </w:rPr>
        <w:t>后，将对企业进行审核：</w:t>
      </w:r>
    </w:p>
    <w:p w:rsidR="00EE6A99" w:rsidRDefault="00EE6A99" w:rsidP="00EE6A99">
      <w:r>
        <w:rPr>
          <w:rFonts w:hint="eastAsia"/>
        </w:rPr>
        <w:t>对不适用简易注销的或被提出异议的企业，不予受理；</w:t>
      </w:r>
    </w:p>
    <w:p w:rsidR="00EE6A99" w:rsidRDefault="00EE6A99" w:rsidP="00EE6A99">
      <w:pPr>
        <w:rPr>
          <w:rFonts w:ascii="Calibri" w:eastAsia="宋体" w:hAnsi="Calibri" w:cs="Times New Roman"/>
        </w:rPr>
      </w:pPr>
      <w:r>
        <w:rPr>
          <w:rFonts w:hint="eastAsia"/>
        </w:rPr>
        <w:t>对符合简易注销条件的企业，</w:t>
      </w:r>
      <w:r w:rsidRPr="00EE6A99">
        <w:rPr>
          <w:rFonts w:ascii="Calibri" w:eastAsia="宋体" w:hAnsi="Calibri" w:cs="Times New Roman" w:hint="eastAsia"/>
        </w:rPr>
        <w:t>登记机关应当在</w:t>
      </w:r>
      <w:r w:rsidRPr="00EE6A99">
        <w:rPr>
          <w:rFonts w:ascii="Calibri" w:eastAsia="宋体" w:hAnsi="Calibri" w:cs="Times New Roman" w:hint="eastAsia"/>
        </w:rPr>
        <w:t>3</w:t>
      </w:r>
      <w:r w:rsidRPr="00EE6A99">
        <w:rPr>
          <w:rFonts w:ascii="Calibri" w:eastAsia="宋体" w:hAnsi="Calibri" w:cs="Times New Roman" w:hint="eastAsia"/>
        </w:rPr>
        <w:t>个工作日内依法作出准予简易注销登记的决定。</w:t>
      </w:r>
    </w:p>
    <w:p w:rsidR="001C21D8" w:rsidRDefault="001C21D8" w:rsidP="00EE6A99">
      <w:pPr>
        <w:rPr>
          <w:rFonts w:ascii="Calibri" w:eastAsia="宋体" w:hAnsi="Calibri" w:cs="Times New Roman"/>
        </w:rPr>
      </w:pPr>
    </w:p>
    <w:p w:rsidR="001C21D8" w:rsidRPr="00F626AD" w:rsidRDefault="001C21D8" w:rsidP="00EE6A99">
      <w:pPr>
        <w:rPr>
          <w:rFonts w:ascii="Calibri" w:eastAsia="宋体" w:hAnsi="Calibri" w:cs="Times New Roman"/>
          <w:b/>
        </w:rPr>
      </w:pPr>
      <w:r w:rsidRPr="00F626AD">
        <w:rPr>
          <w:rFonts w:ascii="Calibri" w:eastAsia="宋体" w:hAnsi="Calibri" w:cs="Times New Roman" w:hint="eastAsia"/>
          <w:b/>
        </w:rPr>
        <w:t>11</w:t>
      </w:r>
      <w:r w:rsidRPr="00F626AD">
        <w:rPr>
          <w:rFonts w:ascii="Calibri" w:eastAsia="宋体" w:hAnsi="Calibri" w:cs="Times New Roman" w:hint="eastAsia"/>
          <w:b/>
        </w:rPr>
        <w:t>、哪几种情况会造成简易注销程序自动终止？</w:t>
      </w:r>
    </w:p>
    <w:p w:rsidR="001C21D8" w:rsidRDefault="001C21D8" w:rsidP="00EE6A99">
      <w:pPr>
        <w:rPr>
          <w:rFonts w:ascii="Calibri" w:eastAsia="宋体" w:hAnsi="Calibri" w:cs="Times New Roman"/>
        </w:rPr>
      </w:pPr>
      <w:r>
        <w:rPr>
          <w:rFonts w:ascii="Calibri" w:eastAsia="宋体" w:hAnsi="Calibri" w:cs="Times New Roman" w:hint="eastAsia"/>
        </w:rPr>
        <w:t>答：（</w:t>
      </w:r>
      <w:r>
        <w:rPr>
          <w:rFonts w:ascii="Calibri" w:eastAsia="宋体" w:hAnsi="Calibri" w:cs="Times New Roman" w:hint="eastAsia"/>
        </w:rPr>
        <w:t>1</w:t>
      </w:r>
      <w:r>
        <w:rPr>
          <w:rFonts w:ascii="Calibri" w:eastAsia="宋体" w:hAnsi="Calibri" w:cs="Times New Roman" w:hint="eastAsia"/>
        </w:rPr>
        <w:t>）注销公告撤销后，简易注销登记程序自动终止；</w:t>
      </w:r>
    </w:p>
    <w:p w:rsidR="001C21D8" w:rsidRDefault="001C21D8" w:rsidP="00F626AD">
      <w:pPr>
        <w:ind w:firstLineChars="150" w:firstLine="315"/>
        <w:rPr>
          <w:rFonts w:ascii="Calibri" w:eastAsia="宋体" w:hAnsi="Calibri" w:cs="Times New Roman"/>
        </w:rPr>
      </w:pPr>
      <w:r>
        <w:rPr>
          <w:rFonts w:ascii="Calibri" w:eastAsia="宋体" w:hAnsi="Calibri" w:cs="Times New Roman" w:hint="eastAsia"/>
        </w:rPr>
        <w:t>（</w:t>
      </w:r>
      <w:r>
        <w:rPr>
          <w:rFonts w:ascii="Calibri" w:eastAsia="宋体" w:hAnsi="Calibri" w:cs="Times New Roman" w:hint="eastAsia"/>
        </w:rPr>
        <w:t>2</w:t>
      </w:r>
      <w:r>
        <w:rPr>
          <w:rFonts w:ascii="Calibri" w:eastAsia="宋体" w:hAnsi="Calibri" w:cs="Times New Roman" w:hint="eastAsia"/>
        </w:rPr>
        <w:t>）</w:t>
      </w:r>
      <w:r w:rsidRPr="001C21D8">
        <w:rPr>
          <w:rFonts w:ascii="Calibri" w:eastAsia="宋体" w:hAnsi="Calibri" w:cs="Times New Roman" w:hint="eastAsia"/>
        </w:rPr>
        <w:t>企业应当在注销公告期满后</w:t>
      </w:r>
      <w:r w:rsidRPr="001C21D8">
        <w:rPr>
          <w:rFonts w:ascii="Calibri" w:eastAsia="宋体" w:hAnsi="Calibri" w:cs="Times New Roman" w:hint="eastAsia"/>
        </w:rPr>
        <w:t>30</w:t>
      </w:r>
      <w:r w:rsidRPr="001C21D8">
        <w:rPr>
          <w:rFonts w:ascii="Calibri" w:eastAsia="宋体" w:hAnsi="Calibri" w:cs="Times New Roman" w:hint="eastAsia"/>
        </w:rPr>
        <w:t>日内向登记机关提出简易注销登记申请。逾期未提出简易注销登记申请的，简易注销登记程序自动终止</w:t>
      </w:r>
      <w:r w:rsidR="00F626AD">
        <w:rPr>
          <w:rFonts w:ascii="Calibri" w:eastAsia="宋体" w:hAnsi="Calibri" w:cs="Times New Roman" w:hint="eastAsia"/>
        </w:rPr>
        <w:t>；</w:t>
      </w:r>
    </w:p>
    <w:p w:rsidR="00F626AD" w:rsidRDefault="00F626AD" w:rsidP="00F626AD">
      <w:pPr>
        <w:ind w:firstLineChars="150" w:firstLine="315"/>
        <w:rPr>
          <w:rFonts w:ascii="Calibri" w:eastAsia="宋体" w:hAnsi="Calibri" w:cs="Times New Roman"/>
        </w:rPr>
      </w:pPr>
      <w:r>
        <w:rPr>
          <w:rFonts w:ascii="Calibri" w:eastAsia="宋体" w:hAnsi="Calibri" w:cs="Times New Roman" w:hint="eastAsia"/>
        </w:rPr>
        <w:t>（</w:t>
      </w:r>
      <w:r>
        <w:rPr>
          <w:rFonts w:ascii="Calibri" w:eastAsia="宋体" w:hAnsi="Calibri" w:cs="Times New Roman" w:hint="eastAsia"/>
        </w:rPr>
        <w:t>3</w:t>
      </w:r>
      <w:r>
        <w:rPr>
          <w:rFonts w:ascii="Calibri" w:eastAsia="宋体" w:hAnsi="Calibri" w:cs="Times New Roman" w:hint="eastAsia"/>
        </w:rPr>
        <w:t>）</w:t>
      </w:r>
      <w:r w:rsidRPr="00F626AD">
        <w:rPr>
          <w:rFonts w:ascii="Calibri" w:eastAsia="宋体" w:hAnsi="Calibri" w:cs="Times New Roman" w:hint="eastAsia"/>
        </w:rPr>
        <w:t>申请办理简易注销登记的企业，自发布注销公告之日起，申请办理变更登记、备案登记、迁移登记、一般程序注销登记的，简易注销登记程序自行终止。</w:t>
      </w:r>
    </w:p>
    <w:p w:rsidR="00F626AD" w:rsidRPr="00F626AD" w:rsidRDefault="00F626AD" w:rsidP="00F626AD">
      <w:pPr>
        <w:ind w:firstLineChars="200" w:firstLine="420"/>
        <w:rPr>
          <w:rFonts w:ascii="Calibri" w:eastAsia="宋体" w:hAnsi="Calibri" w:cs="Times New Roman"/>
        </w:rPr>
      </w:pPr>
      <w:r w:rsidRPr="001C21D8">
        <w:rPr>
          <w:rFonts w:ascii="Calibri" w:eastAsia="宋体" w:hAnsi="Calibri" w:cs="Times New Roman" w:hint="eastAsia"/>
        </w:rPr>
        <w:t>简易注销登记程序自动终止</w:t>
      </w:r>
      <w:r>
        <w:rPr>
          <w:rFonts w:ascii="Calibri" w:eastAsia="宋体" w:hAnsi="Calibri" w:cs="Times New Roman" w:hint="eastAsia"/>
        </w:rPr>
        <w:t>后，企业不得再次申请简易注销。</w:t>
      </w:r>
    </w:p>
    <w:p w:rsidR="00EE6A99" w:rsidRDefault="00EE6A99" w:rsidP="00EE6A99"/>
    <w:p w:rsidR="00EE6A99" w:rsidRPr="00DD2632" w:rsidRDefault="00F626AD" w:rsidP="00EE6A99">
      <w:pPr>
        <w:rPr>
          <w:b/>
        </w:rPr>
      </w:pPr>
      <w:r>
        <w:rPr>
          <w:rFonts w:hint="eastAsia"/>
          <w:b/>
        </w:rPr>
        <w:t>12</w:t>
      </w:r>
      <w:r w:rsidR="00EE6A99" w:rsidRPr="00DD2632">
        <w:rPr>
          <w:rFonts w:hint="eastAsia"/>
          <w:b/>
        </w:rPr>
        <w:t>、</w:t>
      </w:r>
      <w:r w:rsidR="00DD2632" w:rsidRPr="00DD2632">
        <w:rPr>
          <w:rFonts w:hint="eastAsia"/>
          <w:b/>
        </w:rPr>
        <w:t>企业在简易注销中</w:t>
      </w:r>
      <w:r w:rsidR="00DD2632" w:rsidRPr="00DD2632">
        <w:rPr>
          <w:rFonts w:ascii="Calibri" w:eastAsia="宋体" w:hAnsi="Calibri" w:cs="Times New Roman" w:hint="eastAsia"/>
          <w:b/>
        </w:rPr>
        <w:t>隐瞒真实情况、弄虚作假的</w:t>
      </w:r>
      <w:r w:rsidR="00DD2632" w:rsidRPr="00DD2632">
        <w:rPr>
          <w:rFonts w:hint="eastAsia"/>
          <w:b/>
        </w:rPr>
        <w:t>，</w:t>
      </w:r>
      <w:r>
        <w:rPr>
          <w:rFonts w:hint="eastAsia"/>
          <w:b/>
        </w:rPr>
        <w:t>登记机关</w:t>
      </w:r>
      <w:r w:rsidR="00DD2632" w:rsidRPr="00DD2632">
        <w:rPr>
          <w:rFonts w:hint="eastAsia"/>
          <w:b/>
        </w:rPr>
        <w:t>如何</w:t>
      </w:r>
      <w:r>
        <w:rPr>
          <w:rFonts w:hint="eastAsia"/>
          <w:b/>
        </w:rPr>
        <w:t>处理</w:t>
      </w:r>
      <w:r w:rsidR="00DD2632" w:rsidRPr="00DD2632">
        <w:rPr>
          <w:rFonts w:hint="eastAsia"/>
          <w:b/>
        </w:rPr>
        <w:t>？</w:t>
      </w:r>
    </w:p>
    <w:p w:rsidR="00DD2632" w:rsidRDefault="00DD2632" w:rsidP="00EE6A99">
      <w:pPr>
        <w:rPr>
          <w:rFonts w:ascii="Calibri" w:eastAsia="宋体" w:hAnsi="Calibri" w:cs="Times New Roman"/>
        </w:rPr>
      </w:pPr>
      <w:r>
        <w:rPr>
          <w:rFonts w:hint="eastAsia"/>
        </w:rPr>
        <w:t>答：</w:t>
      </w:r>
      <w:r w:rsidRPr="00DD2632">
        <w:rPr>
          <w:rFonts w:ascii="Calibri" w:eastAsia="宋体" w:hAnsi="Calibri" w:cs="Times New Roman" w:hint="eastAsia"/>
        </w:rPr>
        <w:t>企业在简易注销登记中隐瞒真实情况、弄虚作假的，登记机关可以依法做出撤销注销登记，在恢复企业主体资格的同时将该企业列入严重违法失信企业名单，并通过国家企业信用信息公示系统（云南）公示</w:t>
      </w:r>
      <w:r w:rsidRPr="00DD2632">
        <w:rPr>
          <w:rFonts w:ascii="Calibri" w:eastAsia="宋体" w:hAnsi="Calibri" w:cs="Times New Roman" w:hint="eastAsia"/>
        </w:rPr>
        <w:t>,</w:t>
      </w:r>
      <w:r w:rsidRPr="00DD2632">
        <w:rPr>
          <w:rFonts w:ascii="Calibri" w:eastAsia="宋体" w:hAnsi="Calibri" w:cs="Times New Roman" w:hint="eastAsia"/>
        </w:rPr>
        <w:t>有关利害关系人可以通过民事诉讼主张其相应权利。</w:t>
      </w:r>
    </w:p>
    <w:p w:rsidR="001F5B5C" w:rsidRDefault="001F5B5C" w:rsidP="00EE6A99">
      <w:pPr>
        <w:rPr>
          <w:rFonts w:ascii="Calibri" w:eastAsia="宋体" w:hAnsi="Calibri" w:cs="Times New Roman"/>
        </w:rPr>
      </w:pPr>
    </w:p>
    <w:p w:rsidR="001F5B5C" w:rsidRDefault="001F5B5C" w:rsidP="001F5B5C">
      <w:pPr>
        <w:rPr>
          <w:b/>
        </w:rPr>
      </w:pPr>
      <w:r w:rsidRPr="001F5B5C">
        <w:rPr>
          <w:rFonts w:hint="eastAsia"/>
          <w:b/>
        </w:rPr>
        <w:t>13</w:t>
      </w:r>
      <w:r w:rsidRPr="001F5B5C">
        <w:rPr>
          <w:rFonts w:hint="eastAsia"/>
          <w:b/>
        </w:rPr>
        <w:t>、企业从何时起可以向企业登记（工商或市场监管）机关申请简易注销登记？</w:t>
      </w:r>
    </w:p>
    <w:p w:rsidR="001F5B5C" w:rsidRPr="001F5B5C" w:rsidRDefault="001F5B5C" w:rsidP="001F5B5C">
      <w:pPr>
        <w:rPr>
          <w:b/>
        </w:rPr>
      </w:pPr>
      <w:r w:rsidRPr="001F5B5C">
        <w:rPr>
          <w:rFonts w:ascii="Calibri" w:eastAsia="宋体" w:hAnsi="Calibri" w:cs="Times New Roman" w:hint="eastAsia"/>
        </w:rPr>
        <w:t>答：企业从</w:t>
      </w:r>
      <w:r>
        <w:rPr>
          <w:rFonts w:ascii="Calibri" w:eastAsia="宋体" w:hAnsi="Calibri" w:cs="Times New Roman" w:hint="eastAsia"/>
        </w:rPr>
        <w:t>2017</w:t>
      </w:r>
      <w:r w:rsidRPr="001F5B5C">
        <w:rPr>
          <w:rFonts w:ascii="Calibri" w:eastAsia="宋体" w:hAnsi="Calibri" w:cs="Times New Roman" w:hint="eastAsia"/>
        </w:rPr>
        <w:t>年</w:t>
      </w:r>
      <w:r>
        <w:rPr>
          <w:rFonts w:ascii="Calibri" w:eastAsia="宋体" w:hAnsi="Calibri" w:cs="Times New Roman" w:hint="eastAsia"/>
        </w:rPr>
        <w:t>3</w:t>
      </w:r>
      <w:r w:rsidRPr="001F5B5C">
        <w:rPr>
          <w:rFonts w:ascii="Calibri" w:eastAsia="宋体" w:hAnsi="Calibri" w:cs="Times New Roman" w:hint="eastAsia"/>
        </w:rPr>
        <w:t>月</w:t>
      </w:r>
      <w:r>
        <w:rPr>
          <w:rFonts w:ascii="Calibri" w:eastAsia="宋体" w:hAnsi="Calibri" w:cs="Times New Roman" w:hint="eastAsia"/>
        </w:rPr>
        <w:t>1</w:t>
      </w:r>
      <w:r>
        <w:rPr>
          <w:rFonts w:ascii="Calibri" w:eastAsia="宋体" w:hAnsi="Calibri" w:cs="Times New Roman" w:hint="eastAsia"/>
        </w:rPr>
        <w:t>日</w:t>
      </w:r>
      <w:r w:rsidRPr="001F5B5C">
        <w:rPr>
          <w:rFonts w:ascii="Calibri" w:eastAsia="宋体" w:hAnsi="Calibri" w:cs="Times New Roman" w:hint="eastAsia"/>
        </w:rPr>
        <w:t>起可以向企业登记机关申请简易注销登记。</w:t>
      </w:r>
    </w:p>
    <w:p w:rsidR="001F5B5C" w:rsidRPr="001F5B5C" w:rsidRDefault="001F5B5C" w:rsidP="00EE6A99">
      <w:pPr>
        <w:rPr>
          <w:rFonts w:ascii="Calibri" w:eastAsia="宋体" w:hAnsi="Calibri" w:cs="Times New Roman"/>
        </w:rPr>
      </w:pPr>
    </w:p>
    <w:p w:rsidR="008C2E0A" w:rsidRPr="00C86B79" w:rsidRDefault="001F5B5C" w:rsidP="00EE6A99">
      <w:pPr>
        <w:rPr>
          <w:b/>
        </w:rPr>
      </w:pPr>
      <w:r>
        <w:rPr>
          <w:rFonts w:hint="eastAsia"/>
          <w:b/>
        </w:rPr>
        <w:t>14</w:t>
      </w:r>
      <w:r w:rsidR="008C2E0A" w:rsidRPr="00C86B79">
        <w:rPr>
          <w:rFonts w:hint="eastAsia"/>
          <w:b/>
        </w:rPr>
        <w:t>、企业简易注销</w:t>
      </w:r>
      <w:r w:rsidR="00C86B79" w:rsidRPr="00C86B79">
        <w:rPr>
          <w:rFonts w:hint="eastAsia"/>
          <w:b/>
        </w:rPr>
        <w:t>的申报流程是怎样的？</w:t>
      </w:r>
    </w:p>
    <w:p w:rsidR="00C86B79" w:rsidRDefault="00C86B79" w:rsidP="00EE6A99">
      <w:r>
        <w:rPr>
          <w:rFonts w:hint="eastAsia"/>
        </w:rPr>
        <w:t>答：企业简易注销申报流程如下图：</w:t>
      </w:r>
    </w:p>
    <w:p w:rsidR="002F1215" w:rsidRPr="001F5B5C" w:rsidRDefault="00C86B79" w:rsidP="00AE539D">
      <w:r w:rsidRPr="00C86B79">
        <w:rPr>
          <w:noProof/>
        </w:rPr>
        <w:lastRenderedPageBreak/>
        <w:drawing>
          <wp:inline distT="0" distB="0" distL="0" distR="0">
            <wp:extent cx="5274310" cy="2910027"/>
            <wp:effectExtent l="19050" t="0" r="2540" b="0"/>
            <wp:docPr id="1" name="图片 1" descr="企业简易注销办事流程图"/>
            <wp:cNvGraphicFramePr/>
            <a:graphic xmlns:a="http://schemas.openxmlformats.org/drawingml/2006/main">
              <a:graphicData uri="http://schemas.openxmlformats.org/drawingml/2006/picture">
                <pic:pic xmlns:pic="http://schemas.openxmlformats.org/drawingml/2006/picture">
                  <pic:nvPicPr>
                    <pic:cNvPr id="2" name="图片 1" descr="企业简易注销办事流程图"/>
                    <pic:cNvPicPr>
                      <a:picLocks noChangeAspect="1"/>
                    </pic:cNvPicPr>
                  </pic:nvPicPr>
                  <pic:blipFill>
                    <a:blip r:embed="rId7"/>
                    <a:stretch>
                      <a:fillRect/>
                    </a:stretch>
                  </pic:blipFill>
                  <pic:spPr>
                    <a:xfrm>
                      <a:off x="0" y="0"/>
                      <a:ext cx="5274310" cy="2910027"/>
                    </a:xfrm>
                    <a:prstGeom prst="rect">
                      <a:avLst/>
                    </a:prstGeom>
                  </pic:spPr>
                </pic:pic>
              </a:graphicData>
            </a:graphic>
          </wp:inline>
        </w:drawing>
      </w:r>
    </w:p>
    <w:p w:rsidR="001F5B5C" w:rsidRDefault="001F5B5C" w:rsidP="00AE539D">
      <w:pPr>
        <w:rPr>
          <w:b/>
        </w:rPr>
      </w:pPr>
    </w:p>
    <w:p w:rsidR="00AE539D" w:rsidRPr="00DB798B" w:rsidRDefault="00C86B79" w:rsidP="00AE539D">
      <w:pPr>
        <w:rPr>
          <w:b/>
        </w:rPr>
      </w:pPr>
      <w:r w:rsidRPr="00DB798B">
        <w:rPr>
          <w:rFonts w:hint="eastAsia"/>
          <w:b/>
        </w:rPr>
        <w:t>1</w:t>
      </w:r>
      <w:r w:rsidR="001F5B5C">
        <w:rPr>
          <w:rFonts w:hint="eastAsia"/>
          <w:b/>
        </w:rPr>
        <w:t>5</w:t>
      </w:r>
      <w:r w:rsidR="00DB798B" w:rsidRPr="00DB798B">
        <w:rPr>
          <w:rFonts w:hint="eastAsia"/>
          <w:b/>
        </w:rPr>
        <w:t>、企业申报简易注销</w:t>
      </w:r>
      <w:r w:rsidR="00704018">
        <w:rPr>
          <w:rFonts w:hint="eastAsia"/>
          <w:b/>
        </w:rPr>
        <w:t>公告</w:t>
      </w:r>
      <w:r w:rsidR="00DB798B" w:rsidRPr="00DB798B">
        <w:rPr>
          <w:rFonts w:hint="eastAsia"/>
          <w:b/>
        </w:rPr>
        <w:t>应该如何</w:t>
      </w:r>
      <w:r w:rsidR="00DB798B">
        <w:rPr>
          <w:rFonts w:hint="eastAsia"/>
          <w:b/>
        </w:rPr>
        <w:t>具体</w:t>
      </w:r>
      <w:r w:rsidR="00DB798B" w:rsidRPr="00DB798B">
        <w:rPr>
          <w:rFonts w:hint="eastAsia"/>
          <w:b/>
        </w:rPr>
        <w:t>操作？</w:t>
      </w:r>
    </w:p>
    <w:p w:rsidR="00200B04" w:rsidRDefault="00DB798B" w:rsidP="00AE539D">
      <w:r>
        <w:rPr>
          <w:rFonts w:hint="eastAsia"/>
        </w:rPr>
        <w:t>答：第一步：</w:t>
      </w:r>
      <w:r w:rsidR="002F1215">
        <w:rPr>
          <w:rFonts w:hint="eastAsia"/>
        </w:rPr>
        <w:t>打开</w:t>
      </w:r>
      <w:r w:rsidR="002F1215" w:rsidRPr="002F1215">
        <w:rPr>
          <w:rFonts w:hint="eastAsia"/>
        </w:rPr>
        <w:t>企业信用信息公示系统（云南）平台，</w:t>
      </w:r>
      <w:r w:rsidR="00200B04">
        <w:rPr>
          <w:rFonts w:hint="eastAsia"/>
        </w:rPr>
        <w:t>点击企业信息填报。</w:t>
      </w:r>
    </w:p>
    <w:p w:rsidR="00200B04" w:rsidRDefault="00200B04" w:rsidP="00AE539D">
      <w:r w:rsidRPr="00200B04">
        <w:rPr>
          <w:noProof/>
        </w:rPr>
        <w:drawing>
          <wp:inline distT="0" distB="0" distL="0" distR="0">
            <wp:extent cx="5169176" cy="2332382"/>
            <wp:effectExtent l="19050" t="0" r="0" b="0"/>
            <wp:docPr id="5" name="对象 5"/>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7992648" cy="4487820"/>
                      <a:chOff x="540032" y="2348880"/>
                      <a:chExt cx="7992648" cy="4487820"/>
                    </a:xfrm>
                  </a:grpSpPr>
                  <a:pic>
                    <a:nvPicPr>
                      <a:cNvPr id="2" name="图片 1"/>
                      <a:cNvPicPr>
                        <a:picLocks noChangeAspect="1"/>
                      </a:cNvPicPr>
                    </a:nvPicPr>
                    <a:blipFill>
                      <a:blip r:embed="rId8"/>
                      <a:stretch>
                        <a:fillRect/>
                      </a:stretch>
                    </a:blipFill>
                    <a:spPr>
                      <a:xfrm>
                        <a:off x="540032" y="2348880"/>
                        <a:ext cx="7992648" cy="4487820"/>
                      </a:xfrm>
                      <a:prstGeom prst="rect">
                        <a:avLst/>
                      </a:prstGeom>
                      <a:ln>
                        <a:solidFill>
                          <a:srgbClr val="FF0000"/>
                        </a:solidFill>
                      </a:ln>
                    </a:spPr>
                  </a:pic>
                  <a:sp>
                    <a:nvSpPr>
                      <a:cNvPr id="9" name="矩形 8"/>
                      <a:cNvSpPr/>
                    </a:nvSpPr>
                    <a:spPr bwMode="auto">
                      <a:xfrm>
                        <a:off x="3470768" y="5181239"/>
                        <a:ext cx="1029223" cy="787513"/>
                      </a:xfrm>
                      <a:prstGeom prst="rect">
                        <a:avLst/>
                      </a:prstGeom>
                      <a:noFill/>
                      <a:ln w="28575">
                        <a:solidFill>
                          <a:srgbClr val="FF0000"/>
                        </a:solidFill>
                      </a:ln>
                    </a:spPr>
                    <a:txSp>
                      <a:txBody>
                        <a:bodyPr rtlCol="0" anchor="ctr">
                          <a:noAutofit/>
                        </a:bodyPr>
                        <a:lstStyle>
                          <a:defPPr>
                            <a:defRPr lang="en-US"/>
                          </a:defPPr>
                          <a:lvl1pPr algn="l" rtl="0" fontAlgn="base">
                            <a:spcBef>
                              <a:spcPct val="0"/>
                            </a:spcBef>
                            <a:spcAft>
                              <a:spcPct val="0"/>
                            </a:spcAft>
                            <a:defRPr kern="1200">
                              <a:solidFill>
                                <a:schemeClr val="tx1"/>
                              </a:solidFill>
                              <a:latin typeface="Arial" panose="020B0604020202020204" pitchFamily="34" charset="0"/>
                              <a:ea typeface="宋体" panose="02010600030101010101" pitchFamily="2" charset="-122"/>
                              <a:cs typeface="+mn-cs"/>
                            </a:defRPr>
                          </a:lvl1pPr>
                          <a:lvl2pPr marL="457200" algn="l" rtl="0" fontAlgn="base">
                            <a:spcBef>
                              <a:spcPct val="0"/>
                            </a:spcBef>
                            <a:spcAft>
                              <a:spcPct val="0"/>
                            </a:spcAft>
                            <a:defRPr kern="1200">
                              <a:solidFill>
                                <a:schemeClr val="tx1"/>
                              </a:solidFill>
                              <a:latin typeface="Arial" panose="020B0604020202020204" pitchFamily="34" charset="0"/>
                              <a:ea typeface="宋体" panose="02010600030101010101" pitchFamily="2" charset="-122"/>
                              <a:cs typeface="+mn-cs"/>
                            </a:defRPr>
                          </a:lvl2pPr>
                          <a:lvl3pPr marL="914400" algn="l" rtl="0" fontAlgn="base">
                            <a:spcBef>
                              <a:spcPct val="0"/>
                            </a:spcBef>
                            <a:spcAft>
                              <a:spcPct val="0"/>
                            </a:spcAft>
                            <a:defRPr kern="1200">
                              <a:solidFill>
                                <a:schemeClr val="tx1"/>
                              </a:solidFill>
                              <a:latin typeface="Arial" panose="020B0604020202020204" pitchFamily="34" charset="0"/>
                              <a:ea typeface="宋体" panose="02010600030101010101" pitchFamily="2" charset="-122"/>
                              <a:cs typeface="+mn-cs"/>
                            </a:defRPr>
                          </a:lvl3pPr>
                          <a:lvl4pPr marL="1371600" algn="l" rtl="0" fontAlgn="base">
                            <a:spcBef>
                              <a:spcPct val="0"/>
                            </a:spcBef>
                            <a:spcAft>
                              <a:spcPct val="0"/>
                            </a:spcAft>
                            <a:defRPr kern="1200">
                              <a:solidFill>
                                <a:schemeClr val="tx1"/>
                              </a:solidFill>
                              <a:latin typeface="Arial" panose="020B0604020202020204" pitchFamily="34" charset="0"/>
                              <a:ea typeface="宋体" panose="02010600030101010101" pitchFamily="2" charset="-122"/>
                              <a:cs typeface="+mn-cs"/>
                            </a:defRPr>
                          </a:lvl4pPr>
                          <a:lvl5pPr marL="1828800" algn="l" rtl="0" fontAlgn="base">
                            <a:spcBef>
                              <a:spcPct val="0"/>
                            </a:spcBef>
                            <a:spcAft>
                              <a:spcPct val="0"/>
                            </a:spcAft>
                            <a:defRPr kern="1200">
                              <a:solidFill>
                                <a:schemeClr val="tx1"/>
                              </a:solidFill>
                              <a:latin typeface="Arial" panose="020B0604020202020204" pitchFamily="34" charset="0"/>
                              <a:ea typeface="宋体" panose="02010600030101010101" pitchFamily="2" charset="-122"/>
                              <a:cs typeface="+mn-cs"/>
                            </a:defRPr>
                          </a:lvl5pPr>
                          <a:lvl6pPr marL="2286000" algn="l" defTabSz="914400" rtl="0" eaLnBrk="1" latinLnBrk="0" hangingPunct="1">
                            <a:defRPr kern="1200">
                              <a:solidFill>
                                <a:schemeClr val="tx1"/>
                              </a:solidFill>
                              <a:latin typeface="Arial" panose="020B0604020202020204" pitchFamily="34" charset="0"/>
                              <a:ea typeface="宋体" panose="02010600030101010101" pitchFamily="2" charset="-122"/>
                              <a:cs typeface="+mn-cs"/>
                            </a:defRPr>
                          </a:lvl6pPr>
                          <a:lvl7pPr marL="2743200" algn="l" defTabSz="914400" rtl="0" eaLnBrk="1" latinLnBrk="0" hangingPunct="1">
                            <a:defRPr kern="1200">
                              <a:solidFill>
                                <a:schemeClr val="tx1"/>
                              </a:solidFill>
                              <a:latin typeface="Arial" panose="020B0604020202020204" pitchFamily="34" charset="0"/>
                              <a:ea typeface="宋体" panose="02010600030101010101" pitchFamily="2" charset="-122"/>
                              <a:cs typeface="+mn-cs"/>
                            </a:defRPr>
                          </a:lvl7pPr>
                          <a:lvl8pPr marL="3200400" algn="l" defTabSz="914400" rtl="0" eaLnBrk="1" latinLnBrk="0" hangingPunct="1">
                            <a:defRPr kern="1200">
                              <a:solidFill>
                                <a:schemeClr val="tx1"/>
                              </a:solidFill>
                              <a:latin typeface="Arial" panose="020B0604020202020204" pitchFamily="34" charset="0"/>
                              <a:ea typeface="宋体" panose="02010600030101010101" pitchFamily="2" charset="-122"/>
                              <a:cs typeface="+mn-cs"/>
                            </a:defRPr>
                          </a:lvl8pPr>
                          <a:lvl9pPr marL="3657600" algn="l" defTabSz="914400" rtl="0" eaLnBrk="1" latinLnBrk="0" hangingPunct="1">
                            <a:defRPr kern="1200">
                              <a:solidFill>
                                <a:schemeClr val="tx1"/>
                              </a:solidFill>
                              <a:latin typeface="Arial" panose="020B0604020202020204" pitchFamily="34" charset="0"/>
                              <a:ea typeface="宋体" panose="02010600030101010101" pitchFamily="2" charset="-122"/>
                              <a:cs typeface="+mn-cs"/>
                            </a:defRPr>
                          </a:lvl9pPr>
                        </a:lstStyle>
                        <a:p>
                          <a:pPr algn="ctr" defTabSz="914400">
                            <a:lnSpc>
                              <a:spcPct val="120000"/>
                            </a:lnSpc>
                            <a:buSzTx/>
                            <a:buFontTx/>
                            <a:buNone/>
                          </a:pPr>
                          <a:endParaRPr lang="zh-CN" altLang="en-US" sz="1800" dirty="0">
                            <a:solidFill>
                              <a:srgbClr val="FF0000"/>
                            </a:solidFill>
                            <a:latin typeface="黑体" panose="02010609060101010101" pitchFamily="49" charset="-122"/>
                            <a:ea typeface="黑体" panose="02010609060101010101" pitchFamily="49" charset="-122"/>
                          </a:endParaRPr>
                        </a:p>
                      </a:txBody>
                      <a:useSpRect/>
                    </a:txSp>
                  </a:sp>
                </lc:lockedCanvas>
              </a:graphicData>
            </a:graphic>
          </wp:inline>
        </w:drawing>
      </w:r>
    </w:p>
    <w:p w:rsidR="001F5B5C" w:rsidRDefault="001F5B5C" w:rsidP="00AE539D"/>
    <w:p w:rsidR="00DB798B" w:rsidRPr="00DB798B" w:rsidRDefault="00200B04" w:rsidP="00AE539D">
      <w:r>
        <w:rPr>
          <w:rFonts w:hint="eastAsia"/>
        </w:rPr>
        <w:t>第二步：通过“工商联络员”登陆。</w:t>
      </w:r>
    </w:p>
    <w:p w:rsidR="00AE539D" w:rsidRDefault="002F1215" w:rsidP="00AE539D">
      <w:r w:rsidRPr="002F1215">
        <w:rPr>
          <w:noProof/>
        </w:rPr>
        <w:drawing>
          <wp:inline distT="0" distB="0" distL="0" distR="0">
            <wp:extent cx="5089663" cy="2425976"/>
            <wp:effectExtent l="19050" t="19050" r="15737" b="12424"/>
            <wp:docPr id="2" name="图片 2"/>
            <wp:cNvGraphicFramePr/>
            <a:graphic xmlns:a="http://schemas.openxmlformats.org/drawingml/2006/main">
              <a:graphicData uri="http://schemas.openxmlformats.org/drawingml/2006/picture">
                <pic:pic xmlns:pic="http://schemas.openxmlformats.org/drawingml/2006/picture">
                  <pic:nvPicPr>
                    <pic:cNvPr id="7" name="图片 6"/>
                    <pic:cNvPicPr>
                      <a:picLocks noChangeAspect="1"/>
                    </pic:cNvPicPr>
                  </pic:nvPicPr>
                  <pic:blipFill>
                    <a:blip r:embed="rId9"/>
                    <a:stretch>
                      <a:fillRect/>
                    </a:stretch>
                  </pic:blipFill>
                  <pic:spPr>
                    <a:xfrm>
                      <a:off x="0" y="0"/>
                      <a:ext cx="5089294" cy="2425800"/>
                    </a:xfrm>
                    <a:prstGeom prst="rect">
                      <a:avLst/>
                    </a:prstGeom>
                    <a:ln>
                      <a:solidFill>
                        <a:srgbClr val="FF0000"/>
                      </a:solidFill>
                    </a:ln>
                  </pic:spPr>
                </pic:pic>
              </a:graphicData>
            </a:graphic>
          </wp:inline>
        </w:drawing>
      </w:r>
    </w:p>
    <w:p w:rsidR="002F1215" w:rsidRDefault="00200B04" w:rsidP="00AE539D">
      <w:r>
        <w:rPr>
          <w:rFonts w:hint="eastAsia"/>
        </w:rPr>
        <w:lastRenderedPageBreak/>
        <w:t>第三</w:t>
      </w:r>
      <w:r w:rsidR="002F1215">
        <w:rPr>
          <w:rFonts w:hint="eastAsia"/>
        </w:rPr>
        <w:t>步：登陆后点击“简易注销公告填报”录入公告信息</w:t>
      </w:r>
    </w:p>
    <w:p w:rsidR="002F1215" w:rsidRDefault="00200B04" w:rsidP="00AE539D">
      <w:r w:rsidRPr="00200B04">
        <w:rPr>
          <w:noProof/>
        </w:rPr>
        <w:drawing>
          <wp:inline distT="0" distB="0" distL="0" distR="0">
            <wp:extent cx="5089663" cy="2239617"/>
            <wp:effectExtent l="19050" t="0" r="0" b="0"/>
            <wp:docPr id="6" name="对象 6"/>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8640000" cy="4857628"/>
                      <a:chOff x="138883" y="1764785"/>
                      <a:chExt cx="8640000" cy="4857628"/>
                    </a:xfrm>
                  </a:grpSpPr>
                  <a:pic>
                    <a:nvPicPr>
                      <a:cNvPr id="9" name="图片 8"/>
                      <a:cNvPicPr>
                        <a:picLocks noChangeAspect="1"/>
                      </a:cNvPicPr>
                    </a:nvPicPr>
                    <a:blipFill>
                      <a:blip r:embed="rId10"/>
                      <a:stretch>
                        <a:fillRect/>
                      </a:stretch>
                    </a:blipFill>
                    <a:spPr>
                      <a:xfrm>
                        <a:off x="138883" y="1764785"/>
                        <a:ext cx="8640000" cy="4857628"/>
                      </a:xfrm>
                      <a:prstGeom prst="rect">
                        <a:avLst/>
                      </a:prstGeom>
                      <a:ln>
                        <a:solidFill>
                          <a:srgbClr val="FF0000"/>
                        </a:solidFill>
                      </a:ln>
                    </a:spPr>
                  </a:pic>
                  <a:sp>
                    <a:nvSpPr>
                      <a:cNvPr id="21" name="矩形 20"/>
                      <a:cNvSpPr/>
                    </a:nvSpPr>
                    <a:spPr bwMode="auto">
                      <a:xfrm>
                        <a:off x="5076056" y="3348634"/>
                        <a:ext cx="1293177" cy="872454"/>
                      </a:xfrm>
                      <a:prstGeom prst="rect">
                        <a:avLst/>
                      </a:prstGeom>
                      <a:noFill/>
                      <a:ln w="28575">
                        <a:solidFill>
                          <a:srgbClr val="FF0000"/>
                        </a:solidFill>
                      </a:ln>
                    </a:spPr>
                    <a:txSp>
                      <a:txBody>
                        <a:bodyPr rtlCol="0" anchor="ctr">
                          <a:noAutofit/>
                        </a:bodyPr>
                        <a:lstStyle>
                          <a:defPPr>
                            <a:defRPr lang="en-US"/>
                          </a:defPPr>
                          <a:lvl1pPr algn="l" rtl="0" fontAlgn="base">
                            <a:spcBef>
                              <a:spcPct val="0"/>
                            </a:spcBef>
                            <a:spcAft>
                              <a:spcPct val="0"/>
                            </a:spcAft>
                            <a:defRPr kern="1200">
                              <a:solidFill>
                                <a:schemeClr val="tx1"/>
                              </a:solidFill>
                              <a:latin typeface="Arial" panose="020B0604020202020204" pitchFamily="34" charset="0"/>
                              <a:ea typeface="宋体" panose="02010600030101010101" pitchFamily="2" charset="-122"/>
                              <a:cs typeface="+mn-cs"/>
                            </a:defRPr>
                          </a:lvl1pPr>
                          <a:lvl2pPr marL="457200" algn="l" rtl="0" fontAlgn="base">
                            <a:spcBef>
                              <a:spcPct val="0"/>
                            </a:spcBef>
                            <a:spcAft>
                              <a:spcPct val="0"/>
                            </a:spcAft>
                            <a:defRPr kern="1200">
                              <a:solidFill>
                                <a:schemeClr val="tx1"/>
                              </a:solidFill>
                              <a:latin typeface="Arial" panose="020B0604020202020204" pitchFamily="34" charset="0"/>
                              <a:ea typeface="宋体" panose="02010600030101010101" pitchFamily="2" charset="-122"/>
                              <a:cs typeface="+mn-cs"/>
                            </a:defRPr>
                          </a:lvl2pPr>
                          <a:lvl3pPr marL="914400" algn="l" rtl="0" fontAlgn="base">
                            <a:spcBef>
                              <a:spcPct val="0"/>
                            </a:spcBef>
                            <a:spcAft>
                              <a:spcPct val="0"/>
                            </a:spcAft>
                            <a:defRPr kern="1200">
                              <a:solidFill>
                                <a:schemeClr val="tx1"/>
                              </a:solidFill>
                              <a:latin typeface="Arial" panose="020B0604020202020204" pitchFamily="34" charset="0"/>
                              <a:ea typeface="宋体" panose="02010600030101010101" pitchFamily="2" charset="-122"/>
                              <a:cs typeface="+mn-cs"/>
                            </a:defRPr>
                          </a:lvl3pPr>
                          <a:lvl4pPr marL="1371600" algn="l" rtl="0" fontAlgn="base">
                            <a:spcBef>
                              <a:spcPct val="0"/>
                            </a:spcBef>
                            <a:spcAft>
                              <a:spcPct val="0"/>
                            </a:spcAft>
                            <a:defRPr kern="1200">
                              <a:solidFill>
                                <a:schemeClr val="tx1"/>
                              </a:solidFill>
                              <a:latin typeface="Arial" panose="020B0604020202020204" pitchFamily="34" charset="0"/>
                              <a:ea typeface="宋体" panose="02010600030101010101" pitchFamily="2" charset="-122"/>
                              <a:cs typeface="+mn-cs"/>
                            </a:defRPr>
                          </a:lvl4pPr>
                          <a:lvl5pPr marL="1828800" algn="l" rtl="0" fontAlgn="base">
                            <a:spcBef>
                              <a:spcPct val="0"/>
                            </a:spcBef>
                            <a:spcAft>
                              <a:spcPct val="0"/>
                            </a:spcAft>
                            <a:defRPr kern="1200">
                              <a:solidFill>
                                <a:schemeClr val="tx1"/>
                              </a:solidFill>
                              <a:latin typeface="Arial" panose="020B0604020202020204" pitchFamily="34" charset="0"/>
                              <a:ea typeface="宋体" panose="02010600030101010101" pitchFamily="2" charset="-122"/>
                              <a:cs typeface="+mn-cs"/>
                            </a:defRPr>
                          </a:lvl5pPr>
                          <a:lvl6pPr marL="2286000" algn="l" defTabSz="914400" rtl="0" eaLnBrk="1" latinLnBrk="0" hangingPunct="1">
                            <a:defRPr kern="1200">
                              <a:solidFill>
                                <a:schemeClr val="tx1"/>
                              </a:solidFill>
                              <a:latin typeface="Arial" panose="020B0604020202020204" pitchFamily="34" charset="0"/>
                              <a:ea typeface="宋体" panose="02010600030101010101" pitchFamily="2" charset="-122"/>
                              <a:cs typeface="+mn-cs"/>
                            </a:defRPr>
                          </a:lvl6pPr>
                          <a:lvl7pPr marL="2743200" algn="l" defTabSz="914400" rtl="0" eaLnBrk="1" latinLnBrk="0" hangingPunct="1">
                            <a:defRPr kern="1200">
                              <a:solidFill>
                                <a:schemeClr val="tx1"/>
                              </a:solidFill>
                              <a:latin typeface="Arial" panose="020B0604020202020204" pitchFamily="34" charset="0"/>
                              <a:ea typeface="宋体" panose="02010600030101010101" pitchFamily="2" charset="-122"/>
                              <a:cs typeface="+mn-cs"/>
                            </a:defRPr>
                          </a:lvl7pPr>
                          <a:lvl8pPr marL="3200400" algn="l" defTabSz="914400" rtl="0" eaLnBrk="1" latinLnBrk="0" hangingPunct="1">
                            <a:defRPr kern="1200">
                              <a:solidFill>
                                <a:schemeClr val="tx1"/>
                              </a:solidFill>
                              <a:latin typeface="Arial" panose="020B0604020202020204" pitchFamily="34" charset="0"/>
                              <a:ea typeface="宋体" panose="02010600030101010101" pitchFamily="2" charset="-122"/>
                              <a:cs typeface="+mn-cs"/>
                            </a:defRPr>
                          </a:lvl8pPr>
                          <a:lvl9pPr marL="3657600" algn="l" defTabSz="914400" rtl="0" eaLnBrk="1" latinLnBrk="0" hangingPunct="1">
                            <a:defRPr kern="1200">
                              <a:solidFill>
                                <a:schemeClr val="tx1"/>
                              </a:solidFill>
                              <a:latin typeface="Arial" panose="020B0604020202020204" pitchFamily="34" charset="0"/>
                              <a:ea typeface="宋体" panose="02010600030101010101" pitchFamily="2" charset="-122"/>
                              <a:cs typeface="+mn-cs"/>
                            </a:defRPr>
                          </a:lvl9pPr>
                        </a:lstStyle>
                        <a:p>
                          <a:pPr algn="ctr" defTabSz="914400">
                            <a:lnSpc>
                              <a:spcPct val="120000"/>
                            </a:lnSpc>
                            <a:buSzTx/>
                            <a:buFontTx/>
                            <a:buNone/>
                          </a:pPr>
                          <a:endParaRPr lang="zh-CN" altLang="en-US" sz="1800" dirty="0">
                            <a:solidFill>
                              <a:srgbClr val="FF0000"/>
                            </a:solidFill>
                            <a:latin typeface="黑体" panose="02010609060101010101" pitchFamily="49" charset="-122"/>
                            <a:ea typeface="黑体" panose="02010609060101010101" pitchFamily="49" charset="-122"/>
                          </a:endParaRPr>
                        </a:p>
                      </a:txBody>
                      <a:useSpRect/>
                    </a:txSp>
                  </a:sp>
                </lc:lockedCanvas>
              </a:graphicData>
            </a:graphic>
          </wp:inline>
        </w:drawing>
      </w:r>
    </w:p>
    <w:p w:rsidR="00200B04" w:rsidRDefault="00200B04" w:rsidP="00AE539D"/>
    <w:p w:rsidR="00427B27" w:rsidRDefault="00200B04" w:rsidP="00AE539D">
      <w:r>
        <w:rPr>
          <w:rFonts w:hint="eastAsia"/>
        </w:rPr>
        <w:t>第四步：</w:t>
      </w:r>
      <w:r w:rsidR="00427B27">
        <w:rPr>
          <w:rFonts w:hint="eastAsia"/>
        </w:rPr>
        <w:t>填写公告</w:t>
      </w:r>
    </w:p>
    <w:p w:rsidR="00200B04" w:rsidRDefault="00427B27" w:rsidP="00AE539D">
      <w:r>
        <w:rPr>
          <w:rFonts w:hint="eastAsia"/>
        </w:rPr>
        <w:t>（</w:t>
      </w:r>
      <w:r>
        <w:rPr>
          <w:rFonts w:hint="eastAsia"/>
        </w:rPr>
        <w:t>1</w:t>
      </w:r>
      <w:r>
        <w:rPr>
          <w:rFonts w:hint="eastAsia"/>
        </w:rPr>
        <w:t>）</w:t>
      </w:r>
      <w:r w:rsidR="00200B04">
        <w:rPr>
          <w:rFonts w:hint="eastAsia"/>
        </w:rPr>
        <w:t>上传《全体投资人承诺书》</w:t>
      </w:r>
      <w:r w:rsidR="00200B04">
        <w:rPr>
          <w:rFonts w:hint="eastAsia"/>
        </w:rPr>
        <w:t>JPG</w:t>
      </w:r>
      <w:r w:rsidR="00200B04">
        <w:rPr>
          <w:rFonts w:hint="eastAsia"/>
        </w:rPr>
        <w:t>版本，需要按照格式范围提交，并由全体投资人签署。</w:t>
      </w:r>
      <w:r w:rsidR="00200B04" w:rsidRPr="00200B04">
        <w:rPr>
          <w:noProof/>
        </w:rPr>
        <w:drawing>
          <wp:inline distT="0" distB="0" distL="0" distR="0">
            <wp:extent cx="5136046" cy="2683565"/>
            <wp:effectExtent l="19050" t="0" r="7454" b="0"/>
            <wp:docPr id="7" name="对象 7"/>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8640000" cy="4857628"/>
                      <a:chOff x="218577" y="1885767"/>
                      <a:chExt cx="8640000" cy="4857628"/>
                    </a:xfrm>
                  </a:grpSpPr>
                  <a:pic>
                    <a:nvPicPr>
                      <a:cNvPr id="10" name="图片 9"/>
                      <a:cNvPicPr>
                        <a:picLocks noChangeAspect="1"/>
                      </a:cNvPicPr>
                    </a:nvPicPr>
                    <a:blipFill>
                      <a:blip r:embed="rId11"/>
                      <a:stretch>
                        <a:fillRect/>
                      </a:stretch>
                    </a:blipFill>
                    <a:spPr>
                      <a:xfrm>
                        <a:off x="218577" y="1885767"/>
                        <a:ext cx="8640000" cy="4857628"/>
                      </a:xfrm>
                      <a:prstGeom prst="rect">
                        <a:avLst/>
                      </a:prstGeom>
                      <a:ln>
                        <a:solidFill>
                          <a:srgbClr val="FF0000"/>
                        </a:solidFill>
                      </a:ln>
                    </a:spPr>
                  </a:pic>
                  <a:sp>
                    <a:nvSpPr>
                      <a:cNvPr id="22" name="矩形 21"/>
                      <a:cNvSpPr/>
                    </a:nvSpPr>
                    <a:spPr bwMode="auto">
                      <a:xfrm>
                        <a:off x="899592" y="3072277"/>
                        <a:ext cx="1390059" cy="302738"/>
                      </a:xfrm>
                      <a:prstGeom prst="rect">
                        <a:avLst/>
                      </a:prstGeom>
                      <a:noFill/>
                      <a:ln w="28575">
                        <a:solidFill>
                          <a:srgbClr val="FF0000"/>
                        </a:solidFill>
                      </a:ln>
                    </a:spPr>
                    <a:txSp>
                      <a:txBody>
                        <a:bodyPr rtlCol="0" anchor="ctr">
                          <a:noAutofit/>
                        </a:bodyPr>
                        <a:lstStyle>
                          <a:defPPr>
                            <a:defRPr lang="en-US"/>
                          </a:defPPr>
                          <a:lvl1pPr algn="l" rtl="0" fontAlgn="base">
                            <a:spcBef>
                              <a:spcPct val="0"/>
                            </a:spcBef>
                            <a:spcAft>
                              <a:spcPct val="0"/>
                            </a:spcAft>
                            <a:defRPr kern="1200">
                              <a:solidFill>
                                <a:schemeClr val="tx1"/>
                              </a:solidFill>
                              <a:latin typeface="Arial" panose="020B0604020202020204" pitchFamily="34" charset="0"/>
                              <a:ea typeface="宋体" panose="02010600030101010101" pitchFamily="2" charset="-122"/>
                              <a:cs typeface="+mn-cs"/>
                            </a:defRPr>
                          </a:lvl1pPr>
                          <a:lvl2pPr marL="457200" algn="l" rtl="0" fontAlgn="base">
                            <a:spcBef>
                              <a:spcPct val="0"/>
                            </a:spcBef>
                            <a:spcAft>
                              <a:spcPct val="0"/>
                            </a:spcAft>
                            <a:defRPr kern="1200">
                              <a:solidFill>
                                <a:schemeClr val="tx1"/>
                              </a:solidFill>
                              <a:latin typeface="Arial" panose="020B0604020202020204" pitchFamily="34" charset="0"/>
                              <a:ea typeface="宋体" panose="02010600030101010101" pitchFamily="2" charset="-122"/>
                              <a:cs typeface="+mn-cs"/>
                            </a:defRPr>
                          </a:lvl2pPr>
                          <a:lvl3pPr marL="914400" algn="l" rtl="0" fontAlgn="base">
                            <a:spcBef>
                              <a:spcPct val="0"/>
                            </a:spcBef>
                            <a:spcAft>
                              <a:spcPct val="0"/>
                            </a:spcAft>
                            <a:defRPr kern="1200">
                              <a:solidFill>
                                <a:schemeClr val="tx1"/>
                              </a:solidFill>
                              <a:latin typeface="Arial" panose="020B0604020202020204" pitchFamily="34" charset="0"/>
                              <a:ea typeface="宋体" panose="02010600030101010101" pitchFamily="2" charset="-122"/>
                              <a:cs typeface="+mn-cs"/>
                            </a:defRPr>
                          </a:lvl3pPr>
                          <a:lvl4pPr marL="1371600" algn="l" rtl="0" fontAlgn="base">
                            <a:spcBef>
                              <a:spcPct val="0"/>
                            </a:spcBef>
                            <a:spcAft>
                              <a:spcPct val="0"/>
                            </a:spcAft>
                            <a:defRPr kern="1200">
                              <a:solidFill>
                                <a:schemeClr val="tx1"/>
                              </a:solidFill>
                              <a:latin typeface="Arial" panose="020B0604020202020204" pitchFamily="34" charset="0"/>
                              <a:ea typeface="宋体" panose="02010600030101010101" pitchFamily="2" charset="-122"/>
                              <a:cs typeface="+mn-cs"/>
                            </a:defRPr>
                          </a:lvl4pPr>
                          <a:lvl5pPr marL="1828800" algn="l" rtl="0" fontAlgn="base">
                            <a:spcBef>
                              <a:spcPct val="0"/>
                            </a:spcBef>
                            <a:spcAft>
                              <a:spcPct val="0"/>
                            </a:spcAft>
                            <a:defRPr kern="1200">
                              <a:solidFill>
                                <a:schemeClr val="tx1"/>
                              </a:solidFill>
                              <a:latin typeface="Arial" panose="020B0604020202020204" pitchFamily="34" charset="0"/>
                              <a:ea typeface="宋体" panose="02010600030101010101" pitchFamily="2" charset="-122"/>
                              <a:cs typeface="+mn-cs"/>
                            </a:defRPr>
                          </a:lvl5pPr>
                          <a:lvl6pPr marL="2286000" algn="l" defTabSz="914400" rtl="0" eaLnBrk="1" latinLnBrk="0" hangingPunct="1">
                            <a:defRPr kern="1200">
                              <a:solidFill>
                                <a:schemeClr val="tx1"/>
                              </a:solidFill>
                              <a:latin typeface="Arial" panose="020B0604020202020204" pitchFamily="34" charset="0"/>
                              <a:ea typeface="宋体" panose="02010600030101010101" pitchFamily="2" charset="-122"/>
                              <a:cs typeface="+mn-cs"/>
                            </a:defRPr>
                          </a:lvl6pPr>
                          <a:lvl7pPr marL="2743200" algn="l" defTabSz="914400" rtl="0" eaLnBrk="1" latinLnBrk="0" hangingPunct="1">
                            <a:defRPr kern="1200">
                              <a:solidFill>
                                <a:schemeClr val="tx1"/>
                              </a:solidFill>
                              <a:latin typeface="Arial" panose="020B0604020202020204" pitchFamily="34" charset="0"/>
                              <a:ea typeface="宋体" panose="02010600030101010101" pitchFamily="2" charset="-122"/>
                              <a:cs typeface="+mn-cs"/>
                            </a:defRPr>
                          </a:lvl7pPr>
                          <a:lvl8pPr marL="3200400" algn="l" defTabSz="914400" rtl="0" eaLnBrk="1" latinLnBrk="0" hangingPunct="1">
                            <a:defRPr kern="1200">
                              <a:solidFill>
                                <a:schemeClr val="tx1"/>
                              </a:solidFill>
                              <a:latin typeface="Arial" panose="020B0604020202020204" pitchFamily="34" charset="0"/>
                              <a:ea typeface="宋体" panose="02010600030101010101" pitchFamily="2" charset="-122"/>
                              <a:cs typeface="+mn-cs"/>
                            </a:defRPr>
                          </a:lvl8pPr>
                          <a:lvl9pPr marL="3657600" algn="l" defTabSz="914400" rtl="0" eaLnBrk="1" latinLnBrk="0" hangingPunct="1">
                            <a:defRPr kern="1200">
                              <a:solidFill>
                                <a:schemeClr val="tx1"/>
                              </a:solidFill>
                              <a:latin typeface="Arial" panose="020B0604020202020204" pitchFamily="34" charset="0"/>
                              <a:ea typeface="宋体" panose="02010600030101010101" pitchFamily="2" charset="-122"/>
                              <a:cs typeface="+mn-cs"/>
                            </a:defRPr>
                          </a:lvl9pPr>
                        </a:lstStyle>
                        <a:p>
                          <a:pPr algn="ctr" defTabSz="914400">
                            <a:lnSpc>
                              <a:spcPct val="120000"/>
                            </a:lnSpc>
                            <a:buSzTx/>
                            <a:buFontTx/>
                            <a:buNone/>
                          </a:pPr>
                          <a:endParaRPr lang="zh-CN" altLang="en-US" sz="1800" dirty="0">
                            <a:solidFill>
                              <a:srgbClr val="FF0000"/>
                            </a:solidFill>
                            <a:latin typeface="黑体" panose="02010609060101010101" pitchFamily="49" charset="-122"/>
                            <a:ea typeface="黑体" panose="02010609060101010101" pitchFamily="49" charset="-122"/>
                          </a:endParaRPr>
                        </a:p>
                      </a:txBody>
                      <a:useSpRect/>
                    </a:txSp>
                  </a:sp>
                  <a:sp>
                    <a:nvSpPr>
                      <a:cNvPr id="30" name="矩形 29"/>
                      <a:cNvSpPr/>
                    </a:nvSpPr>
                    <a:spPr bwMode="auto">
                      <a:xfrm>
                        <a:off x="2555776" y="4211877"/>
                        <a:ext cx="5400600" cy="271333"/>
                      </a:xfrm>
                      <a:prstGeom prst="rect">
                        <a:avLst/>
                      </a:prstGeom>
                      <a:noFill/>
                      <a:ln w="28575">
                        <a:solidFill>
                          <a:srgbClr val="0000FF"/>
                        </a:solidFill>
                      </a:ln>
                    </a:spPr>
                    <a:txSp>
                      <a:txBody>
                        <a:bodyPr rtlCol="0" anchor="ctr">
                          <a:noAutofit/>
                        </a:bodyPr>
                        <a:lstStyle>
                          <a:defPPr>
                            <a:defRPr lang="en-US"/>
                          </a:defPPr>
                          <a:lvl1pPr algn="l" rtl="0" fontAlgn="base">
                            <a:spcBef>
                              <a:spcPct val="0"/>
                            </a:spcBef>
                            <a:spcAft>
                              <a:spcPct val="0"/>
                            </a:spcAft>
                            <a:defRPr kern="1200">
                              <a:solidFill>
                                <a:schemeClr val="tx1"/>
                              </a:solidFill>
                              <a:latin typeface="Arial" panose="020B0604020202020204" pitchFamily="34" charset="0"/>
                              <a:ea typeface="宋体" panose="02010600030101010101" pitchFamily="2" charset="-122"/>
                              <a:cs typeface="+mn-cs"/>
                            </a:defRPr>
                          </a:lvl1pPr>
                          <a:lvl2pPr marL="457200" algn="l" rtl="0" fontAlgn="base">
                            <a:spcBef>
                              <a:spcPct val="0"/>
                            </a:spcBef>
                            <a:spcAft>
                              <a:spcPct val="0"/>
                            </a:spcAft>
                            <a:defRPr kern="1200">
                              <a:solidFill>
                                <a:schemeClr val="tx1"/>
                              </a:solidFill>
                              <a:latin typeface="Arial" panose="020B0604020202020204" pitchFamily="34" charset="0"/>
                              <a:ea typeface="宋体" panose="02010600030101010101" pitchFamily="2" charset="-122"/>
                              <a:cs typeface="+mn-cs"/>
                            </a:defRPr>
                          </a:lvl2pPr>
                          <a:lvl3pPr marL="914400" algn="l" rtl="0" fontAlgn="base">
                            <a:spcBef>
                              <a:spcPct val="0"/>
                            </a:spcBef>
                            <a:spcAft>
                              <a:spcPct val="0"/>
                            </a:spcAft>
                            <a:defRPr kern="1200">
                              <a:solidFill>
                                <a:schemeClr val="tx1"/>
                              </a:solidFill>
                              <a:latin typeface="Arial" panose="020B0604020202020204" pitchFamily="34" charset="0"/>
                              <a:ea typeface="宋体" panose="02010600030101010101" pitchFamily="2" charset="-122"/>
                              <a:cs typeface="+mn-cs"/>
                            </a:defRPr>
                          </a:lvl3pPr>
                          <a:lvl4pPr marL="1371600" algn="l" rtl="0" fontAlgn="base">
                            <a:spcBef>
                              <a:spcPct val="0"/>
                            </a:spcBef>
                            <a:spcAft>
                              <a:spcPct val="0"/>
                            </a:spcAft>
                            <a:defRPr kern="1200">
                              <a:solidFill>
                                <a:schemeClr val="tx1"/>
                              </a:solidFill>
                              <a:latin typeface="Arial" panose="020B0604020202020204" pitchFamily="34" charset="0"/>
                              <a:ea typeface="宋体" panose="02010600030101010101" pitchFamily="2" charset="-122"/>
                              <a:cs typeface="+mn-cs"/>
                            </a:defRPr>
                          </a:lvl4pPr>
                          <a:lvl5pPr marL="1828800" algn="l" rtl="0" fontAlgn="base">
                            <a:spcBef>
                              <a:spcPct val="0"/>
                            </a:spcBef>
                            <a:spcAft>
                              <a:spcPct val="0"/>
                            </a:spcAft>
                            <a:defRPr kern="1200">
                              <a:solidFill>
                                <a:schemeClr val="tx1"/>
                              </a:solidFill>
                              <a:latin typeface="Arial" panose="020B0604020202020204" pitchFamily="34" charset="0"/>
                              <a:ea typeface="宋体" panose="02010600030101010101" pitchFamily="2" charset="-122"/>
                              <a:cs typeface="+mn-cs"/>
                            </a:defRPr>
                          </a:lvl5pPr>
                          <a:lvl6pPr marL="2286000" algn="l" defTabSz="914400" rtl="0" eaLnBrk="1" latinLnBrk="0" hangingPunct="1">
                            <a:defRPr kern="1200">
                              <a:solidFill>
                                <a:schemeClr val="tx1"/>
                              </a:solidFill>
                              <a:latin typeface="Arial" panose="020B0604020202020204" pitchFamily="34" charset="0"/>
                              <a:ea typeface="宋体" panose="02010600030101010101" pitchFamily="2" charset="-122"/>
                              <a:cs typeface="+mn-cs"/>
                            </a:defRPr>
                          </a:lvl6pPr>
                          <a:lvl7pPr marL="2743200" algn="l" defTabSz="914400" rtl="0" eaLnBrk="1" latinLnBrk="0" hangingPunct="1">
                            <a:defRPr kern="1200">
                              <a:solidFill>
                                <a:schemeClr val="tx1"/>
                              </a:solidFill>
                              <a:latin typeface="Arial" panose="020B0604020202020204" pitchFamily="34" charset="0"/>
                              <a:ea typeface="宋体" panose="02010600030101010101" pitchFamily="2" charset="-122"/>
                              <a:cs typeface="+mn-cs"/>
                            </a:defRPr>
                          </a:lvl7pPr>
                          <a:lvl8pPr marL="3200400" algn="l" defTabSz="914400" rtl="0" eaLnBrk="1" latinLnBrk="0" hangingPunct="1">
                            <a:defRPr kern="1200">
                              <a:solidFill>
                                <a:schemeClr val="tx1"/>
                              </a:solidFill>
                              <a:latin typeface="Arial" panose="020B0604020202020204" pitchFamily="34" charset="0"/>
                              <a:ea typeface="宋体" panose="02010600030101010101" pitchFamily="2" charset="-122"/>
                              <a:cs typeface="+mn-cs"/>
                            </a:defRPr>
                          </a:lvl8pPr>
                          <a:lvl9pPr marL="3657600" algn="l" defTabSz="914400" rtl="0" eaLnBrk="1" latinLnBrk="0" hangingPunct="1">
                            <a:defRPr kern="1200">
                              <a:solidFill>
                                <a:schemeClr val="tx1"/>
                              </a:solidFill>
                              <a:latin typeface="Arial" panose="020B0604020202020204" pitchFamily="34" charset="0"/>
                              <a:ea typeface="宋体" panose="02010600030101010101" pitchFamily="2" charset="-122"/>
                              <a:cs typeface="+mn-cs"/>
                            </a:defRPr>
                          </a:lvl9pPr>
                        </a:lstStyle>
                        <a:p>
                          <a:pPr algn="ctr" defTabSz="914400">
                            <a:lnSpc>
                              <a:spcPct val="120000"/>
                            </a:lnSpc>
                            <a:buSzTx/>
                            <a:buFontTx/>
                            <a:buNone/>
                          </a:pPr>
                          <a:endParaRPr lang="zh-CN" altLang="en-US" sz="1800" dirty="0">
                            <a:solidFill>
                              <a:srgbClr val="FF0000"/>
                            </a:solidFill>
                            <a:latin typeface="黑体" panose="02010609060101010101" pitchFamily="49" charset="-122"/>
                            <a:ea typeface="黑体" panose="02010609060101010101" pitchFamily="49" charset="-122"/>
                          </a:endParaRPr>
                        </a:p>
                      </a:txBody>
                      <a:useSpRect/>
                    </a:txSp>
                  </a:sp>
                </lc:lockedCanvas>
              </a:graphicData>
            </a:graphic>
          </wp:inline>
        </w:drawing>
      </w:r>
    </w:p>
    <w:p w:rsidR="0097446F" w:rsidRDefault="00427B27" w:rsidP="00427B27">
      <w:r>
        <w:rPr>
          <w:rFonts w:hint="eastAsia"/>
        </w:rPr>
        <w:t>（</w:t>
      </w:r>
      <w:r>
        <w:rPr>
          <w:rFonts w:hint="eastAsia"/>
        </w:rPr>
        <w:t>2</w:t>
      </w:r>
      <w:r>
        <w:rPr>
          <w:rFonts w:hint="eastAsia"/>
        </w:rPr>
        <w:t>）</w:t>
      </w:r>
      <w:r w:rsidR="0097446F">
        <w:rPr>
          <w:rFonts w:hint="eastAsia"/>
        </w:rPr>
        <w:t>点击“保存”按钮后可以打印预览查看公告内容。</w:t>
      </w:r>
    </w:p>
    <w:p w:rsidR="0097446F" w:rsidRPr="0097446F" w:rsidRDefault="0097446F" w:rsidP="00427B27">
      <w:r w:rsidRPr="0097446F">
        <w:rPr>
          <w:noProof/>
        </w:rPr>
        <w:drawing>
          <wp:inline distT="0" distB="0" distL="0" distR="0">
            <wp:extent cx="5202307" cy="1836255"/>
            <wp:effectExtent l="19050" t="19050" r="17393" b="11595"/>
            <wp:docPr id="13" name="图片 9"/>
            <wp:cNvGraphicFramePr/>
            <a:graphic xmlns:a="http://schemas.openxmlformats.org/drawingml/2006/main">
              <a:graphicData uri="http://schemas.openxmlformats.org/drawingml/2006/picture">
                <pic:pic xmlns:pic="http://schemas.openxmlformats.org/drawingml/2006/picture">
                  <pic:nvPicPr>
                    <pic:cNvPr id="11" name="图片 10"/>
                    <pic:cNvPicPr>
                      <a:picLocks noChangeAspect="1"/>
                    </pic:cNvPicPr>
                  </pic:nvPicPr>
                  <pic:blipFill rotWithShape="1">
                    <a:blip r:embed="rId12"/>
                    <a:srcRect r="2911" b="30344"/>
                    <a:stretch>
                      <a:fillRect/>
                    </a:stretch>
                  </pic:blipFill>
                  <pic:spPr>
                    <a:xfrm>
                      <a:off x="0" y="0"/>
                      <a:ext cx="5203124" cy="1836543"/>
                    </a:xfrm>
                    <a:prstGeom prst="rect">
                      <a:avLst/>
                    </a:prstGeom>
                    <a:ln>
                      <a:solidFill>
                        <a:srgbClr val="FF0000"/>
                      </a:solidFill>
                    </a:ln>
                  </pic:spPr>
                </pic:pic>
              </a:graphicData>
            </a:graphic>
          </wp:inline>
        </w:drawing>
      </w:r>
    </w:p>
    <w:p w:rsidR="001F5B5C" w:rsidRDefault="001F5B5C" w:rsidP="00427B27"/>
    <w:p w:rsidR="001F5B5C" w:rsidRDefault="001F5B5C" w:rsidP="00427B27"/>
    <w:p w:rsidR="001F5B5C" w:rsidRDefault="001F5B5C" w:rsidP="00427B27"/>
    <w:p w:rsidR="00427B27" w:rsidRDefault="0097446F" w:rsidP="00427B27">
      <w:r>
        <w:rPr>
          <w:rFonts w:hint="eastAsia"/>
        </w:rPr>
        <w:lastRenderedPageBreak/>
        <w:t>（</w:t>
      </w:r>
      <w:r>
        <w:rPr>
          <w:rFonts w:hint="eastAsia"/>
        </w:rPr>
        <w:t>3</w:t>
      </w:r>
      <w:r>
        <w:rPr>
          <w:rFonts w:hint="eastAsia"/>
        </w:rPr>
        <w:t>）</w:t>
      </w:r>
      <w:r w:rsidR="00427B27">
        <w:rPr>
          <w:rFonts w:hint="eastAsia"/>
        </w:rPr>
        <w:t>确认信息无误后点击“保存并公示”按钮，系统会自动计算公告期（</w:t>
      </w:r>
      <w:r w:rsidR="00427B27">
        <w:rPr>
          <w:rFonts w:hint="eastAsia"/>
        </w:rPr>
        <w:t>45</w:t>
      </w:r>
      <w:r w:rsidR="00427B27">
        <w:rPr>
          <w:rFonts w:hint="eastAsia"/>
        </w:rPr>
        <w:t>个自然日）</w:t>
      </w:r>
    </w:p>
    <w:p w:rsidR="00427B27" w:rsidRDefault="00427B27" w:rsidP="00427B27"/>
    <w:p w:rsidR="00427B27" w:rsidRDefault="00427B27" w:rsidP="00427B27">
      <w:r w:rsidRPr="00427B27">
        <w:rPr>
          <w:noProof/>
        </w:rPr>
        <w:drawing>
          <wp:inline distT="0" distB="0" distL="0" distR="0">
            <wp:extent cx="5069785" cy="2305879"/>
            <wp:effectExtent l="19050" t="0" r="0" b="0"/>
            <wp:docPr id="11" name="对象 11"/>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8640000" cy="4857628"/>
                      <a:chOff x="218577" y="1885767"/>
                      <a:chExt cx="8640000" cy="4857628"/>
                    </a:xfrm>
                  </a:grpSpPr>
                  <a:pic>
                    <a:nvPicPr>
                      <a:cNvPr id="10" name="图片 9"/>
                      <a:cNvPicPr>
                        <a:picLocks noChangeAspect="1"/>
                      </a:cNvPicPr>
                    </a:nvPicPr>
                    <a:blipFill>
                      <a:blip r:embed="rId11"/>
                      <a:stretch>
                        <a:fillRect/>
                      </a:stretch>
                    </a:blipFill>
                    <a:spPr>
                      <a:xfrm>
                        <a:off x="218577" y="1885767"/>
                        <a:ext cx="8640000" cy="4857628"/>
                      </a:xfrm>
                      <a:prstGeom prst="rect">
                        <a:avLst/>
                      </a:prstGeom>
                      <a:ln>
                        <a:solidFill>
                          <a:srgbClr val="FF0000"/>
                        </a:solidFill>
                      </a:ln>
                    </a:spPr>
                  </a:pic>
                  <a:sp>
                    <a:nvSpPr>
                      <a:cNvPr id="28" name="矩形 27"/>
                      <a:cNvSpPr/>
                    </a:nvSpPr>
                    <a:spPr bwMode="auto">
                      <a:xfrm>
                        <a:off x="5129575" y="4576987"/>
                        <a:ext cx="882585" cy="269641"/>
                      </a:xfrm>
                      <a:prstGeom prst="rect">
                        <a:avLst/>
                      </a:prstGeom>
                      <a:noFill/>
                      <a:ln w="28575">
                        <a:solidFill>
                          <a:srgbClr val="FF0000"/>
                        </a:solidFill>
                      </a:ln>
                    </a:spPr>
                    <a:txSp>
                      <a:txBody>
                        <a:bodyPr rtlCol="0" anchor="ctr">
                          <a:noAutofit/>
                        </a:bodyPr>
                        <a:lstStyle>
                          <a:defPPr>
                            <a:defRPr lang="en-US"/>
                          </a:defPPr>
                          <a:lvl1pPr algn="l" rtl="0" fontAlgn="base">
                            <a:spcBef>
                              <a:spcPct val="0"/>
                            </a:spcBef>
                            <a:spcAft>
                              <a:spcPct val="0"/>
                            </a:spcAft>
                            <a:defRPr kern="1200">
                              <a:solidFill>
                                <a:schemeClr val="tx1"/>
                              </a:solidFill>
                              <a:latin typeface="Arial" panose="020B0604020202020204" pitchFamily="34" charset="0"/>
                              <a:ea typeface="宋体" panose="02010600030101010101" pitchFamily="2" charset="-122"/>
                              <a:cs typeface="+mn-cs"/>
                            </a:defRPr>
                          </a:lvl1pPr>
                          <a:lvl2pPr marL="457200" algn="l" rtl="0" fontAlgn="base">
                            <a:spcBef>
                              <a:spcPct val="0"/>
                            </a:spcBef>
                            <a:spcAft>
                              <a:spcPct val="0"/>
                            </a:spcAft>
                            <a:defRPr kern="1200">
                              <a:solidFill>
                                <a:schemeClr val="tx1"/>
                              </a:solidFill>
                              <a:latin typeface="Arial" panose="020B0604020202020204" pitchFamily="34" charset="0"/>
                              <a:ea typeface="宋体" panose="02010600030101010101" pitchFamily="2" charset="-122"/>
                              <a:cs typeface="+mn-cs"/>
                            </a:defRPr>
                          </a:lvl2pPr>
                          <a:lvl3pPr marL="914400" algn="l" rtl="0" fontAlgn="base">
                            <a:spcBef>
                              <a:spcPct val="0"/>
                            </a:spcBef>
                            <a:spcAft>
                              <a:spcPct val="0"/>
                            </a:spcAft>
                            <a:defRPr kern="1200">
                              <a:solidFill>
                                <a:schemeClr val="tx1"/>
                              </a:solidFill>
                              <a:latin typeface="Arial" panose="020B0604020202020204" pitchFamily="34" charset="0"/>
                              <a:ea typeface="宋体" panose="02010600030101010101" pitchFamily="2" charset="-122"/>
                              <a:cs typeface="+mn-cs"/>
                            </a:defRPr>
                          </a:lvl3pPr>
                          <a:lvl4pPr marL="1371600" algn="l" rtl="0" fontAlgn="base">
                            <a:spcBef>
                              <a:spcPct val="0"/>
                            </a:spcBef>
                            <a:spcAft>
                              <a:spcPct val="0"/>
                            </a:spcAft>
                            <a:defRPr kern="1200">
                              <a:solidFill>
                                <a:schemeClr val="tx1"/>
                              </a:solidFill>
                              <a:latin typeface="Arial" panose="020B0604020202020204" pitchFamily="34" charset="0"/>
                              <a:ea typeface="宋体" panose="02010600030101010101" pitchFamily="2" charset="-122"/>
                              <a:cs typeface="+mn-cs"/>
                            </a:defRPr>
                          </a:lvl4pPr>
                          <a:lvl5pPr marL="1828800" algn="l" rtl="0" fontAlgn="base">
                            <a:spcBef>
                              <a:spcPct val="0"/>
                            </a:spcBef>
                            <a:spcAft>
                              <a:spcPct val="0"/>
                            </a:spcAft>
                            <a:defRPr kern="1200">
                              <a:solidFill>
                                <a:schemeClr val="tx1"/>
                              </a:solidFill>
                              <a:latin typeface="Arial" panose="020B0604020202020204" pitchFamily="34" charset="0"/>
                              <a:ea typeface="宋体" panose="02010600030101010101" pitchFamily="2" charset="-122"/>
                              <a:cs typeface="+mn-cs"/>
                            </a:defRPr>
                          </a:lvl5pPr>
                          <a:lvl6pPr marL="2286000" algn="l" defTabSz="914400" rtl="0" eaLnBrk="1" latinLnBrk="0" hangingPunct="1">
                            <a:defRPr kern="1200">
                              <a:solidFill>
                                <a:schemeClr val="tx1"/>
                              </a:solidFill>
                              <a:latin typeface="Arial" panose="020B0604020202020204" pitchFamily="34" charset="0"/>
                              <a:ea typeface="宋体" panose="02010600030101010101" pitchFamily="2" charset="-122"/>
                              <a:cs typeface="+mn-cs"/>
                            </a:defRPr>
                          </a:lvl6pPr>
                          <a:lvl7pPr marL="2743200" algn="l" defTabSz="914400" rtl="0" eaLnBrk="1" latinLnBrk="0" hangingPunct="1">
                            <a:defRPr kern="1200">
                              <a:solidFill>
                                <a:schemeClr val="tx1"/>
                              </a:solidFill>
                              <a:latin typeface="Arial" panose="020B0604020202020204" pitchFamily="34" charset="0"/>
                              <a:ea typeface="宋体" panose="02010600030101010101" pitchFamily="2" charset="-122"/>
                              <a:cs typeface="+mn-cs"/>
                            </a:defRPr>
                          </a:lvl7pPr>
                          <a:lvl8pPr marL="3200400" algn="l" defTabSz="914400" rtl="0" eaLnBrk="1" latinLnBrk="0" hangingPunct="1">
                            <a:defRPr kern="1200">
                              <a:solidFill>
                                <a:schemeClr val="tx1"/>
                              </a:solidFill>
                              <a:latin typeface="Arial" panose="020B0604020202020204" pitchFamily="34" charset="0"/>
                              <a:ea typeface="宋体" panose="02010600030101010101" pitchFamily="2" charset="-122"/>
                              <a:cs typeface="+mn-cs"/>
                            </a:defRPr>
                          </a:lvl8pPr>
                          <a:lvl9pPr marL="3657600" algn="l" defTabSz="914400" rtl="0" eaLnBrk="1" latinLnBrk="0" hangingPunct="1">
                            <a:defRPr kern="1200">
                              <a:solidFill>
                                <a:schemeClr val="tx1"/>
                              </a:solidFill>
                              <a:latin typeface="Arial" panose="020B0604020202020204" pitchFamily="34" charset="0"/>
                              <a:ea typeface="宋体" panose="02010600030101010101" pitchFamily="2" charset="-122"/>
                              <a:cs typeface="+mn-cs"/>
                            </a:defRPr>
                          </a:lvl9pPr>
                        </a:lstStyle>
                        <a:p>
                          <a:pPr algn="ctr" defTabSz="914400">
                            <a:lnSpc>
                              <a:spcPct val="120000"/>
                            </a:lnSpc>
                            <a:buSzTx/>
                            <a:buFontTx/>
                            <a:buNone/>
                          </a:pPr>
                          <a:endParaRPr lang="zh-CN" altLang="en-US" sz="1800" dirty="0">
                            <a:solidFill>
                              <a:srgbClr val="FF0000"/>
                            </a:solidFill>
                            <a:latin typeface="黑体" panose="02010609060101010101" pitchFamily="49" charset="-122"/>
                            <a:ea typeface="黑体" panose="02010609060101010101" pitchFamily="49" charset="-122"/>
                          </a:endParaRPr>
                        </a:p>
                      </a:txBody>
                      <a:useSpRect/>
                    </a:txSp>
                  </a:sp>
                  <a:sp>
                    <a:nvSpPr>
                      <a:cNvPr id="19" name="圆角矩形标注 18"/>
                      <a:cNvSpPr/>
                    </a:nvSpPr>
                    <a:spPr bwMode="auto">
                      <a:xfrm>
                        <a:off x="4450357" y="5097940"/>
                        <a:ext cx="3672408" cy="1378281"/>
                      </a:xfrm>
                      <a:prstGeom prst="wedgeRoundRectCallout">
                        <a:avLst>
                          <a:gd name="adj1" fmla="val -16105"/>
                          <a:gd name="adj2" fmla="val -65758"/>
                          <a:gd name="adj3" fmla="val 16667"/>
                        </a:avLst>
                      </a:prstGeom>
                      <a:solidFill>
                        <a:srgbClr val="FFFF00"/>
                      </a:solidFill>
                    </a:spPr>
                    <a:txSp>
                      <a:txBody>
                        <a:bodyPr anchor="ctr"/>
                        <a:lstStyle>
                          <a:defPPr>
                            <a:defRPr lang="en-US"/>
                          </a:defPPr>
                          <a:lvl1pPr algn="l" rtl="0" fontAlgn="base">
                            <a:spcBef>
                              <a:spcPct val="0"/>
                            </a:spcBef>
                            <a:spcAft>
                              <a:spcPct val="0"/>
                            </a:spcAft>
                            <a:defRPr kern="1200">
                              <a:solidFill>
                                <a:schemeClr val="lt1"/>
                              </a:solidFill>
                              <a:latin typeface="+mn-lt"/>
                              <a:ea typeface="+mn-ea"/>
                              <a:cs typeface="+mn-cs"/>
                            </a:defRPr>
                          </a:lvl1pPr>
                          <a:lvl2pPr marL="457200" algn="l" rtl="0" fontAlgn="base">
                            <a:spcBef>
                              <a:spcPct val="0"/>
                            </a:spcBef>
                            <a:spcAft>
                              <a:spcPct val="0"/>
                            </a:spcAft>
                            <a:defRPr kern="1200">
                              <a:solidFill>
                                <a:schemeClr val="lt1"/>
                              </a:solidFill>
                              <a:latin typeface="+mn-lt"/>
                              <a:ea typeface="+mn-ea"/>
                              <a:cs typeface="+mn-cs"/>
                            </a:defRPr>
                          </a:lvl2pPr>
                          <a:lvl3pPr marL="914400" algn="l" rtl="0" fontAlgn="base">
                            <a:spcBef>
                              <a:spcPct val="0"/>
                            </a:spcBef>
                            <a:spcAft>
                              <a:spcPct val="0"/>
                            </a:spcAft>
                            <a:defRPr kern="1200">
                              <a:solidFill>
                                <a:schemeClr val="lt1"/>
                              </a:solidFill>
                              <a:latin typeface="+mn-lt"/>
                              <a:ea typeface="+mn-ea"/>
                              <a:cs typeface="+mn-cs"/>
                            </a:defRPr>
                          </a:lvl3pPr>
                          <a:lvl4pPr marL="1371600" algn="l" rtl="0" fontAlgn="base">
                            <a:spcBef>
                              <a:spcPct val="0"/>
                            </a:spcBef>
                            <a:spcAft>
                              <a:spcPct val="0"/>
                            </a:spcAft>
                            <a:defRPr kern="1200">
                              <a:solidFill>
                                <a:schemeClr val="lt1"/>
                              </a:solidFill>
                              <a:latin typeface="+mn-lt"/>
                              <a:ea typeface="+mn-ea"/>
                              <a:cs typeface="+mn-cs"/>
                            </a:defRPr>
                          </a:lvl4pPr>
                          <a:lvl5pPr marL="1828800" algn="l" rtl="0" fontAlgn="base">
                            <a:spcBef>
                              <a:spcPct val="0"/>
                            </a:spcBef>
                            <a:spcAft>
                              <a:spcPct val="0"/>
                            </a:spcAft>
                            <a:defRPr kern="1200">
                              <a:solidFill>
                                <a:schemeClr val="lt1"/>
                              </a:solidFill>
                              <a:latin typeface="+mn-lt"/>
                              <a:ea typeface="+mn-ea"/>
                              <a:cs typeface="+mn-cs"/>
                            </a:defRPr>
                          </a:lvl5pPr>
                          <a:lvl6pPr marL="2286000" algn="l" defTabSz="914400" rtl="0" eaLnBrk="1" latinLnBrk="0" hangingPunct="1">
                            <a:defRPr kern="1200">
                              <a:solidFill>
                                <a:schemeClr val="lt1"/>
                              </a:solidFill>
                              <a:latin typeface="+mn-lt"/>
                              <a:ea typeface="+mn-ea"/>
                              <a:cs typeface="+mn-cs"/>
                            </a:defRPr>
                          </a:lvl6pPr>
                          <a:lvl7pPr marL="2743200" algn="l" defTabSz="914400" rtl="0" eaLnBrk="1" latinLnBrk="0" hangingPunct="1">
                            <a:defRPr kern="1200">
                              <a:solidFill>
                                <a:schemeClr val="lt1"/>
                              </a:solidFill>
                              <a:latin typeface="+mn-lt"/>
                              <a:ea typeface="+mn-ea"/>
                              <a:cs typeface="+mn-cs"/>
                            </a:defRPr>
                          </a:lvl7pPr>
                          <a:lvl8pPr marL="3200400" algn="l" defTabSz="914400" rtl="0" eaLnBrk="1" latinLnBrk="0" hangingPunct="1">
                            <a:defRPr kern="1200">
                              <a:solidFill>
                                <a:schemeClr val="lt1"/>
                              </a:solidFill>
                              <a:latin typeface="+mn-lt"/>
                              <a:ea typeface="+mn-ea"/>
                              <a:cs typeface="+mn-cs"/>
                            </a:defRPr>
                          </a:lvl8pPr>
                          <a:lvl9pPr marL="3657600" algn="l" defTabSz="914400" rtl="0" eaLnBrk="1" latinLnBrk="0" hangingPunct="1">
                            <a:defRPr kern="1200">
                              <a:solidFill>
                                <a:schemeClr val="lt1"/>
                              </a:solidFill>
                              <a:latin typeface="+mn-lt"/>
                              <a:ea typeface="+mn-ea"/>
                              <a:cs typeface="+mn-cs"/>
                            </a:defRPr>
                          </a:lvl9pPr>
                        </a:lstStyle>
                        <a:p>
                          <a:pPr>
                            <a:lnSpc>
                              <a:spcPct val="120000"/>
                            </a:lnSpc>
                            <a:defRPr/>
                          </a:pPr>
                          <a:r>
                            <a:rPr lang="zh-CN" altLang="en-US" dirty="0" smtClean="0">
                              <a:solidFill>
                                <a:schemeClr val="tx1"/>
                              </a:solidFill>
                              <a:latin typeface="黑体" panose="02010609060101010101" pitchFamily="49" charset="-122"/>
                              <a:ea typeface="黑体" panose="02010609060101010101" pitchFamily="49" charset="-122"/>
                            </a:rPr>
                            <a:t>简易注销信息</a:t>
                          </a:r>
                          <a:r>
                            <a:rPr lang="zh-CN" altLang="en-US" dirty="0">
                              <a:solidFill>
                                <a:schemeClr val="tx1"/>
                              </a:solidFill>
                              <a:latin typeface="黑体" panose="02010609060101010101" pitchFamily="49" charset="-122"/>
                              <a:ea typeface="黑体" panose="02010609060101010101" pitchFamily="49" charset="-122"/>
                            </a:rPr>
                            <a:t>填报</a:t>
                          </a:r>
                          <a:r>
                            <a:rPr lang="zh-CN" altLang="en-US" dirty="0" smtClean="0">
                              <a:solidFill>
                                <a:schemeClr val="tx1"/>
                              </a:solidFill>
                              <a:latin typeface="黑体" panose="02010609060101010101" pitchFamily="49" charset="-122"/>
                              <a:ea typeface="黑体" panose="02010609060101010101" pitchFamily="49" charset="-122"/>
                            </a:rPr>
                            <a:t>完成后，点击</a:t>
                          </a:r>
                          <a:r>
                            <a:rPr lang="en-US" altLang="zh-CN" dirty="0" smtClean="0">
                              <a:solidFill>
                                <a:schemeClr val="tx1"/>
                              </a:solidFill>
                              <a:latin typeface="黑体" panose="02010609060101010101" pitchFamily="49" charset="-122"/>
                              <a:ea typeface="黑体" panose="02010609060101010101" pitchFamily="49" charset="-122"/>
                            </a:rPr>
                            <a:t>【</a:t>
                          </a:r>
                          <a:r>
                            <a:rPr lang="zh-CN" altLang="en-US" dirty="0" smtClean="0">
                              <a:solidFill>
                                <a:schemeClr val="tx1"/>
                              </a:solidFill>
                              <a:latin typeface="黑体" panose="02010609060101010101" pitchFamily="49" charset="-122"/>
                              <a:ea typeface="黑体" panose="02010609060101010101" pitchFamily="49" charset="-122"/>
                            </a:rPr>
                            <a:t>保存并公示</a:t>
                          </a:r>
                          <a:r>
                            <a:rPr lang="en-US" altLang="zh-CN" dirty="0" smtClean="0">
                              <a:solidFill>
                                <a:schemeClr val="tx1"/>
                              </a:solidFill>
                              <a:latin typeface="黑体" panose="02010609060101010101" pitchFamily="49" charset="-122"/>
                              <a:ea typeface="黑体" panose="02010609060101010101" pitchFamily="49" charset="-122"/>
                            </a:rPr>
                            <a:t>】</a:t>
                          </a:r>
                          <a:r>
                            <a:rPr lang="zh-CN" altLang="en-US" dirty="0" smtClean="0">
                              <a:solidFill>
                                <a:schemeClr val="tx1"/>
                              </a:solidFill>
                              <a:latin typeface="黑体" panose="02010609060101010101" pitchFamily="49" charset="-122"/>
                              <a:ea typeface="黑体" panose="02010609060101010101" pitchFamily="49" charset="-122"/>
                            </a:rPr>
                            <a:t>，</a:t>
                          </a:r>
                          <a:r>
                            <a:rPr lang="zh-CN" altLang="en-US" dirty="0">
                              <a:solidFill>
                                <a:schemeClr val="tx1"/>
                              </a:solidFill>
                              <a:latin typeface="黑体" panose="02010609060101010101" pitchFamily="49" charset="-122"/>
                              <a:ea typeface="黑体" panose="02010609060101010101" pitchFamily="49" charset="-122"/>
                            </a:rPr>
                            <a:t>公告</a:t>
                          </a:r>
                          <a:r>
                            <a:rPr lang="zh-CN" altLang="en-US" dirty="0" smtClean="0">
                              <a:solidFill>
                                <a:schemeClr val="tx1"/>
                              </a:solidFill>
                              <a:latin typeface="黑体" panose="02010609060101010101" pitchFamily="49" charset="-122"/>
                              <a:ea typeface="黑体" panose="02010609060101010101" pitchFamily="49" charset="-122"/>
                            </a:rPr>
                            <a:t>信息将</a:t>
                          </a:r>
                          <a:r>
                            <a:rPr lang="zh-CN" altLang="en-US" dirty="0">
                              <a:solidFill>
                                <a:schemeClr val="tx1"/>
                              </a:solidFill>
                              <a:latin typeface="黑体" panose="02010609060101010101" pitchFamily="49" charset="-122"/>
                              <a:ea typeface="黑体" panose="02010609060101010101" pitchFamily="49" charset="-122"/>
                            </a:rPr>
                            <a:t>公示到相应企业的名下</a:t>
                          </a:r>
                          <a:r>
                            <a:rPr lang="zh-CN" altLang="en-US" dirty="0" smtClean="0">
                              <a:solidFill>
                                <a:schemeClr val="tx1"/>
                              </a:solidFill>
                              <a:latin typeface="黑体" panose="02010609060101010101" pitchFamily="49" charset="-122"/>
                              <a:ea typeface="黑体" panose="02010609060101010101" pitchFamily="49" charset="-122"/>
                            </a:rPr>
                            <a:t>，并交换</a:t>
                          </a:r>
                          <a:r>
                            <a:rPr lang="zh-CN" altLang="en-US" dirty="0">
                              <a:solidFill>
                                <a:schemeClr val="tx1"/>
                              </a:solidFill>
                              <a:latin typeface="黑体" panose="02010609060101010101" pitchFamily="49" charset="-122"/>
                              <a:ea typeface="黑体" panose="02010609060101010101" pitchFamily="49" charset="-122"/>
                            </a:rPr>
                            <a:t>到内网一体化</a:t>
                          </a:r>
                          <a:r>
                            <a:rPr lang="zh-CN" altLang="en-US" dirty="0" smtClean="0">
                              <a:solidFill>
                                <a:schemeClr val="tx1"/>
                              </a:solidFill>
                              <a:latin typeface="黑体" panose="02010609060101010101" pitchFamily="49" charset="-122"/>
                              <a:ea typeface="黑体" panose="02010609060101010101" pitchFamily="49" charset="-122"/>
                            </a:rPr>
                            <a:t>登记业务系统。</a:t>
                          </a:r>
                          <a:endParaRPr lang="zh-CN" altLang="en-US" dirty="0">
                            <a:solidFill>
                              <a:schemeClr val="tx1"/>
                            </a:solidFill>
                            <a:latin typeface="黑体" panose="02010609060101010101" pitchFamily="49" charset="-122"/>
                            <a:ea typeface="黑体" panose="02010609060101010101" pitchFamily="49" charset="-122"/>
                          </a:endParaRPr>
                        </a:p>
                      </a:txBody>
                      <a:useSpRect/>
                    </a:txSp>
                    <a:style>
                      <a:lnRef idx="3">
                        <a:schemeClr val="lt1"/>
                      </a:lnRef>
                      <a:fillRef idx="1">
                        <a:schemeClr val="accent3"/>
                      </a:fillRef>
                      <a:effectRef idx="1">
                        <a:schemeClr val="accent3"/>
                      </a:effectRef>
                      <a:fontRef idx="minor">
                        <a:schemeClr val="lt1"/>
                      </a:fontRef>
                    </a:style>
                  </a:sp>
                </lc:lockedCanvas>
              </a:graphicData>
            </a:graphic>
          </wp:inline>
        </w:drawing>
      </w:r>
    </w:p>
    <w:p w:rsidR="00D63931" w:rsidRDefault="00D63931" w:rsidP="00AE539D">
      <w:r>
        <w:rPr>
          <w:rFonts w:hint="eastAsia"/>
        </w:rPr>
        <w:t>（</w:t>
      </w:r>
      <w:r w:rsidR="0097446F">
        <w:rPr>
          <w:rFonts w:hint="eastAsia"/>
        </w:rPr>
        <w:t>4</w:t>
      </w:r>
      <w:r>
        <w:rPr>
          <w:rFonts w:hint="eastAsia"/>
        </w:rPr>
        <w:t>）</w:t>
      </w:r>
      <w:r w:rsidR="0097446F">
        <w:rPr>
          <w:rFonts w:hint="eastAsia"/>
        </w:rPr>
        <w:t>保存并公示成功后会弹出提示，点击“确认”后，整个申报流程完毕。</w:t>
      </w:r>
    </w:p>
    <w:p w:rsidR="0097446F" w:rsidRDefault="0097446F" w:rsidP="00AE539D">
      <w:r w:rsidRPr="0097446F">
        <w:rPr>
          <w:noProof/>
        </w:rPr>
        <w:drawing>
          <wp:inline distT="0" distB="0" distL="0" distR="0">
            <wp:extent cx="5218375" cy="2339009"/>
            <wp:effectExtent l="19050" t="0" r="1325" b="0"/>
            <wp:docPr id="12" name="对象 12"/>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8640000" cy="4857628"/>
                      <a:chOff x="218577" y="1885767"/>
                      <a:chExt cx="8640000" cy="4857628"/>
                    </a:xfrm>
                  </a:grpSpPr>
                  <a:pic>
                    <a:nvPicPr>
                      <a:cNvPr id="10" name="图片 9"/>
                      <a:cNvPicPr>
                        <a:picLocks noChangeAspect="1"/>
                      </a:cNvPicPr>
                    </a:nvPicPr>
                    <a:blipFill>
                      <a:blip r:embed="rId11"/>
                      <a:stretch>
                        <a:fillRect/>
                      </a:stretch>
                    </a:blipFill>
                    <a:spPr>
                      <a:xfrm>
                        <a:off x="218577" y="1885767"/>
                        <a:ext cx="8640000" cy="4857628"/>
                      </a:xfrm>
                      <a:prstGeom prst="rect">
                        <a:avLst/>
                      </a:prstGeom>
                      <a:ln>
                        <a:solidFill>
                          <a:srgbClr val="FF0000"/>
                        </a:solidFill>
                      </a:ln>
                    </a:spPr>
                  </a:pic>
                  <a:sp>
                    <a:nvSpPr>
                      <a:cNvPr id="28" name="矩形 27"/>
                      <a:cNvSpPr/>
                    </a:nvSpPr>
                    <a:spPr bwMode="auto">
                      <a:xfrm>
                        <a:off x="5129575" y="4576987"/>
                        <a:ext cx="882585" cy="269641"/>
                      </a:xfrm>
                      <a:prstGeom prst="rect">
                        <a:avLst/>
                      </a:prstGeom>
                      <a:noFill/>
                      <a:ln w="28575">
                        <a:solidFill>
                          <a:srgbClr val="FF0000"/>
                        </a:solidFill>
                      </a:ln>
                    </a:spPr>
                    <a:txSp>
                      <a:txBody>
                        <a:bodyPr rtlCol="0" anchor="ctr">
                          <a:noAutofit/>
                        </a:bodyPr>
                        <a:lstStyle>
                          <a:defPPr>
                            <a:defRPr lang="en-US"/>
                          </a:defPPr>
                          <a:lvl1pPr algn="l" rtl="0" fontAlgn="base">
                            <a:spcBef>
                              <a:spcPct val="0"/>
                            </a:spcBef>
                            <a:spcAft>
                              <a:spcPct val="0"/>
                            </a:spcAft>
                            <a:defRPr kern="1200">
                              <a:solidFill>
                                <a:schemeClr val="tx1"/>
                              </a:solidFill>
                              <a:latin typeface="Arial" panose="020B0604020202020204" pitchFamily="34" charset="0"/>
                              <a:ea typeface="宋体" panose="02010600030101010101" pitchFamily="2" charset="-122"/>
                              <a:cs typeface="+mn-cs"/>
                            </a:defRPr>
                          </a:lvl1pPr>
                          <a:lvl2pPr marL="457200" algn="l" rtl="0" fontAlgn="base">
                            <a:spcBef>
                              <a:spcPct val="0"/>
                            </a:spcBef>
                            <a:spcAft>
                              <a:spcPct val="0"/>
                            </a:spcAft>
                            <a:defRPr kern="1200">
                              <a:solidFill>
                                <a:schemeClr val="tx1"/>
                              </a:solidFill>
                              <a:latin typeface="Arial" panose="020B0604020202020204" pitchFamily="34" charset="0"/>
                              <a:ea typeface="宋体" panose="02010600030101010101" pitchFamily="2" charset="-122"/>
                              <a:cs typeface="+mn-cs"/>
                            </a:defRPr>
                          </a:lvl2pPr>
                          <a:lvl3pPr marL="914400" algn="l" rtl="0" fontAlgn="base">
                            <a:spcBef>
                              <a:spcPct val="0"/>
                            </a:spcBef>
                            <a:spcAft>
                              <a:spcPct val="0"/>
                            </a:spcAft>
                            <a:defRPr kern="1200">
                              <a:solidFill>
                                <a:schemeClr val="tx1"/>
                              </a:solidFill>
                              <a:latin typeface="Arial" panose="020B0604020202020204" pitchFamily="34" charset="0"/>
                              <a:ea typeface="宋体" panose="02010600030101010101" pitchFamily="2" charset="-122"/>
                              <a:cs typeface="+mn-cs"/>
                            </a:defRPr>
                          </a:lvl3pPr>
                          <a:lvl4pPr marL="1371600" algn="l" rtl="0" fontAlgn="base">
                            <a:spcBef>
                              <a:spcPct val="0"/>
                            </a:spcBef>
                            <a:spcAft>
                              <a:spcPct val="0"/>
                            </a:spcAft>
                            <a:defRPr kern="1200">
                              <a:solidFill>
                                <a:schemeClr val="tx1"/>
                              </a:solidFill>
                              <a:latin typeface="Arial" panose="020B0604020202020204" pitchFamily="34" charset="0"/>
                              <a:ea typeface="宋体" panose="02010600030101010101" pitchFamily="2" charset="-122"/>
                              <a:cs typeface="+mn-cs"/>
                            </a:defRPr>
                          </a:lvl4pPr>
                          <a:lvl5pPr marL="1828800" algn="l" rtl="0" fontAlgn="base">
                            <a:spcBef>
                              <a:spcPct val="0"/>
                            </a:spcBef>
                            <a:spcAft>
                              <a:spcPct val="0"/>
                            </a:spcAft>
                            <a:defRPr kern="1200">
                              <a:solidFill>
                                <a:schemeClr val="tx1"/>
                              </a:solidFill>
                              <a:latin typeface="Arial" panose="020B0604020202020204" pitchFamily="34" charset="0"/>
                              <a:ea typeface="宋体" panose="02010600030101010101" pitchFamily="2" charset="-122"/>
                              <a:cs typeface="+mn-cs"/>
                            </a:defRPr>
                          </a:lvl5pPr>
                          <a:lvl6pPr marL="2286000" algn="l" defTabSz="914400" rtl="0" eaLnBrk="1" latinLnBrk="0" hangingPunct="1">
                            <a:defRPr kern="1200">
                              <a:solidFill>
                                <a:schemeClr val="tx1"/>
                              </a:solidFill>
                              <a:latin typeface="Arial" panose="020B0604020202020204" pitchFamily="34" charset="0"/>
                              <a:ea typeface="宋体" panose="02010600030101010101" pitchFamily="2" charset="-122"/>
                              <a:cs typeface="+mn-cs"/>
                            </a:defRPr>
                          </a:lvl6pPr>
                          <a:lvl7pPr marL="2743200" algn="l" defTabSz="914400" rtl="0" eaLnBrk="1" latinLnBrk="0" hangingPunct="1">
                            <a:defRPr kern="1200">
                              <a:solidFill>
                                <a:schemeClr val="tx1"/>
                              </a:solidFill>
                              <a:latin typeface="Arial" panose="020B0604020202020204" pitchFamily="34" charset="0"/>
                              <a:ea typeface="宋体" panose="02010600030101010101" pitchFamily="2" charset="-122"/>
                              <a:cs typeface="+mn-cs"/>
                            </a:defRPr>
                          </a:lvl7pPr>
                          <a:lvl8pPr marL="3200400" algn="l" defTabSz="914400" rtl="0" eaLnBrk="1" latinLnBrk="0" hangingPunct="1">
                            <a:defRPr kern="1200">
                              <a:solidFill>
                                <a:schemeClr val="tx1"/>
                              </a:solidFill>
                              <a:latin typeface="Arial" panose="020B0604020202020204" pitchFamily="34" charset="0"/>
                              <a:ea typeface="宋体" panose="02010600030101010101" pitchFamily="2" charset="-122"/>
                              <a:cs typeface="+mn-cs"/>
                            </a:defRPr>
                          </a:lvl8pPr>
                          <a:lvl9pPr marL="3657600" algn="l" defTabSz="914400" rtl="0" eaLnBrk="1" latinLnBrk="0" hangingPunct="1">
                            <a:defRPr kern="1200">
                              <a:solidFill>
                                <a:schemeClr val="tx1"/>
                              </a:solidFill>
                              <a:latin typeface="Arial" panose="020B0604020202020204" pitchFamily="34" charset="0"/>
                              <a:ea typeface="宋体" panose="02010600030101010101" pitchFamily="2" charset="-122"/>
                              <a:cs typeface="+mn-cs"/>
                            </a:defRPr>
                          </a:lvl9pPr>
                        </a:lstStyle>
                        <a:p>
                          <a:pPr algn="ctr" defTabSz="914400">
                            <a:lnSpc>
                              <a:spcPct val="120000"/>
                            </a:lnSpc>
                            <a:buSzTx/>
                            <a:buFontTx/>
                            <a:buNone/>
                          </a:pPr>
                          <a:endParaRPr lang="zh-CN" altLang="en-US" sz="1800" dirty="0">
                            <a:solidFill>
                              <a:srgbClr val="FF0000"/>
                            </a:solidFill>
                            <a:latin typeface="黑体" panose="02010609060101010101" pitchFamily="49" charset="-122"/>
                            <a:ea typeface="黑体" panose="02010609060101010101" pitchFamily="49" charset="-122"/>
                          </a:endParaRPr>
                        </a:p>
                      </a:txBody>
                      <a:useSpRect/>
                    </a:txSp>
                  </a:sp>
                  <a:pic>
                    <a:nvPicPr>
                      <a:cNvPr id="12" name="图片 11"/>
                      <a:cNvPicPr>
                        <a:picLocks noChangeAspect="1"/>
                      </a:cNvPicPr>
                    </a:nvPicPr>
                    <a:blipFill>
                      <a:blip r:embed="rId13">
                        <a:extLst>
                          <a:ext uri="{28A0092B-C50C-407E-A947-70E740481C1C}">
                            <a14:useLocalDpi xmlns:o="urn:schemas-microsoft-com:office:office" xmlns:v="urn:schemas-microsoft-com:vml" xmlns:w10="urn:schemas-microsoft-com:office:word" xmlns:w="http://schemas.openxmlformats.org/wordprocessingml/2006/main" xmlns="" xmlns:p="http://schemas.openxmlformats.org/presentationml/2006/main" xmlns:a14="http://schemas.microsoft.com/office/drawing/2010/main" val="0"/>
                          </a:ext>
                        </a:extLst>
                      </a:blip>
                      <a:stretch>
                        <a:fillRect/>
                      </a:stretch>
                    </a:blipFill>
                    <a:spPr>
                      <a:xfrm>
                        <a:off x="2030670" y="2729558"/>
                        <a:ext cx="5501982" cy="1753652"/>
                      </a:xfrm>
                      <a:prstGeom prst="rect">
                        <a:avLst/>
                      </a:prstGeom>
                      <a:ln>
                        <a:solidFill>
                          <a:srgbClr val="00DE64"/>
                        </a:solidFill>
                      </a:ln>
                    </a:spPr>
                  </a:pic>
                </lc:lockedCanvas>
              </a:graphicData>
            </a:graphic>
          </wp:inline>
        </w:drawing>
      </w:r>
    </w:p>
    <w:p w:rsidR="007E342E" w:rsidRDefault="007E342E" w:rsidP="00AE539D"/>
    <w:p w:rsidR="00704018" w:rsidRDefault="00704018" w:rsidP="007E342E">
      <w:pPr>
        <w:rPr>
          <w:rFonts w:ascii="Calibri" w:eastAsia="宋体" w:hAnsi="Calibri" w:cs="Times New Roman"/>
          <w:b/>
        </w:rPr>
      </w:pPr>
      <w:r>
        <w:rPr>
          <w:rFonts w:ascii="Calibri" w:eastAsia="宋体" w:hAnsi="Calibri" w:cs="Times New Roman" w:hint="eastAsia"/>
          <w:b/>
        </w:rPr>
        <w:t>1</w:t>
      </w:r>
      <w:r w:rsidR="001F5B5C">
        <w:rPr>
          <w:rFonts w:ascii="Calibri" w:eastAsia="宋体" w:hAnsi="Calibri" w:cs="Times New Roman" w:hint="eastAsia"/>
          <w:b/>
        </w:rPr>
        <w:t>6</w:t>
      </w:r>
      <w:r>
        <w:rPr>
          <w:rFonts w:ascii="Calibri" w:eastAsia="宋体" w:hAnsi="Calibri" w:cs="Times New Roman" w:hint="eastAsia"/>
          <w:b/>
        </w:rPr>
        <w:t>、如何查看企业的简易注销公告？</w:t>
      </w:r>
    </w:p>
    <w:p w:rsidR="00704018" w:rsidRDefault="00704018" w:rsidP="007E342E">
      <w:pPr>
        <w:rPr>
          <w:rFonts w:ascii="Calibri" w:eastAsia="宋体" w:hAnsi="Calibri" w:cs="Times New Roman"/>
        </w:rPr>
      </w:pPr>
      <w:r w:rsidRPr="00704018">
        <w:rPr>
          <w:rFonts w:ascii="Calibri" w:eastAsia="宋体" w:hAnsi="Calibri" w:cs="Times New Roman" w:hint="eastAsia"/>
        </w:rPr>
        <w:t>答：</w:t>
      </w:r>
      <w:r>
        <w:rPr>
          <w:rFonts w:ascii="Calibri" w:eastAsia="宋体" w:hAnsi="Calibri" w:cs="Times New Roman" w:hint="eastAsia"/>
        </w:rPr>
        <w:t>社会公众可进入</w:t>
      </w:r>
      <w:r w:rsidRPr="00F626AD">
        <w:rPr>
          <w:rFonts w:ascii="Calibri" w:eastAsia="宋体" w:hAnsi="Calibri" w:cs="Times New Roman" w:hint="eastAsia"/>
        </w:rPr>
        <w:t>国家企业信用信息公示系统（云</w:t>
      </w:r>
      <w:r>
        <w:rPr>
          <w:rFonts w:ascii="Calibri" w:eastAsia="宋体" w:hAnsi="Calibri" w:cs="Times New Roman" w:hint="eastAsia"/>
        </w:rPr>
        <w:t>南），输入企业名称或</w:t>
      </w:r>
      <w:r w:rsidRPr="00704018">
        <w:rPr>
          <w:rFonts w:ascii="Calibri" w:eastAsia="宋体" w:hAnsi="Calibri" w:cs="Times New Roman" w:hint="eastAsia"/>
        </w:rPr>
        <w:t>企业统一社会信用代码，进入企业详情页面查看企业简易注销公告</w:t>
      </w:r>
      <w:r>
        <w:rPr>
          <w:rFonts w:ascii="Calibri" w:eastAsia="宋体" w:hAnsi="Calibri" w:cs="Times New Roman" w:hint="eastAsia"/>
        </w:rPr>
        <w:t>。操作如下：</w:t>
      </w:r>
    </w:p>
    <w:p w:rsidR="00704018" w:rsidRDefault="00704018" w:rsidP="007E342E">
      <w:pPr>
        <w:rPr>
          <w:rFonts w:ascii="Calibri" w:eastAsia="宋体" w:hAnsi="Calibri" w:cs="Times New Roman"/>
        </w:rPr>
      </w:pPr>
      <w:r>
        <w:rPr>
          <w:rFonts w:ascii="Calibri" w:eastAsia="宋体" w:hAnsi="Calibri" w:cs="Times New Roman" w:hint="eastAsia"/>
        </w:rPr>
        <w:t>（</w:t>
      </w:r>
      <w:r>
        <w:rPr>
          <w:rFonts w:ascii="Calibri" w:eastAsia="宋体" w:hAnsi="Calibri" w:cs="Times New Roman" w:hint="eastAsia"/>
        </w:rPr>
        <w:t>1</w:t>
      </w:r>
      <w:r>
        <w:rPr>
          <w:rFonts w:ascii="Calibri" w:eastAsia="宋体" w:hAnsi="Calibri" w:cs="Times New Roman" w:hint="eastAsia"/>
        </w:rPr>
        <w:t>）打开</w:t>
      </w:r>
      <w:r w:rsidRPr="00F626AD">
        <w:rPr>
          <w:rFonts w:ascii="Calibri" w:eastAsia="宋体" w:hAnsi="Calibri" w:cs="Times New Roman" w:hint="eastAsia"/>
        </w:rPr>
        <w:t>国家企业信用信息公示系统（云</w:t>
      </w:r>
      <w:r>
        <w:rPr>
          <w:rFonts w:ascii="Calibri" w:eastAsia="宋体" w:hAnsi="Calibri" w:cs="Times New Roman" w:hint="eastAsia"/>
        </w:rPr>
        <w:t>南）平台，输入企业名称或</w:t>
      </w:r>
      <w:r w:rsidRPr="00704018">
        <w:rPr>
          <w:rFonts w:ascii="Calibri" w:eastAsia="宋体" w:hAnsi="Calibri" w:cs="Times New Roman" w:hint="eastAsia"/>
        </w:rPr>
        <w:t>企业统一社会信用代码</w:t>
      </w:r>
      <w:r>
        <w:rPr>
          <w:rFonts w:ascii="Calibri" w:eastAsia="宋体" w:hAnsi="Calibri" w:cs="Times New Roman" w:hint="eastAsia"/>
        </w:rPr>
        <w:t>，点击“查询”按钮</w:t>
      </w:r>
      <w:r w:rsidR="001F5B5C">
        <w:rPr>
          <w:rFonts w:ascii="Calibri" w:eastAsia="宋体" w:hAnsi="Calibri" w:cs="Times New Roman" w:hint="eastAsia"/>
        </w:rPr>
        <w:t>。</w:t>
      </w:r>
    </w:p>
    <w:p w:rsidR="00704018" w:rsidRDefault="00704018" w:rsidP="007E342E">
      <w:pPr>
        <w:rPr>
          <w:rFonts w:ascii="Calibri" w:eastAsia="宋体" w:hAnsi="Calibri" w:cs="Times New Roman"/>
        </w:rPr>
      </w:pPr>
      <w:r w:rsidRPr="00704018">
        <w:rPr>
          <w:rFonts w:ascii="Calibri" w:eastAsia="宋体" w:hAnsi="Calibri" w:cs="Times New Roman"/>
          <w:noProof/>
        </w:rPr>
        <w:drawing>
          <wp:inline distT="0" distB="0" distL="0" distR="0">
            <wp:extent cx="5271384" cy="2239617"/>
            <wp:effectExtent l="19050" t="0" r="5466" b="0"/>
            <wp:docPr id="3" name="对象 1"/>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7920000" cy="4452826"/>
                      <a:chOff x="467544" y="2276872"/>
                      <a:chExt cx="7920000" cy="4452826"/>
                    </a:xfrm>
                  </a:grpSpPr>
                  <a:pic>
                    <a:nvPicPr>
                      <a:cNvPr id="17" name="图片 16"/>
                      <a:cNvPicPr>
                        <a:picLocks noChangeAspect="1"/>
                      </a:cNvPicPr>
                    </a:nvPicPr>
                    <a:blipFill>
                      <a:blip r:embed="rId14"/>
                      <a:stretch>
                        <a:fillRect/>
                      </a:stretch>
                    </a:blipFill>
                    <a:spPr>
                      <a:xfrm>
                        <a:off x="467544" y="2276872"/>
                        <a:ext cx="7920000" cy="4452826"/>
                      </a:xfrm>
                      <a:prstGeom prst="rect">
                        <a:avLst/>
                      </a:prstGeom>
                      <a:ln>
                        <a:solidFill>
                          <a:srgbClr val="FF0000"/>
                        </a:solidFill>
                      </a:ln>
                    </a:spPr>
                  </a:pic>
                  <a:sp>
                    <a:nvSpPr>
                      <a:cNvPr id="18" name="圆角矩形标注 17"/>
                      <a:cNvSpPr/>
                    </a:nvSpPr>
                    <a:spPr bwMode="auto">
                      <a:xfrm>
                        <a:off x="5171248" y="3134684"/>
                        <a:ext cx="2352600" cy="726363"/>
                      </a:xfrm>
                      <a:prstGeom prst="wedgeRoundRectCallout">
                        <a:avLst>
                          <a:gd name="adj1" fmla="val -28708"/>
                          <a:gd name="adj2" fmla="val 76745"/>
                          <a:gd name="adj3" fmla="val 16667"/>
                        </a:avLst>
                      </a:prstGeom>
                      <a:solidFill>
                        <a:srgbClr val="FFFF00"/>
                      </a:solidFill>
                    </a:spPr>
                    <a:txSp>
                      <a:txBody>
                        <a:bodyPr anchor="ctr"/>
                        <a:lstStyle>
                          <a:defPPr>
                            <a:defRPr lang="en-US"/>
                          </a:defPPr>
                          <a:lvl1pPr algn="l" rtl="0" fontAlgn="base">
                            <a:spcBef>
                              <a:spcPct val="0"/>
                            </a:spcBef>
                            <a:spcAft>
                              <a:spcPct val="0"/>
                            </a:spcAft>
                            <a:defRPr kern="1200">
                              <a:solidFill>
                                <a:schemeClr val="lt1"/>
                              </a:solidFill>
                              <a:latin typeface="+mn-lt"/>
                              <a:ea typeface="+mn-ea"/>
                              <a:cs typeface="+mn-cs"/>
                            </a:defRPr>
                          </a:lvl1pPr>
                          <a:lvl2pPr marL="457200" algn="l" rtl="0" fontAlgn="base">
                            <a:spcBef>
                              <a:spcPct val="0"/>
                            </a:spcBef>
                            <a:spcAft>
                              <a:spcPct val="0"/>
                            </a:spcAft>
                            <a:defRPr kern="1200">
                              <a:solidFill>
                                <a:schemeClr val="lt1"/>
                              </a:solidFill>
                              <a:latin typeface="+mn-lt"/>
                              <a:ea typeface="+mn-ea"/>
                              <a:cs typeface="+mn-cs"/>
                            </a:defRPr>
                          </a:lvl2pPr>
                          <a:lvl3pPr marL="914400" algn="l" rtl="0" fontAlgn="base">
                            <a:spcBef>
                              <a:spcPct val="0"/>
                            </a:spcBef>
                            <a:spcAft>
                              <a:spcPct val="0"/>
                            </a:spcAft>
                            <a:defRPr kern="1200">
                              <a:solidFill>
                                <a:schemeClr val="lt1"/>
                              </a:solidFill>
                              <a:latin typeface="+mn-lt"/>
                              <a:ea typeface="+mn-ea"/>
                              <a:cs typeface="+mn-cs"/>
                            </a:defRPr>
                          </a:lvl3pPr>
                          <a:lvl4pPr marL="1371600" algn="l" rtl="0" fontAlgn="base">
                            <a:spcBef>
                              <a:spcPct val="0"/>
                            </a:spcBef>
                            <a:spcAft>
                              <a:spcPct val="0"/>
                            </a:spcAft>
                            <a:defRPr kern="1200">
                              <a:solidFill>
                                <a:schemeClr val="lt1"/>
                              </a:solidFill>
                              <a:latin typeface="+mn-lt"/>
                              <a:ea typeface="+mn-ea"/>
                              <a:cs typeface="+mn-cs"/>
                            </a:defRPr>
                          </a:lvl4pPr>
                          <a:lvl5pPr marL="1828800" algn="l" rtl="0" fontAlgn="base">
                            <a:spcBef>
                              <a:spcPct val="0"/>
                            </a:spcBef>
                            <a:spcAft>
                              <a:spcPct val="0"/>
                            </a:spcAft>
                            <a:defRPr kern="1200">
                              <a:solidFill>
                                <a:schemeClr val="lt1"/>
                              </a:solidFill>
                              <a:latin typeface="+mn-lt"/>
                              <a:ea typeface="+mn-ea"/>
                              <a:cs typeface="+mn-cs"/>
                            </a:defRPr>
                          </a:lvl5pPr>
                          <a:lvl6pPr marL="2286000" algn="l" defTabSz="914400" rtl="0" eaLnBrk="1" latinLnBrk="0" hangingPunct="1">
                            <a:defRPr kern="1200">
                              <a:solidFill>
                                <a:schemeClr val="lt1"/>
                              </a:solidFill>
                              <a:latin typeface="+mn-lt"/>
                              <a:ea typeface="+mn-ea"/>
                              <a:cs typeface="+mn-cs"/>
                            </a:defRPr>
                          </a:lvl6pPr>
                          <a:lvl7pPr marL="2743200" algn="l" defTabSz="914400" rtl="0" eaLnBrk="1" latinLnBrk="0" hangingPunct="1">
                            <a:defRPr kern="1200">
                              <a:solidFill>
                                <a:schemeClr val="lt1"/>
                              </a:solidFill>
                              <a:latin typeface="+mn-lt"/>
                              <a:ea typeface="+mn-ea"/>
                              <a:cs typeface="+mn-cs"/>
                            </a:defRPr>
                          </a:lvl7pPr>
                          <a:lvl8pPr marL="3200400" algn="l" defTabSz="914400" rtl="0" eaLnBrk="1" latinLnBrk="0" hangingPunct="1">
                            <a:defRPr kern="1200">
                              <a:solidFill>
                                <a:schemeClr val="lt1"/>
                              </a:solidFill>
                              <a:latin typeface="+mn-lt"/>
                              <a:ea typeface="+mn-ea"/>
                              <a:cs typeface="+mn-cs"/>
                            </a:defRPr>
                          </a:lvl8pPr>
                          <a:lvl9pPr marL="3657600" algn="l" defTabSz="914400" rtl="0" eaLnBrk="1" latinLnBrk="0" hangingPunct="1">
                            <a:defRPr kern="1200">
                              <a:solidFill>
                                <a:schemeClr val="lt1"/>
                              </a:solidFill>
                              <a:latin typeface="+mn-lt"/>
                              <a:ea typeface="+mn-ea"/>
                              <a:cs typeface="+mn-cs"/>
                            </a:defRPr>
                          </a:lvl9pPr>
                        </a:lstStyle>
                        <a:p>
                          <a:r>
                            <a:rPr lang="zh-CN" altLang="en-US" dirty="0" smtClean="0">
                              <a:solidFill>
                                <a:schemeClr val="tx1"/>
                              </a:solidFill>
                              <a:latin typeface="黑体" panose="02010609060101010101" pitchFamily="49" charset="-122"/>
                              <a:ea typeface="黑体" panose="02010609060101010101" pitchFamily="49" charset="-122"/>
                            </a:rPr>
                            <a:t>在公示系统页面输入企业信息查询</a:t>
                          </a:r>
                          <a:endParaRPr lang="zh-CN" altLang="zh-CN" dirty="0">
                            <a:solidFill>
                              <a:schemeClr val="tx1"/>
                            </a:solidFill>
                            <a:latin typeface="黑体" panose="02010609060101010101" pitchFamily="49" charset="-122"/>
                            <a:ea typeface="黑体" panose="02010609060101010101" pitchFamily="49" charset="-122"/>
                          </a:endParaRPr>
                        </a:p>
                      </a:txBody>
                      <a:useSpRect/>
                    </a:txSp>
                    <a:style>
                      <a:lnRef idx="3">
                        <a:schemeClr val="lt1"/>
                      </a:lnRef>
                      <a:fillRef idx="1">
                        <a:schemeClr val="accent3"/>
                      </a:fillRef>
                      <a:effectRef idx="1">
                        <a:schemeClr val="accent3"/>
                      </a:effectRef>
                      <a:fontRef idx="minor">
                        <a:schemeClr val="lt1"/>
                      </a:fontRef>
                    </a:style>
                  </a:sp>
                  <a:sp>
                    <a:nvSpPr>
                      <a:cNvPr id="19" name="矩形 18"/>
                      <a:cNvSpPr/>
                    </a:nvSpPr>
                    <a:spPr bwMode="auto">
                      <a:xfrm>
                        <a:off x="2195256" y="4149080"/>
                        <a:ext cx="4464496" cy="360040"/>
                      </a:xfrm>
                      <a:prstGeom prst="rect">
                        <a:avLst/>
                      </a:prstGeom>
                      <a:noFill/>
                      <a:ln w="28575">
                        <a:solidFill>
                          <a:srgbClr val="FF0000"/>
                        </a:solidFill>
                      </a:ln>
                    </a:spPr>
                    <a:txSp>
                      <a:txBody>
                        <a:bodyPr rtlCol="0" anchor="ctr">
                          <a:noAutofit/>
                        </a:bodyPr>
                        <a:lstStyle>
                          <a:defPPr>
                            <a:defRPr lang="en-US"/>
                          </a:defPPr>
                          <a:lvl1pPr algn="l" rtl="0" fontAlgn="base">
                            <a:spcBef>
                              <a:spcPct val="0"/>
                            </a:spcBef>
                            <a:spcAft>
                              <a:spcPct val="0"/>
                            </a:spcAft>
                            <a:defRPr kern="1200">
                              <a:solidFill>
                                <a:schemeClr val="tx1"/>
                              </a:solidFill>
                              <a:latin typeface="Arial" panose="020B0604020202020204" pitchFamily="34" charset="0"/>
                              <a:ea typeface="宋体" panose="02010600030101010101" pitchFamily="2" charset="-122"/>
                              <a:cs typeface="+mn-cs"/>
                            </a:defRPr>
                          </a:lvl1pPr>
                          <a:lvl2pPr marL="457200" algn="l" rtl="0" fontAlgn="base">
                            <a:spcBef>
                              <a:spcPct val="0"/>
                            </a:spcBef>
                            <a:spcAft>
                              <a:spcPct val="0"/>
                            </a:spcAft>
                            <a:defRPr kern="1200">
                              <a:solidFill>
                                <a:schemeClr val="tx1"/>
                              </a:solidFill>
                              <a:latin typeface="Arial" panose="020B0604020202020204" pitchFamily="34" charset="0"/>
                              <a:ea typeface="宋体" panose="02010600030101010101" pitchFamily="2" charset="-122"/>
                              <a:cs typeface="+mn-cs"/>
                            </a:defRPr>
                          </a:lvl2pPr>
                          <a:lvl3pPr marL="914400" algn="l" rtl="0" fontAlgn="base">
                            <a:spcBef>
                              <a:spcPct val="0"/>
                            </a:spcBef>
                            <a:spcAft>
                              <a:spcPct val="0"/>
                            </a:spcAft>
                            <a:defRPr kern="1200">
                              <a:solidFill>
                                <a:schemeClr val="tx1"/>
                              </a:solidFill>
                              <a:latin typeface="Arial" panose="020B0604020202020204" pitchFamily="34" charset="0"/>
                              <a:ea typeface="宋体" panose="02010600030101010101" pitchFamily="2" charset="-122"/>
                              <a:cs typeface="+mn-cs"/>
                            </a:defRPr>
                          </a:lvl3pPr>
                          <a:lvl4pPr marL="1371600" algn="l" rtl="0" fontAlgn="base">
                            <a:spcBef>
                              <a:spcPct val="0"/>
                            </a:spcBef>
                            <a:spcAft>
                              <a:spcPct val="0"/>
                            </a:spcAft>
                            <a:defRPr kern="1200">
                              <a:solidFill>
                                <a:schemeClr val="tx1"/>
                              </a:solidFill>
                              <a:latin typeface="Arial" panose="020B0604020202020204" pitchFamily="34" charset="0"/>
                              <a:ea typeface="宋体" panose="02010600030101010101" pitchFamily="2" charset="-122"/>
                              <a:cs typeface="+mn-cs"/>
                            </a:defRPr>
                          </a:lvl4pPr>
                          <a:lvl5pPr marL="1828800" algn="l" rtl="0" fontAlgn="base">
                            <a:spcBef>
                              <a:spcPct val="0"/>
                            </a:spcBef>
                            <a:spcAft>
                              <a:spcPct val="0"/>
                            </a:spcAft>
                            <a:defRPr kern="1200">
                              <a:solidFill>
                                <a:schemeClr val="tx1"/>
                              </a:solidFill>
                              <a:latin typeface="Arial" panose="020B0604020202020204" pitchFamily="34" charset="0"/>
                              <a:ea typeface="宋体" panose="02010600030101010101" pitchFamily="2" charset="-122"/>
                              <a:cs typeface="+mn-cs"/>
                            </a:defRPr>
                          </a:lvl5pPr>
                          <a:lvl6pPr marL="2286000" algn="l" defTabSz="914400" rtl="0" eaLnBrk="1" latinLnBrk="0" hangingPunct="1">
                            <a:defRPr kern="1200">
                              <a:solidFill>
                                <a:schemeClr val="tx1"/>
                              </a:solidFill>
                              <a:latin typeface="Arial" panose="020B0604020202020204" pitchFamily="34" charset="0"/>
                              <a:ea typeface="宋体" panose="02010600030101010101" pitchFamily="2" charset="-122"/>
                              <a:cs typeface="+mn-cs"/>
                            </a:defRPr>
                          </a:lvl6pPr>
                          <a:lvl7pPr marL="2743200" algn="l" defTabSz="914400" rtl="0" eaLnBrk="1" latinLnBrk="0" hangingPunct="1">
                            <a:defRPr kern="1200">
                              <a:solidFill>
                                <a:schemeClr val="tx1"/>
                              </a:solidFill>
                              <a:latin typeface="Arial" panose="020B0604020202020204" pitchFamily="34" charset="0"/>
                              <a:ea typeface="宋体" panose="02010600030101010101" pitchFamily="2" charset="-122"/>
                              <a:cs typeface="+mn-cs"/>
                            </a:defRPr>
                          </a:lvl7pPr>
                          <a:lvl8pPr marL="3200400" algn="l" defTabSz="914400" rtl="0" eaLnBrk="1" latinLnBrk="0" hangingPunct="1">
                            <a:defRPr kern="1200">
                              <a:solidFill>
                                <a:schemeClr val="tx1"/>
                              </a:solidFill>
                              <a:latin typeface="Arial" panose="020B0604020202020204" pitchFamily="34" charset="0"/>
                              <a:ea typeface="宋体" panose="02010600030101010101" pitchFamily="2" charset="-122"/>
                              <a:cs typeface="+mn-cs"/>
                            </a:defRPr>
                          </a:lvl8pPr>
                          <a:lvl9pPr marL="3657600" algn="l" defTabSz="914400" rtl="0" eaLnBrk="1" latinLnBrk="0" hangingPunct="1">
                            <a:defRPr kern="1200">
                              <a:solidFill>
                                <a:schemeClr val="tx1"/>
                              </a:solidFill>
                              <a:latin typeface="Arial" panose="020B0604020202020204" pitchFamily="34" charset="0"/>
                              <a:ea typeface="宋体" panose="02010600030101010101" pitchFamily="2" charset="-122"/>
                              <a:cs typeface="+mn-cs"/>
                            </a:defRPr>
                          </a:lvl9pPr>
                        </a:lstStyle>
                        <a:p>
                          <a:pPr algn="ctr" defTabSz="914400">
                            <a:lnSpc>
                              <a:spcPct val="120000"/>
                            </a:lnSpc>
                            <a:buSzTx/>
                            <a:buFontTx/>
                            <a:buNone/>
                          </a:pPr>
                          <a:endParaRPr lang="zh-CN" altLang="en-US" sz="1800" dirty="0">
                            <a:solidFill>
                              <a:srgbClr val="FF0000"/>
                            </a:solidFill>
                            <a:latin typeface="黑体" panose="02010609060101010101" pitchFamily="49" charset="-122"/>
                            <a:ea typeface="黑体" panose="02010609060101010101" pitchFamily="49" charset="-122"/>
                          </a:endParaRPr>
                        </a:p>
                      </a:txBody>
                      <a:useSpRect/>
                    </a:txSp>
                  </a:sp>
                </lc:lockedCanvas>
              </a:graphicData>
            </a:graphic>
          </wp:inline>
        </w:drawing>
      </w:r>
    </w:p>
    <w:p w:rsidR="00704018" w:rsidRDefault="00704018" w:rsidP="007E342E">
      <w:pPr>
        <w:rPr>
          <w:rFonts w:ascii="Calibri" w:eastAsia="宋体" w:hAnsi="Calibri" w:cs="Times New Roman"/>
        </w:rPr>
      </w:pPr>
    </w:p>
    <w:p w:rsidR="00704018" w:rsidRDefault="00704018" w:rsidP="007E342E">
      <w:pPr>
        <w:rPr>
          <w:rFonts w:ascii="Calibri" w:eastAsia="宋体" w:hAnsi="Calibri" w:cs="Times New Roman"/>
        </w:rPr>
      </w:pPr>
      <w:r>
        <w:rPr>
          <w:rFonts w:ascii="Calibri" w:eastAsia="宋体" w:hAnsi="Calibri" w:cs="Times New Roman" w:hint="eastAsia"/>
        </w:rPr>
        <w:t>（</w:t>
      </w:r>
      <w:r>
        <w:rPr>
          <w:rFonts w:ascii="Calibri" w:eastAsia="宋体" w:hAnsi="Calibri" w:cs="Times New Roman" w:hint="eastAsia"/>
        </w:rPr>
        <w:t>2</w:t>
      </w:r>
      <w:r>
        <w:rPr>
          <w:rFonts w:ascii="Calibri" w:eastAsia="宋体" w:hAnsi="Calibri" w:cs="Times New Roman" w:hint="eastAsia"/>
        </w:rPr>
        <w:t>）查询到企业信息后，会有“该企业正在进行简易注销公告”的提示。</w:t>
      </w:r>
    </w:p>
    <w:p w:rsidR="00704018" w:rsidRDefault="00704018" w:rsidP="007E342E">
      <w:pPr>
        <w:rPr>
          <w:rFonts w:ascii="Calibri" w:eastAsia="宋体" w:hAnsi="Calibri" w:cs="Times New Roman"/>
        </w:rPr>
      </w:pPr>
      <w:r w:rsidRPr="00704018">
        <w:rPr>
          <w:rFonts w:ascii="Calibri" w:eastAsia="宋体" w:hAnsi="Calibri" w:cs="Times New Roman"/>
          <w:noProof/>
        </w:rPr>
        <w:drawing>
          <wp:inline distT="0" distB="0" distL="0" distR="0">
            <wp:extent cx="5129420" cy="2325757"/>
            <wp:effectExtent l="19050" t="0" r="0" b="0"/>
            <wp:docPr id="4" name="对象 2"/>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7912909" cy="4452826"/>
                      <a:chOff x="733513" y="2364320"/>
                      <a:chExt cx="7912909" cy="4452826"/>
                    </a:xfrm>
                  </a:grpSpPr>
                  <a:pic>
                    <a:nvPicPr>
                      <a:cNvPr id="20" name="图片 19"/>
                      <a:cNvPicPr>
                        <a:picLocks noChangeAspect="1"/>
                      </a:cNvPicPr>
                    </a:nvPicPr>
                    <a:blipFill>
                      <a:blip r:embed="rId15">
                        <a:extLst>
                          <a:ext uri="{28A0092B-C50C-407E-A947-70E740481C1C}">
                            <a14:useLocalDpi xmlns:o="urn:schemas-microsoft-com:office:office" xmlns:v="urn:schemas-microsoft-com:vml" xmlns:w10="urn:schemas-microsoft-com:office:word" xmlns:w="http://schemas.openxmlformats.org/wordprocessingml/2006/main" xmlns="" xmlns:p="http://schemas.openxmlformats.org/presentationml/2006/main" xmlns:a14="http://schemas.microsoft.com/office/drawing/2010/main" val="0"/>
                          </a:ext>
                        </a:extLst>
                      </a:blip>
                      <a:stretch>
                        <a:fillRect/>
                      </a:stretch>
                    </a:blipFill>
                    <a:spPr>
                      <a:xfrm>
                        <a:off x="733513" y="2364320"/>
                        <a:ext cx="7912909" cy="4452826"/>
                      </a:xfrm>
                      <a:prstGeom prst="rect">
                        <a:avLst/>
                      </a:prstGeom>
                      <a:ln>
                        <a:solidFill>
                          <a:srgbClr val="FF0000"/>
                        </a:solidFill>
                      </a:ln>
                    </a:spPr>
                  </a:pic>
                  <a:sp>
                    <a:nvSpPr>
                      <a:cNvPr id="21" name="圆角矩形标注 20"/>
                      <a:cNvSpPr/>
                    </a:nvSpPr>
                    <a:spPr bwMode="auto">
                      <a:xfrm>
                        <a:off x="5676740" y="4112224"/>
                        <a:ext cx="2928664" cy="1324899"/>
                      </a:xfrm>
                      <a:prstGeom prst="wedgeRoundRectCallout">
                        <a:avLst>
                          <a:gd name="adj1" fmla="val -42172"/>
                          <a:gd name="adj2" fmla="val -68188"/>
                          <a:gd name="adj3" fmla="val 16667"/>
                        </a:avLst>
                      </a:prstGeom>
                      <a:solidFill>
                        <a:srgbClr val="FFFF00"/>
                      </a:solidFill>
                    </a:spPr>
                    <a:txSp>
                      <a:txBody>
                        <a:bodyPr anchor="ctr"/>
                        <a:lstStyle>
                          <a:defPPr>
                            <a:defRPr lang="en-US"/>
                          </a:defPPr>
                          <a:lvl1pPr algn="l" rtl="0" fontAlgn="base">
                            <a:spcBef>
                              <a:spcPct val="0"/>
                            </a:spcBef>
                            <a:spcAft>
                              <a:spcPct val="0"/>
                            </a:spcAft>
                            <a:defRPr kern="1200">
                              <a:solidFill>
                                <a:schemeClr val="lt1"/>
                              </a:solidFill>
                              <a:latin typeface="+mn-lt"/>
                              <a:ea typeface="+mn-ea"/>
                              <a:cs typeface="+mn-cs"/>
                            </a:defRPr>
                          </a:lvl1pPr>
                          <a:lvl2pPr marL="457200" algn="l" rtl="0" fontAlgn="base">
                            <a:spcBef>
                              <a:spcPct val="0"/>
                            </a:spcBef>
                            <a:spcAft>
                              <a:spcPct val="0"/>
                            </a:spcAft>
                            <a:defRPr kern="1200">
                              <a:solidFill>
                                <a:schemeClr val="lt1"/>
                              </a:solidFill>
                              <a:latin typeface="+mn-lt"/>
                              <a:ea typeface="+mn-ea"/>
                              <a:cs typeface="+mn-cs"/>
                            </a:defRPr>
                          </a:lvl2pPr>
                          <a:lvl3pPr marL="914400" algn="l" rtl="0" fontAlgn="base">
                            <a:spcBef>
                              <a:spcPct val="0"/>
                            </a:spcBef>
                            <a:spcAft>
                              <a:spcPct val="0"/>
                            </a:spcAft>
                            <a:defRPr kern="1200">
                              <a:solidFill>
                                <a:schemeClr val="lt1"/>
                              </a:solidFill>
                              <a:latin typeface="+mn-lt"/>
                              <a:ea typeface="+mn-ea"/>
                              <a:cs typeface="+mn-cs"/>
                            </a:defRPr>
                          </a:lvl3pPr>
                          <a:lvl4pPr marL="1371600" algn="l" rtl="0" fontAlgn="base">
                            <a:spcBef>
                              <a:spcPct val="0"/>
                            </a:spcBef>
                            <a:spcAft>
                              <a:spcPct val="0"/>
                            </a:spcAft>
                            <a:defRPr kern="1200">
                              <a:solidFill>
                                <a:schemeClr val="lt1"/>
                              </a:solidFill>
                              <a:latin typeface="+mn-lt"/>
                              <a:ea typeface="+mn-ea"/>
                              <a:cs typeface="+mn-cs"/>
                            </a:defRPr>
                          </a:lvl4pPr>
                          <a:lvl5pPr marL="1828800" algn="l" rtl="0" fontAlgn="base">
                            <a:spcBef>
                              <a:spcPct val="0"/>
                            </a:spcBef>
                            <a:spcAft>
                              <a:spcPct val="0"/>
                            </a:spcAft>
                            <a:defRPr kern="1200">
                              <a:solidFill>
                                <a:schemeClr val="lt1"/>
                              </a:solidFill>
                              <a:latin typeface="+mn-lt"/>
                              <a:ea typeface="+mn-ea"/>
                              <a:cs typeface="+mn-cs"/>
                            </a:defRPr>
                          </a:lvl5pPr>
                          <a:lvl6pPr marL="2286000" algn="l" defTabSz="914400" rtl="0" eaLnBrk="1" latinLnBrk="0" hangingPunct="1">
                            <a:defRPr kern="1200">
                              <a:solidFill>
                                <a:schemeClr val="lt1"/>
                              </a:solidFill>
                              <a:latin typeface="+mn-lt"/>
                              <a:ea typeface="+mn-ea"/>
                              <a:cs typeface="+mn-cs"/>
                            </a:defRPr>
                          </a:lvl6pPr>
                          <a:lvl7pPr marL="2743200" algn="l" defTabSz="914400" rtl="0" eaLnBrk="1" latinLnBrk="0" hangingPunct="1">
                            <a:defRPr kern="1200">
                              <a:solidFill>
                                <a:schemeClr val="lt1"/>
                              </a:solidFill>
                              <a:latin typeface="+mn-lt"/>
                              <a:ea typeface="+mn-ea"/>
                              <a:cs typeface="+mn-cs"/>
                            </a:defRPr>
                          </a:lvl7pPr>
                          <a:lvl8pPr marL="3200400" algn="l" defTabSz="914400" rtl="0" eaLnBrk="1" latinLnBrk="0" hangingPunct="1">
                            <a:defRPr kern="1200">
                              <a:solidFill>
                                <a:schemeClr val="lt1"/>
                              </a:solidFill>
                              <a:latin typeface="+mn-lt"/>
                              <a:ea typeface="+mn-ea"/>
                              <a:cs typeface="+mn-cs"/>
                            </a:defRPr>
                          </a:lvl8pPr>
                          <a:lvl9pPr marL="3657600" algn="l" defTabSz="914400" rtl="0" eaLnBrk="1" latinLnBrk="0" hangingPunct="1">
                            <a:defRPr kern="1200">
                              <a:solidFill>
                                <a:schemeClr val="lt1"/>
                              </a:solidFill>
                              <a:latin typeface="+mn-lt"/>
                              <a:ea typeface="+mn-ea"/>
                              <a:cs typeface="+mn-cs"/>
                            </a:defRPr>
                          </a:lvl9pPr>
                        </a:lstStyle>
                        <a:p>
                          <a:r>
                            <a:rPr lang="zh-CN" altLang="zh-CN" dirty="0">
                              <a:solidFill>
                                <a:schemeClr val="tx1"/>
                              </a:solidFill>
                              <a:latin typeface="黑体" panose="02010609060101010101" pitchFamily="49" charset="-122"/>
                              <a:ea typeface="黑体" panose="02010609060101010101" pitchFamily="49" charset="-122"/>
                            </a:rPr>
                            <a:t>在企业</a:t>
                          </a:r>
                          <a:r>
                            <a:rPr lang="zh-CN" altLang="zh-CN" dirty="0" smtClean="0">
                              <a:solidFill>
                                <a:schemeClr val="tx1"/>
                              </a:solidFill>
                              <a:latin typeface="黑体" panose="02010609060101010101" pitchFamily="49" charset="-122"/>
                              <a:ea typeface="黑体" panose="02010609060101010101" pitchFamily="49" charset="-122"/>
                            </a:rPr>
                            <a:t>查询表</a:t>
                          </a:r>
                          <a:r>
                            <a:rPr lang="zh-CN" altLang="zh-CN" dirty="0">
                              <a:solidFill>
                                <a:schemeClr val="tx1"/>
                              </a:solidFill>
                              <a:latin typeface="黑体" panose="02010609060101010101" pitchFamily="49" charset="-122"/>
                              <a:ea typeface="黑体" panose="02010609060101010101" pitchFamily="49" charset="-122"/>
                            </a:rPr>
                            <a:t>的“企业名称”的右侧增加“</a:t>
                          </a:r>
                          <a:r>
                            <a:rPr lang="zh-CN" altLang="zh-CN" dirty="0">
                              <a:solidFill>
                                <a:srgbClr val="FF0000"/>
                              </a:solidFill>
                              <a:latin typeface="黑体" panose="02010609060101010101" pitchFamily="49" charset="-122"/>
                              <a:ea typeface="黑体" panose="02010609060101010101" pitchFamily="49" charset="-122"/>
                            </a:rPr>
                            <a:t>该企业正在进行简易注销公告</a:t>
                          </a:r>
                          <a:r>
                            <a:rPr lang="zh-CN" altLang="zh-CN" dirty="0">
                              <a:solidFill>
                                <a:schemeClr val="tx1"/>
                              </a:solidFill>
                              <a:latin typeface="黑体" panose="02010609060101010101" pitchFamily="49" charset="-122"/>
                              <a:ea typeface="黑体" panose="02010609060101010101" pitchFamily="49" charset="-122"/>
                            </a:rPr>
                            <a:t>”的提示。</a:t>
                          </a:r>
                        </a:p>
                      </a:txBody>
                      <a:useSpRect/>
                    </a:txSp>
                    <a:style>
                      <a:lnRef idx="3">
                        <a:schemeClr val="lt1"/>
                      </a:lnRef>
                      <a:fillRef idx="1">
                        <a:schemeClr val="accent3"/>
                      </a:fillRef>
                      <a:effectRef idx="1">
                        <a:schemeClr val="accent3"/>
                      </a:effectRef>
                      <a:fontRef idx="minor">
                        <a:schemeClr val="lt1"/>
                      </a:fontRef>
                    </a:style>
                  </a:sp>
                  <a:sp>
                    <a:nvSpPr>
                      <a:cNvPr id="22" name="矩形 21"/>
                      <a:cNvSpPr/>
                    </a:nvSpPr>
                    <a:spPr bwMode="auto">
                      <a:xfrm>
                        <a:off x="1475176" y="3501008"/>
                        <a:ext cx="4946056" cy="360040"/>
                      </a:xfrm>
                      <a:prstGeom prst="rect">
                        <a:avLst/>
                      </a:prstGeom>
                      <a:noFill/>
                      <a:ln w="28575">
                        <a:solidFill>
                          <a:srgbClr val="FF0000"/>
                        </a:solidFill>
                      </a:ln>
                    </a:spPr>
                    <a:txSp>
                      <a:txBody>
                        <a:bodyPr rtlCol="0" anchor="ctr">
                          <a:noAutofit/>
                        </a:bodyPr>
                        <a:lstStyle>
                          <a:defPPr>
                            <a:defRPr lang="en-US"/>
                          </a:defPPr>
                          <a:lvl1pPr algn="l" rtl="0" fontAlgn="base">
                            <a:spcBef>
                              <a:spcPct val="0"/>
                            </a:spcBef>
                            <a:spcAft>
                              <a:spcPct val="0"/>
                            </a:spcAft>
                            <a:defRPr kern="1200">
                              <a:solidFill>
                                <a:schemeClr val="tx1"/>
                              </a:solidFill>
                              <a:latin typeface="Arial" panose="020B0604020202020204" pitchFamily="34" charset="0"/>
                              <a:ea typeface="宋体" panose="02010600030101010101" pitchFamily="2" charset="-122"/>
                              <a:cs typeface="+mn-cs"/>
                            </a:defRPr>
                          </a:lvl1pPr>
                          <a:lvl2pPr marL="457200" algn="l" rtl="0" fontAlgn="base">
                            <a:spcBef>
                              <a:spcPct val="0"/>
                            </a:spcBef>
                            <a:spcAft>
                              <a:spcPct val="0"/>
                            </a:spcAft>
                            <a:defRPr kern="1200">
                              <a:solidFill>
                                <a:schemeClr val="tx1"/>
                              </a:solidFill>
                              <a:latin typeface="Arial" panose="020B0604020202020204" pitchFamily="34" charset="0"/>
                              <a:ea typeface="宋体" panose="02010600030101010101" pitchFamily="2" charset="-122"/>
                              <a:cs typeface="+mn-cs"/>
                            </a:defRPr>
                          </a:lvl2pPr>
                          <a:lvl3pPr marL="914400" algn="l" rtl="0" fontAlgn="base">
                            <a:spcBef>
                              <a:spcPct val="0"/>
                            </a:spcBef>
                            <a:spcAft>
                              <a:spcPct val="0"/>
                            </a:spcAft>
                            <a:defRPr kern="1200">
                              <a:solidFill>
                                <a:schemeClr val="tx1"/>
                              </a:solidFill>
                              <a:latin typeface="Arial" panose="020B0604020202020204" pitchFamily="34" charset="0"/>
                              <a:ea typeface="宋体" panose="02010600030101010101" pitchFamily="2" charset="-122"/>
                              <a:cs typeface="+mn-cs"/>
                            </a:defRPr>
                          </a:lvl3pPr>
                          <a:lvl4pPr marL="1371600" algn="l" rtl="0" fontAlgn="base">
                            <a:spcBef>
                              <a:spcPct val="0"/>
                            </a:spcBef>
                            <a:spcAft>
                              <a:spcPct val="0"/>
                            </a:spcAft>
                            <a:defRPr kern="1200">
                              <a:solidFill>
                                <a:schemeClr val="tx1"/>
                              </a:solidFill>
                              <a:latin typeface="Arial" panose="020B0604020202020204" pitchFamily="34" charset="0"/>
                              <a:ea typeface="宋体" panose="02010600030101010101" pitchFamily="2" charset="-122"/>
                              <a:cs typeface="+mn-cs"/>
                            </a:defRPr>
                          </a:lvl4pPr>
                          <a:lvl5pPr marL="1828800" algn="l" rtl="0" fontAlgn="base">
                            <a:spcBef>
                              <a:spcPct val="0"/>
                            </a:spcBef>
                            <a:spcAft>
                              <a:spcPct val="0"/>
                            </a:spcAft>
                            <a:defRPr kern="1200">
                              <a:solidFill>
                                <a:schemeClr val="tx1"/>
                              </a:solidFill>
                              <a:latin typeface="Arial" panose="020B0604020202020204" pitchFamily="34" charset="0"/>
                              <a:ea typeface="宋体" panose="02010600030101010101" pitchFamily="2" charset="-122"/>
                              <a:cs typeface="+mn-cs"/>
                            </a:defRPr>
                          </a:lvl5pPr>
                          <a:lvl6pPr marL="2286000" algn="l" defTabSz="914400" rtl="0" eaLnBrk="1" latinLnBrk="0" hangingPunct="1">
                            <a:defRPr kern="1200">
                              <a:solidFill>
                                <a:schemeClr val="tx1"/>
                              </a:solidFill>
                              <a:latin typeface="Arial" panose="020B0604020202020204" pitchFamily="34" charset="0"/>
                              <a:ea typeface="宋体" panose="02010600030101010101" pitchFamily="2" charset="-122"/>
                              <a:cs typeface="+mn-cs"/>
                            </a:defRPr>
                          </a:lvl6pPr>
                          <a:lvl7pPr marL="2743200" algn="l" defTabSz="914400" rtl="0" eaLnBrk="1" latinLnBrk="0" hangingPunct="1">
                            <a:defRPr kern="1200">
                              <a:solidFill>
                                <a:schemeClr val="tx1"/>
                              </a:solidFill>
                              <a:latin typeface="Arial" panose="020B0604020202020204" pitchFamily="34" charset="0"/>
                              <a:ea typeface="宋体" panose="02010600030101010101" pitchFamily="2" charset="-122"/>
                              <a:cs typeface="+mn-cs"/>
                            </a:defRPr>
                          </a:lvl7pPr>
                          <a:lvl8pPr marL="3200400" algn="l" defTabSz="914400" rtl="0" eaLnBrk="1" latinLnBrk="0" hangingPunct="1">
                            <a:defRPr kern="1200">
                              <a:solidFill>
                                <a:schemeClr val="tx1"/>
                              </a:solidFill>
                              <a:latin typeface="Arial" panose="020B0604020202020204" pitchFamily="34" charset="0"/>
                              <a:ea typeface="宋体" panose="02010600030101010101" pitchFamily="2" charset="-122"/>
                              <a:cs typeface="+mn-cs"/>
                            </a:defRPr>
                          </a:lvl8pPr>
                          <a:lvl9pPr marL="3657600" algn="l" defTabSz="914400" rtl="0" eaLnBrk="1" latinLnBrk="0" hangingPunct="1">
                            <a:defRPr kern="1200">
                              <a:solidFill>
                                <a:schemeClr val="tx1"/>
                              </a:solidFill>
                              <a:latin typeface="Arial" panose="020B0604020202020204" pitchFamily="34" charset="0"/>
                              <a:ea typeface="宋体" panose="02010600030101010101" pitchFamily="2" charset="-122"/>
                              <a:cs typeface="+mn-cs"/>
                            </a:defRPr>
                          </a:lvl9pPr>
                        </a:lstStyle>
                        <a:p>
                          <a:pPr algn="ctr" defTabSz="914400">
                            <a:lnSpc>
                              <a:spcPct val="120000"/>
                            </a:lnSpc>
                            <a:buSzTx/>
                            <a:buFontTx/>
                            <a:buNone/>
                          </a:pPr>
                          <a:endParaRPr lang="zh-CN" altLang="en-US" sz="1800" dirty="0">
                            <a:solidFill>
                              <a:srgbClr val="FF0000"/>
                            </a:solidFill>
                            <a:latin typeface="黑体" panose="02010609060101010101" pitchFamily="49" charset="-122"/>
                            <a:ea typeface="黑体" panose="02010609060101010101" pitchFamily="49" charset="-122"/>
                          </a:endParaRPr>
                        </a:p>
                      </a:txBody>
                      <a:useSpRect/>
                    </a:txSp>
                  </a:sp>
                </lc:lockedCanvas>
              </a:graphicData>
            </a:graphic>
          </wp:inline>
        </w:drawing>
      </w:r>
    </w:p>
    <w:p w:rsidR="00E24D93" w:rsidRDefault="00E24D93" w:rsidP="007E342E">
      <w:pPr>
        <w:rPr>
          <w:rFonts w:ascii="Calibri" w:eastAsia="宋体" w:hAnsi="Calibri" w:cs="Times New Roman"/>
        </w:rPr>
      </w:pPr>
    </w:p>
    <w:p w:rsidR="00E24D93" w:rsidRDefault="00E24D93" w:rsidP="007E342E">
      <w:pPr>
        <w:rPr>
          <w:rFonts w:ascii="Calibri" w:eastAsia="宋体" w:hAnsi="Calibri" w:cs="Times New Roman"/>
        </w:rPr>
      </w:pPr>
      <w:r>
        <w:rPr>
          <w:rFonts w:ascii="Calibri" w:eastAsia="宋体" w:hAnsi="Calibri" w:cs="Times New Roman" w:hint="eastAsia"/>
        </w:rPr>
        <w:t>（</w:t>
      </w:r>
      <w:r>
        <w:rPr>
          <w:rFonts w:ascii="Calibri" w:eastAsia="宋体" w:hAnsi="Calibri" w:cs="Times New Roman" w:hint="eastAsia"/>
        </w:rPr>
        <w:t>3</w:t>
      </w:r>
      <w:r>
        <w:rPr>
          <w:rFonts w:ascii="Calibri" w:eastAsia="宋体" w:hAnsi="Calibri" w:cs="Times New Roman" w:hint="eastAsia"/>
        </w:rPr>
        <w:t>）点击企业名称后，可进入企业详细信息页面，会有红色字体提示“企业正在进行简易注销公告”，并显示公告日期。</w:t>
      </w:r>
    </w:p>
    <w:p w:rsidR="00E24D93" w:rsidRDefault="00E24D93" w:rsidP="007E342E">
      <w:pPr>
        <w:rPr>
          <w:rFonts w:ascii="Calibri" w:eastAsia="宋体" w:hAnsi="Calibri" w:cs="Times New Roman"/>
        </w:rPr>
      </w:pPr>
      <w:r w:rsidRPr="00E24D93">
        <w:rPr>
          <w:rFonts w:ascii="Calibri" w:eastAsia="宋体" w:hAnsi="Calibri" w:cs="Times New Roman"/>
          <w:noProof/>
        </w:rPr>
        <w:drawing>
          <wp:inline distT="0" distB="0" distL="0" distR="0">
            <wp:extent cx="5083037" cy="2372139"/>
            <wp:effectExtent l="19050" t="0" r="3313" b="0"/>
            <wp:docPr id="9" name="对象 4"/>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7920000" cy="4452826"/>
                      <a:chOff x="475409" y="2341106"/>
                      <a:chExt cx="7920000" cy="4452826"/>
                    </a:xfrm>
                  </a:grpSpPr>
                  <a:pic>
                    <a:nvPicPr>
                      <a:cNvPr id="2" name="图片 1"/>
                      <a:cNvPicPr>
                        <a:picLocks noChangeAspect="1"/>
                      </a:cNvPicPr>
                    </a:nvPicPr>
                    <a:blipFill>
                      <a:blip r:embed="rId16"/>
                      <a:stretch>
                        <a:fillRect/>
                      </a:stretch>
                    </a:blipFill>
                    <a:spPr>
                      <a:xfrm>
                        <a:off x="475409" y="2341106"/>
                        <a:ext cx="7920000" cy="4452826"/>
                      </a:xfrm>
                      <a:prstGeom prst="rect">
                        <a:avLst/>
                      </a:prstGeom>
                      <a:ln>
                        <a:solidFill>
                          <a:srgbClr val="FF0000"/>
                        </a:solidFill>
                      </a:ln>
                    </a:spPr>
                  </a:pic>
                  <a:sp>
                    <a:nvSpPr>
                      <a:cNvPr id="18" name="圆角矩形标注 17"/>
                      <a:cNvSpPr/>
                    </a:nvSpPr>
                    <a:spPr bwMode="auto">
                      <a:xfrm>
                        <a:off x="4563405" y="4595957"/>
                        <a:ext cx="2088232" cy="561236"/>
                      </a:xfrm>
                      <a:prstGeom prst="wedgeRoundRectCallout">
                        <a:avLst>
                          <a:gd name="adj1" fmla="val -57381"/>
                          <a:gd name="adj2" fmla="val -73907"/>
                          <a:gd name="adj3" fmla="val 16667"/>
                        </a:avLst>
                      </a:prstGeom>
                      <a:solidFill>
                        <a:srgbClr val="FFFF00"/>
                      </a:solidFill>
                    </a:spPr>
                    <a:txSp>
                      <a:txBody>
                        <a:bodyPr anchor="ctr"/>
                        <a:lstStyle>
                          <a:defPPr>
                            <a:defRPr lang="en-US"/>
                          </a:defPPr>
                          <a:lvl1pPr algn="l" rtl="0" fontAlgn="base">
                            <a:spcBef>
                              <a:spcPct val="0"/>
                            </a:spcBef>
                            <a:spcAft>
                              <a:spcPct val="0"/>
                            </a:spcAft>
                            <a:defRPr kern="1200">
                              <a:solidFill>
                                <a:schemeClr val="lt1"/>
                              </a:solidFill>
                              <a:latin typeface="+mn-lt"/>
                              <a:ea typeface="+mn-ea"/>
                              <a:cs typeface="+mn-cs"/>
                            </a:defRPr>
                          </a:lvl1pPr>
                          <a:lvl2pPr marL="457200" algn="l" rtl="0" fontAlgn="base">
                            <a:spcBef>
                              <a:spcPct val="0"/>
                            </a:spcBef>
                            <a:spcAft>
                              <a:spcPct val="0"/>
                            </a:spcAft>
                            <a:defRPr kern="1200">
                              <a:solidFill>
                                <a:schemeClr val="lt1"/>
                              </a:solidFill>
                              <a:latin typeface="+mn-lt"/>
                              <a:ea typeface="+mn-ea"/>
                              <a:cs typeface="+mn-cs"/>
                            </a:defRPr>
                          </a:lvl2pPr>
                          <a:lvl3pPr marL="914400" algn="l" rtl="0" fontAlgn="base">
                            <a:spcBef>
                              <a:spcPct val="0"/>
                            </a:spcBef>
                            <a:spcAft>
                              <a:spcPct val="0"/>
                            </a:spcAft>
                            <a:defRPr kern="1200">
                              <a:solidFill>
                                <a:schemeClr val="lt1"/>
                              </a:solidFill>
                              <a:latin typeface="+mn-lt"/>
                              <a:ea typeface="+mn-ea"/>
                              <a:cs typeface="+mn-cs"/>
                            </a:defRPr>
                          </a:lvl3pPr>
                          <a:lvl4pPr marL="1371600" algn="l" rtl="0" fontAlgn="base">
                            <a:spcBef>
                              <a:spcPct val="0"/>
                            </a:spcBef>
                            <a:spcAft>
                              <a:spcPct val="0"/>
                            </a:spcAft>
                            <a:defRPr kern="1200">
                              <a:solidFill>
                                <a:schemeClr val="lt1"/>
                              </a:solidFill>
                              <a:latin typeface="+mn-lt"/>
                              <a:ea typeface="+mn-ea"/>
                              <a:cs typeface="+mn-cs"/>
                            </a:defRPr>
                          </a:lvl4pPr>
                          <a:lvl5pPr marL="1828800" algn="l" rtl="0" fontAlgn="base">
                            <a:spcBef>
                              <a:spcPct val="0"/>
                            </a:spcBef>
                            <a:spcAft>
                              <a:spcPct val="0"/>
                            </a:spcAft>
                            <a:defRPr kern="1200">
                              <a:solidFill>
                                <a:schemeClr val="lt1"/>
                              </a:solidFill>
                              <a:latin typeface="+mn-lt"/>
                              <a:ea typeface="+mn-ea"/>
                              <a:cs typeface="+mn-cs"/>
                            </a:defRPr>
                          </a:lvl5pPr>
                          <a:lvl6pPr marL="2286000" algn="l" defTabSz="914400" rtl="0" eaLnBrk="1" latinLnBrk="0" hangingPunct="1">
                            <a:defRPr kern="1200">
                              <a:solidFill>
                                <a:schemeClr val="lt1"/>
                              </a:solidFill>
                              <a:latin typeface="+mn-lt"/>
                              <a:ea typeface="+mn-ea"/>
                              <a:cs typeface="+mn-cs"/>
                            </a:defRPr>
                          </a:lvl6pPr>
                          <a:lvl7pPr marL="2743200" algn="l" defTabSz="914400" rtl="0" eaLnBrk="1" latinLnBrk="0" hangingPunct="1">
                            <a:defRPr kern="1200">
                              <a:solidFill>
                                <a:schemeClr val="lt1"/>
                              </a:solidFill>
                              <a:latin typeface="+mn-lt"/>
                              <a:ea typeface="+mn-ea"/>
                              <a:cs typeface="+mn-cs"/>
                            </a:defRPr>
                          </a:lvl7pPr>
                          <a:lvl8pPr marL="3200400" algn="l" defTabSz="914400" rtl="0" eaLnBrk="1" latinLnBrk="0" hangingPunct="1">
                            <a:defRPr kern="1200">
                              <a:solidFill>
                                <a:schemeClr val="lt1"/>
                              </a:solidFill>
                              <a:latin typeface="+mn-lt"/>
                              <a:ea typeface="+mn-ea"/>
                              <a:cs typeface="+mn-cs"/>
                            </a:defRPr>
                          </a:lvl8pPr>
                          <a:lvl9pPr marL="3657600" algn="l" defTabSz="914400" rtl="0" eaLnBrk="1" latinLnBrk="0" hangingPunct="1">
                            <a:defRPr kern="1200">
                              <a:solidFill>
                                <a:schemeClr val="lt1"/>
                              </a:solidFill>
                              <a:latin typeface="+mn-lt"/>
                              <a:ea typeface="+mn-ea"/>
                              <a:cs typeface="+mn-cs"/>
                            </a:defRPr>
                          </a:lvl9pPr>
                        </a:lstStyle>
                        <a:p>
                          <a:r>
                            <a:rPr lang="zh-CN" altLang="en-US" dirty="0" smtClean="0">
                              <a:solidFill>
                                <a:schemeClr val="tx1"/>
                              </a:solidFill>
                              <a:latin typeface="黑体" panose="02010609060101010101" pitchFamily="49" charset="-122"/>
                              <a:ea typeface="黑体" panose="02010609060101010101" pitchFamily="49" charset="-122"/>
                            </a:rPr>
                            <a:t>提示企业正在进行简易注销公告</a:t>
                          </a:r>
                          <a:endParaRPr lang="zh-CN" altLang="zh-CN" dirty="0">
                            <a:solidFill>
                              <a:schemeClr val="tx1"/>
                            </a:solidFill>
                            <a:latin typeface="黑体" panose="02010609060101010101" pitchFamily="49" charset="-122"/>
                            <a:ea typeface="黑体" panose="02010609060101010101" pitchFamily="49" charset="-122"/>
                          </a:endParaRPr>
                        </a:p>
                      </a:txBody>
                      <a:useSpRect/>
                    </a:txSp>
                    <a:style>
                      <a:lnRef idx="3">
                        <a:schemeClr val="lt1"/>
                      </a:lnRef>
                      <a:fillRef idx="1">
                        <a:schemeClr val="accent3"/>
                      </a:fillRef>
                      <a:effectRef idx="1">
                        <a:schemeClr val="accent3"/>
                      </a:effectRef>
                      <a:fontRef idx="minor">
                        <a:schemeClr val="lt1"/>
                      </a:fontRef>
                    </a:style>
                  </a:sp>
                  <a:sp>
                    <a:nvSpPr>
                      <a:cNvPr id="19" name="矩形 18"/>
                      <a:cNvSpPr/>
                    </a:nvSpPr>
                    <a:spPr bwMode="auto">
                      <a:xfrm>
                        <a:off x="1314450" y="4221088"/>
                        <a:ext cx="3473574" cy="183752"/>
                      </a:xfrm>
                      <a:prstGeom prst="rect">
                        <a:avLst/>
                      </a:prstGeom>
                      <a:noFill/>
                      <a:ln w="28575">
                        <a:solidFill>
                          <a:srgbClr val="FF0000"/>
                        </a:solidFill>
                      </a:ln>
                    </a:spPr>
                    <a:txSp>
                      <a:txBody>
                        <a:bodyPr rtlCol="0" anchor="ctr">
                          <a:noAutofit/>
                        </a:bodyPr>
                        <a:lstStyle>
                          <a:defPPr>
                            <a:defRPr lang="en-US"/>
                          </a:defPPr>
                          <a:lvl1pPr algn="l" rtl="0" fontAlgn="base">
                            <a:spcBef>
                              <a:spcPct val="0"/>
                            </a:spcBef>
                            <a:spcAft>
                              <a:spcPct val="0"/>
                            </a:spcAft>
                            <a:defRPr kern="1200">
                              <a:solidFill>
                                <a:schemeClr val="tx1"/>
                              </a:solidFill>
                              <a:latin typeface="Arial" panose="020B0604020202020204" pitchFamily="34" charset="0"/>
                              <a:ea typeface="宋体" panose="02010600030101010101" pitchFamily="2" charset="-122"/>
                              <a:cs typeface="+mn-cs"/>
                            </a:defRPr>
                          </a:lvl1pPr>
                          <a:lvl2pPr marL="457200" algn="l" rtl="0" fontAlgn="base">
                            <a:spcBef>
                              <a:spcPct val="0"/>
                            </a:spcBef>
                            <a:spcAft>
                              <a:spcPct val="0"/>
                            </a:spcAft>
                            <a:defRPr kern="1200">
                              <a:solidFill>
                                <a:schemeClr val="tx1"/>
                              </a:solidFill>
                              <a:latin typeface="Arial" panose="020B0604020202020204" pitchFamily="34" charset="0"/>
                              <a:ea typeface="宋体" panose="02010600030101010101" pitchFamily="2" charset="-122"/>
                              <a:cs typeface="+mn-cs"/>
                            </a:defRPr>
                          </a:lvl2pPr>
                          <a:lvl3pPr marL="914400" algn="l" rtl="0" fontAlgn="base">
                            <a:spcBef>
                              <a:spcPct val="0"/>
                            </a:spcBef>
                            <a:spcAft>
                              <a:spcPct val="0"/>
                            </a:spcAft>
                            <a:defRPr kern="1200">
                              <a:solidFill>
                                <a:schemeClr val="tx1"/>
                              </a:solidFill>
                              <a:latin typeface="Arial" panose="020B0604020202020204" pitchFamily="34" charset="0"/>
                              <a:ea typeface="宋体" panose="02010600030101010101" pitchFamily="2" charset="-122"/>
                              <a:cs typeface="+mn-cs"/>
                            </a:defRPr>
                          </a:lvl3pPr>
                          <a:lvl4pPr marL="1371600" algn="l" rtl="0" fontAlgn="base">
                            <a:spcBef>
                              <a:spcPct val="0"/>
                            </a:spcBef>
                            <a:spcAft>
                              <a:spcPct val="0"/>
                            </a:spcAft>
                            <a:defRPr kern="1200">
                              <a:solidFill>
                                <a:schemeClr val="tx1"/>
                              </a:solidFill>
                              <a:latin typeface="Arial" panose="020B0604020202020204" pitchFamily="34" charset="0"/>
                              <a:ea typeface="宋体" panose="02010600030101010101" pitchFamily="2" charset="-122"/>
                              <a:cs typeface="+mn-cs"/>
                            </a:defRPr>
                          </a:lvl4pPr>
                          <a:lvl5pPr marL="1828800" algn="l" rtl="0" fontAlgn="base">
                            <a:spcBef>
                              <a:spcPct val="0"/>
                            </a:spcBef>
                            <a:spcAft>
                              <a:spcPct val="0"/>
                            </a:spcAft>
                            <a:defRPr kern="1200">
                              <a:solidFill>
                                <a:schemeClr val="tx1"/>
                              </a:solidFill>
                              <a:latin typeface="Arial" panose="020B0604020202020204" pitchFamily="34" charset="0"/>
                              <a:ea typeface="宋体" panose="02010600030101010101" pitchFamily="2" charset="-122"/>
                              <a:cs typeface="+mn-cs"/>
                            </a:defRPr>
                          </a:lvl5pPr>
                          <a:lvl6pPr marL="2286000" algn="l" defTabSz="914400" rtl="0" eaLnBrk="1" latinLnBrk="0" hangingPunct="1">
                            <a:defRPr kern="1200">
                              <a:solidFill>
                                <a:schemeClr val="tx1"/>
                              </a:solidFill>
                              <a:latin typeface="Arial" panose="020B0604020202020204" pitchFamily="34" charset="0"/>
                              <a:ea typeface="宋体" panose="02010600030101010101" pitchFamily="2" charset="-122"/>
                              <a:cs typeface="+mn-cs"/>
                            </a:defRPr>
                          </a:lvl6pPr>
                          <a:lvl7pPr marL="2743200" algn="l" defTabSz="914400" rtl="0" eaLnBrk="1" latinLnBrk="0" hangingPunct="1">
                            <a:defRPr kern="1200">
                              <a:solidFill>
                                <a:schemeClr val="tx1"/>
                              </a:solidFill>
                              <a:latin typeface="Arial" panose="020B0604020202020204" pitchFamily="34" charset="0"/>
                              <a:ea typeface="宋体" panose="02010600030101010101" pitchFamily="2" charset="-122"/>
                              <a:cs typeface="+mn-cs"/>
                            </a:defRPr>
                          </a:lvl7pPr>
                          <a:lvl8pPr marL="3200400" algn="l" defTabSz="914400" rtl="0" eaLnBrk="1" latinLnBrk="0" hangingPunct="1">
                            <a:defRPr kern="1200">
                              <a:solidFill>
                                <a:schemeClr val="tx1"/>
                              </a:solidFill>
                              <a:latin typeface="Arial" panose="020B0604020202020204" pitchFamily="34" charset="0"/>
                              <a:ea typeface="宋体" panose="02010600030101010101" pitchFamily="2" charset="-122"/>
                              <a:cs typeface="+mn-cs"/>
                            </a:defRPr>
                          </a:lvl8pPr>
                          <a:lvl9pPr marL="3657600" algn="l" defTabSz="914400" rtl="0" eaLnBrk="1" latinLnBrk="0" hangingPunct="1">
                            <a:defRPr kern="1200">
                              <a:solidFill>
                                <a:schemeClr val="tx1"/>
                              </a:solidFill>
                              <a:latin typeface="Arial" panose="020B0604020202020204" pitchFamily="34" charset="0"/>
                              <a:ea typeface="宋体" panose="02010600030101010101" pitchFamily="2" charset="-122"/>
                              <a:cs typeface="+mn-cs"/>
                            </a:defRPr>
                          </a:lvl9pPr>
                        </a:lstStyle>
                        <a:p>
                          <a:pPr algn="ctr" defTabSz="914400">
                            <a:lnSpc>
                              <a:spcPct val="120000"/>
                            </a:lnSpc>
                            <a:buSzTx/>
                            <a:buFontTx/>
                            <a:buNone/>
                          </a:pPr>
                          <a:endParaRPr lang="zh-CN" altLang="en-US" sz="1800" dirty="0">
                            <a:solidFill>
                              <a:srgbClr val="FF0000"/>
                            </a:solidFill>
                            <a:latin typeface="黑体" panose="02010609060101010101" pitchFamily="49" charset="-122"/>
                            <a:ea typeface="黑体" panose="02010609060101010101" pitchFamily="49" charset="-122"/>
                          </a:endParaRPr>
                        </a:p>
                      </a:txBody>
                      <a:useSpRect/>
                    </a:txSp>
                  </a:sp>
                </lc:lockedCanvas>
              </a:graphicData>
            </a:graphic>
          </wp:inline>
        </w:drawing>
      </w:r>
    </w:p>
    <w:p w:rsidR="00E24D93" w:rsidRDefault="00E24D93" w:rsidP="007E342E">
      <w:pPr>
        <w:rPr>
          <w:rFonts w:ascii="Calibri" w:eastAsia="宋体" w:hAnsi="Calibri" w:cs="Times New Roman"/>
        </w:rPr>
      </w:pPr>
    </w:p>
    <w:p w:rsidR="00E24D93" w:rsidRDefault="00E24D93" w:rsidP="007E342E">
      <w:pPr>
        <w:rPr>
          <w:rFonts w:ascii="Calibri" w:eastAsia="宋体" w:hAnsi="Calibri" w:cs="Times New Roman"/>
        </w:rPr>
      </w:pPr>
      <w:r>
        <w:rPr>
          <w:rFonts w:ascii="Calibri" w:eastAsia="宋体" w:hAnsi="Calibri" w:cs="Times New Roman" w:hint="eastAsia"/>
        </w:rPr>
        <w:t>（</w:t>
      </w:r>
      <w:r>
        <w:rPr>
          <w:rFonts w:ascii="Calibri" w:eastAsia="宋体" w:hAnsi="Calibri" w:cs="Times New Roman" w:hint="eastAsia"/>
        </w:rPr>
        <w:t>4</w:t>
      </w:r>
      <w:r>
        <w:rPr>
          <w:rFonts w:ascii="Calibri" w:eastAsia="宋体" w:hAnsi="Calibri" w:cs="Times New Roman" w:hint="eastAsia"/>
        </w:rPr>
        <w:t>）在企业的基础信息中，显</w:t>
      </w:r>
      <w:r w:rsidR="00305B02">
        <w:rPr>
          <w:rFonts w:ascii="Calibri" w:eastAsia="宋体" w:hAnsi="Calibri" w:cs="Times New Roman" w:hint="eastAsia"/>
        </w:rPr>
        <w:t>示了简易注销公告信息。</w:t>
      </w:r>
    </w:p>
    <w:p w:rsidR="00E24D93" w:rsidRDefault="00E24D93" w:rsidP="007E342E">
      <w:pPr>
        <w:rPr>
          <w:rFonts w:ascii="Calibri" w:eastAsia="宋体" w:hAnsi="Calibri" w:cs="Times New Roman"/>
        </w:rPr>
      </w:pPr>
      <w:r w:rsidRPr="00E24D93">
        <w:rPr>
          <w:rFonts w:ascii="Calibri" w:eastAsia="宋体" w:hAnsi="Calibri" w:cs="Times New Roman"/>
          <w:noProof/>
        </w:rPr>
        <w:drawing>
          <wp:inline distT="0" distB="0" distL="0" distR="0">
            <wp:extent cx="5122794" cy="2292626"/>
            <wp:effectExtent l="19050" t="0" r="1656" b="0"/>
            <wp:docPr id="10" name="对象 5"/>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7920000" cy="4452826"/>
                      <a:chOff x="603405" y="2405174"/>
                      <a:chExt cx="7920000" cy="4452826"/>
                    </a:xfrm>
                  </a:grpSpPr>
                  <a:pic>
                    <a:nvPicPr>
                      <a:cNvPr id="3" name="图片 2"/>
                      <a:cNvPicPr>
                        <a:picLocks noChangeAspect="1"/>
                      </a:cNvPicPr>
                    </a:nvPicPr>
                    <a:blipFill>
                      <a:blip r:embed="rId17"/>
                      <a:stretch>
                        <a:fillRect/>
                      </a:stretch>
                    </a:blipFill>
                    <a:spPr>
                      <a:xfrm>
                        <a:off x="603405" y="2405174"/>
                        <a:ext cx="7920000" cy="4452826"/>
                      </a:xfrm>
                      <a:prstGeom prst="rect">
                        <a:avLst/>
                      </a:prstGeom>
                      <a:ln>
                        <a:solidFill>
                          <a:srgbClr val="FF0000"/>
                        </a:solidFill>
                      </a:ln>
                    </a:spPr>
                  </a:pic>
                  <a:sp>
                    <a:nvSpPr>
                      <a:cNvPr id="23" name="圆角矩形标注 22"/>
                      <a:cNvSpPr/>
                    </a:nvSpPr>
                    <a:spPr bwMode="auto">
                      <a:xfrm>
                        <a:off x="3292466" y="4005064"/>
                        <a:ext cx="1783590" cy="970349"/>
                      </a:xfrm>
                      <a:prstGeom prst="wedgeRoundRectCallout">
                        <a:avLst>
                          <a:gd name="adj1" fmla="val -97920"/>
                          <a:gd name="adj2" fmla="val 39297"/>
                          <a:gd name="adj3" fmla="val 16667"/>
                        </a:avLst>
                      </a:prstGeom>
                      <a:solidFill>
                        <a:srgbClr val="FFFF00"/>
                      </a:solidFill>
                    </a:spPr>
                    <a:txSp>
                      <a:txBody>
                        <a:bodyPr anchor="ctr"/>
                        <a:lstStyle>
                          <a:defPPr>
                            <a:defRPr lang="en-US"/>
                          </a:defPPr>
                          <a:lvl1pPr algn="l" rtl="0" fontAlgn="base">
                            <a:spcBef>
                              <a:spcPct val="0"/>
                            </a:spcBef>
                            <a:spcAft>
                              <a:spcPct val="0"/>
                            </a:spcAft>
                            <a:defRPr kern="1200">
                              <a:solidFill>
                                <a:schemeClr val="lt1"/>
                              </a:solidFill>
                              <a:latin typeface="+mn-lt"/>
                              <a:ea typeface="+mn-ea"/>
                              <a:cs typeface="+mn-cs"/>
                            </a:defRPr>
                          </a:lvl1pPr>
                          <a:lvl2pPr marL="457200" algn="l" rtl="0" fontAlgn="base">
                            <a:spcBef>
                              <a:spcPct val="0"/>
                            </a:spcBef>
                            <a:spcAft>
                              <a:spcPct val="0"/>
                            </a:spcAft>
                            <a:defRPr kern="1200">
                              <a:solidFill>
                                <a:schemeClr val="lt1"/>
                              </a:solidFill>
                              <a:latin typeface="+mn-lt"/>
                              <a:ea typeface="+mn-ea"/>
                              <a:cs typeface="+mn-cs"/>
                            </a:defRPr>
                          </a:lvl2pPr>
                          <a:lvl3pPr marL="914400" algn="l" rtl="0" fontAlgn="base">
                            <a:spcBef>
                              <a:spcPct val="0"/>
                            </a:spcBef>
                            <a:spcAft>
                              <a:spcPct val="0"/>
                            </a:spcAft>
                            <a:defRPr kern="1200">
                              <a:solidFill>
                                <a:schemeClr val="lt1"/>
                              </a:solidFill>
                              <a:latin typeface="+mn-lt"/>
                              <a:ea typeface="+mn-ea"/>
                              <a:cs typeface="+mn-cs"/>
                            </a:defRPr>
                          </a:lvl3pPr>
                          <a:lvl4pPr marL="1371600" algn="l" rtl="0" fontAlgn="base">
                            <a:spcBef>
                              <a:spcPct val="0"/>
                            </a:spcBef>
                            <a:spcAft>
                              <a:spcPct val="0"/>
                            </a:spcAft>
                            <a:defRPr kern="1200">
                              <a:solidFill>
                                <a:schemeClr val="lt1"/>
                              </a:solidFill>
                              <a:latin typeface="+mn-lt"/>
                              <a:ea typeface="+mn-ea"/>
                              <a:cs typeface="+mn-cs"/>
                            </a:defRPr>
                          </a:lvl4pPr>
                          <a:lvl5pPr marL="1828800" algn="l" rtl="0" fontAlgn="base">
                            <a:spcBef>
                              <a:spcPct val="0"/>
                            </a:spcBef>
                            <a:spcAft>
                              <a:spcPct val="0"/>
                            </a:spcAft>
                            <a:defRPr kern="1200">
                              <a:solidFill>
                                <a:schemeClr val="lt1"/>
                              </a:solidFill>
                              <a:latin typeface="+mn-lt"/>
                              <a:ea typeface="+mn-ea"/>
                              <a:cs typeface="+mn-cs"/>
                            </a:defRPr>
                          </a:lvl5pPr>
                          <a:lvl6pPr marL="2286000" algn="l" defTabSz="914400" rtl="0" eaLnBrk="1" latinLnBrk="0" hangingPunct="1">
                            <a:defRPr kern="1200">
                              <a:solidFill>
                                <a:schemeClr val="lt1"/>
                              </a:solidFill>
                              <a:latin typeface="+mn-lt"/>
                              <a:ea typeface="+mn-ea"/>
                              <a:cs typeface="+mn-cs"/>
                            </a:defRPr>
                          </a:lvl6pPr>
                          <a:lvl7pPr marL="2743200" algn="l" defTabSz="914400" rtl="0" eaLnBrk="1" latinLnBrk="0" hangingPunct="1">
                            <a:defRPr kern="1200">
                              <a:solidFill>
                                <a:schemeClr val="lt1"/>
                              </a:solidFill>
                              <a:latin typeface="+mn-lt"/>
                              <a:ea typeface="+mn-ea"/>
                              <a:cs typeface="+mn-cs"/>
                            </a:defRPr>
                          </a:lvl7pPr>
                          <a:lvl8pPr marL="3200400" algn="l" defTabSz="914400" rtl="0" eaLnBrk="1" latinLnBrk="0" hangingPunct="1">
                            <a:defRPr kern="1200">
                              <a:solidFill>
                                <a:schemeClr val="lt1"/>
                              </a:solidFill>
                              <a:latin typeface="+mn-lt"/>
                              <a:ea typeface="+mn-ea"/>
                              <a:cs typeface="+mn-cs"/>
                            </a:defRPr>
                          </a:lvl8pPr>
                          <a:lvl9pPr marL="3657600" algn="l" defTabSz="914400" rtl="0" eaLnBrk="1" latinLnBrk="0" hangingPunct="1">
                            <a:defRPr kern="1200">
                              <a:solidFill>
                                <a:schemeClr val="lt1"/>
                              </a:solidFill>
                              <a:latin typeface="+mn-lt"/>
                              <a:ea typeface="+mn-ea"/>
                              <a:cs typeface="+mn-cs"/>
                            </a:defRPr>
                          </a:lvl9pPr>
                        </a:lstStyle>
                        <a:p>
                          <a:r>
                            <a:rPr lang="zh-CN" altLang="en-US" dirty="0" smtClean="0">
                              <a:solidFill>
                                <a:schemeClr val="tx1"/>
                              </a:solidFill>
                              <a:latin typeface="黑体" panose="02010609060101010101" pitchFamily="49" charset="-122"/>
                              <a:ea typeface="黑体" panose="02010609060101010101" pitchFamily="49" charset="-122"/>
                            </a:rPr>
                            <a:t>基础信息中显示简易</a:t>
                          </a:r>
                          <a:r>
                            <a:rPr lang="zh-CN" altLang="en-US" dirty="0" smtClean="0">
                              <a:solidFill>
                                <a:schemeClr val="tx1"/>
                              </a:solidFill>
                              <a:latin typeface="黑体" panose="02010609060101010101" pitchFamily="49" charset="-122"/>
                              <a:ea typeface="黑体" panose="02010609060101010101" pitchFamily="49" charset="-122"/>
                            </a:rPr>
                            <a:t>注销公告信息</a:t>
                          </a:r>
                          <a:endParaRPr lang="zh-CN" altLang="zh-CN" dirty="0">
                            <a:solidFill>
                              <a:schemeClr val="tx1"/>
                            </a:solidFill>
                            <a:latin typeface="黑体" panose="02010609060101010101" pitchFamily="49" charset="-122"/>
                            <a:ea typeface="黑体" panose="02010609060101010101" pitchFamily="49" charset="-122"/>
                          </a:endParaRPr>
                        </a:p>
                      </a:txBody>
                      <a:useSpRect/>
                    </a:txSp>
                    <a:style>
                      <a:lnRef idx="3">
                        <a:schemeClr val="lt1"/>
                      </a:lnRef>
                      <a:fillRef idx="1">
                        <a:schemeClr val="accent3"/>
                      </a:fillRef>
                      <a:effectRef idx="1">
                        <a:schemeClr val="accent3"/>
                      </a:effectRef>
                      <a:fontRef idx="minor">
                        <a:schemeClr val="lt1"/>
                      </a:fontRef>
                    </a:style>
                  </a:sp>
                  <a:sp>
                    <a:nvSpPr>
                      <a:cNvPr id="24" name="矩形 23"/>
                      <a:cNvSpPr/>
                    </a:nvSpPr>
                    <a:spPr bwMode="auto">
                      <a:xfrm>
                        <a:off x="1475176" y="4895939"/>
                        <a:ext cx="1152608" cy="360040"/>
                      </a:xfrm>
                      <a:prstGeom prst="rect">
                        <a:avLst/>
                      </a:prstGeom>
                      <a:noFill/>
                      <a:ln w="28575">
                        <a:solidFill>
                          <a:srgbClr val="FF0000"/>
                        </a:solidFill>
                      </a:ln>
                    </a:spPr>
                    <a:txSp>
                      <a:txBody>
                        <a:bodyPr rtlCol="0" anchor="ctr">
                          <a:noAutofit/>
                        </a:bodyPr>
                        <a:lstStyle>
                          <a:defPPr>
                            <a:defRPr lang="en-US"/>
                          </a:defPPr>
                          <a:lvl1pPr algn="l" rtl="0" fontAlgn="base">
                            <a:spcBef>
                              <a:spcPct val="0"/>
                            </a:spcBef>
                            <a:spcAft>
                              <a:spcPct val="0"/>
                            </a:spcAft>
                            <a:defRPr kern="1200">
                              <a:solidFill>
                                <a:schemeClr val="tx1"/>
                              </a:solidFill>
                              <a:latin typeface="Arial" panose="020B0604020202020204" pitchFamily="34" charset="0"/>
                              <a:ea typeface="宋体" panose="02010600030101010101" pitchFamily="2" charset="-122"/>
                              <a:cs typeface="+mn-cs"/>
                            </a:defRPr>
                          </a:lvl1pPr>
                          <a:lvl2pPr marL="457200" algn="l" rtl="0" fontAlgn="base">
                            <a:spcBef>
                              <a:spcPct val="0"/>
                            </a:spcBef>
                            <a:spcAft>
                              <a:spcPct val="0"/>
                            </a:spcAft>
                            <a:defRPr kern="1200">
                              <a:solidFill>
                                <a:schemeClr val="tx1"/>
                              </a:solidFill>
                              <a:latin typeface="Arial" panose="020B0604020202020204" pitchFamily="34" charset="0"/>
                              <a:ea typeface="宋体" panose="02010600030101010101" pitchFamily="2" charset="-122"/>
                              <a:cs typeface="+mn-cs"/>
                            </a:defRPr>
                          </a:lvl2pPr>
                          <a:lvl3pPr marL="914400" algn="l" rtl="0" fontAlgn="base">
                            <a:spcBef>
                              <a:spcPct val="0"/>
                            </a:spcBef>
                            <a:spcAft>
                              <a:spcPct val="0"/>
                            </a:spcAft>
                            <a:defRPr kern="1200">
                              <a:solidFill>
                                <a:schemeClr val="tx1"/>
                              </a:solidFill>
                              <a:latin typeface="Arial" panose="020B0604020202020204" pitchFamily="34" charset="0"/>
                              <a:ea typeface="宋体" panose="02010600030101010101" pitchFamily="2" charset="-122"/>
                              <a:cs typeface="+mn-cs"/>
                            </a:defRPr>
                          </a:lvl3pPr>
                          <a:lvl4pPr marL="1371600" algn="l" rtl="0" fontAlgn="base">
                            <a:spcBef>
                              <a:spcPct val="0"/>
                            </a:spcBef>
                            <a:spcAft>
                              <a:spcPct val="0"/>
                            </a:spcAft>
                            <a:defRPr kern="1200">
                              <a:solidFill>
                                <a:schemeClr val="tx1"/>
                              </a:solidFill>
                              <a:latin typeface="Arial" panose="020B0604020202020204" pitchFamily="34" charset="0"/>
                              <a:ea typeface="宋体" panose="02010600030101010101" pitchFamily="2" charset="-122"/>
                              <a:cs typeface="+mn-cs"/>
                            </a:defRPr>
                          </a:lvl4pPr>
                          <a:lvl5pPr marL="1828800" algn="l" rtl="0" fontAlgn="base">
                            <a:spcBef>
                              <a:spcPct val="0"/>
                            </a:spcBef>
                            <a:spcAft>
                              <a:spcPct val="0"/>
                            </a:spcAft>
                            <a:defRPr kern="1200">
                              <a:solidFill>
                                <a:schemeClr val="tx1"/>
                              </a:solidFill>
                              <a:latin typeface="Arial" panose="020B0604020202020204" pitchFamily="34" charset="0"/>
                              <a:ea typeface="宋体" panose="02010600030101010101" pitchFamily="2" charset="-122"/>
                              <a:cs typeface="+mn-cs"/>
                            </a:defRPr>
                          </a:lvl5pPr>
                          <a:lvl6pPr marL="2286000" algn="l" defTabSz="914400" rtl="0" eaLnBrk="1" latinLnBrk="0" hangingPunct="1">
                            <a:defRPr kern="1200">
                              <a:solidFill>
                                <a:schemeClr val="tx1"/>
                              </a:solidFill>
                              <a:latin typeface="Arial" panose="020B0604020202020204" pitchFamily="34" charset="0"/>
                              <a:ea typeface="宋体" panose="02010600030101010101" pitchFamily="2" charset="-122"/>
                              <a:cs typeface="+mn-cs"/>
                            </a:defRPr>
                          </a:lvl6pPr>
                          <a:lvl7pPr marL="2743200" algn="l" defTabSz="914400" rtl="0" eaLnBrk="1" latinLnBrk="0" hangingPunct="1">
                            <a:defRPr kern="1200">
                              <a:solidFill>
                                <a:schemeClr val="tx1"/>
                              </a:solidFill>
                              <a:latin typeface="Arial" panose="020B0604020202020204" pitchFamily="34" charset="0"/>
                              <a:ea typeface="宋体" panose="02010600030101010101" pitchFamily="2" charset="-122"/>
                              <a:cs typeface="+mn-cs"/>
                            </a:defRPr>
                          </a:lvl7pPr>
                          <a:lvl8pPr marL="3200400" algn="l" defTabSz="914400" rtl="0" eaLnBrk="1" latinLnBrk="0" hangingPunct="1">
                            <a:defRPr kern="1200">
                              <a:solidFill>
                                <a:schemeClr val="tx1"/>
                              </a:solidFill>
                              <a:latin typeface="Arial" panose="020B0604020202020204" pitchFamily="34" charset="0"/>
                              <a:ea typeface="宋体" panose="02010600030101010101" pitchFamily="2" charset="-122"/>
                              <a:cs typeface="+mn-cs"/>
                            </a:defRPr>
                          </a:lvl8pPr>
                          <a:lvl9pPr marL="3657600" algn="l" defTabSz="914400" rtl="0" eaLnBrk="1" latinLnBrk="0" hangingPunct="1">
                            <a:defRPr kern="1200">
                              <a:solidFill>
                                <a:schemeClr val="tx1"/>
                              </a:solidFill>
                              <a:latin typeface="Arial" panose="020B0604020202020204" pitchFamily="34" charset="0"/>
                              <a:ea typeface="宋体" panose="02010600030101010101" pitchFamily="2" charset="-122"/>
                              <a:cs typeface="+mn-cs"/>
                            </a:defRPr>
                          </a:lvl9pPr>
                        </a:lstStyle>
                        <a:p>
                          <a:pPr algn="ctr" defTabSz="914400">
                            <a:lnSpc>
                              <a:spcPct val="120000"/>
                            </a:lnSpc>
                            <a:buSzTx/>
                            <a:buFontTx/>
                            <a:buNone/>
                          </a:pPr>
                          <a:endParaRPr lang="zh-CN" altLang="en-US" sz="1800" dirty="0">
                            <a:solidFill>
                              <a:srgbClr val="FF0000"/>
                            </a:solidFill>
                            <a:latin typeface="黑体" panose="02010609060101010101" pitchFamily="49" charset="-122"/>
                            <a:ea typeface="黑体" panose="02010609060101010101" pitchFamily="49" charset="-122"/>
                          </a:endParaRPr>
                        </a:p>
                      </a:txBody>
                      <a:useSpRect/>
                    </a:txSp>
                  </a:sp>
                  <a:sp>
                    <a:nvSpPr>
                      <a:cNvPr id="25" name="矩形 24"/>
                      <a:cNvSpPr/>
                    </a:nvSpPr>
                    <a:spPr bwMode="auto">
                      <a:xfrm>
                        <a:off x="1560242" y="5668272"/>
                        <a:ext cx="648552" cy="165282"/>
                      </a:xfrm>
                      <a:prstGeom prst="rect">
                        <a:avLst/>
                      </a:prstGeom>
                      <a:noFill/>
                      <a:ln w="28575">
                        <a:solidFill>
                          <a:srgbClr val="FF0000"/>
                        </a:solidFill>
                      </a:ln>
                    </a:spPr>
                    <a:txSp>
                      <a:txBody>
                        <a:bodyPr rtlCol="0" anchor="ctr">
                          <a:noAutofit/>
                        </a:bodyPr>
                        <a:lstStyle>
                          <a:defPPr>
                            <a:defRPr lang="en-US"/>
                          </a:defPPr>
                          <a:lvl1pPr algn="l" rtl="0" fontAlgn="base">
                            <a:spcBef>
                              <a:spcPct val="0"/>
                            </a:spcBef>
                            <a:spcAft>
                              <a:spcPct val="0"/>
                            </a:spcAft>
                            <a:defRPr kern="1200">
                              <a:solidFill>
                                <a:schemeClr val="tx1"/>
                              </a:solidFill>
                              <a:latin typeface="Arial" panose="020B0604020202020204" pitchFamily="34" charset="0"/>
                              <a:ea typeface="宋体" panose="02010600030101010101" pitchFamily="2" charset="-122"/>
                              <a:cs typeface="+mn-cs"/>
                            </a:defRPr>
                          </a:lvl1pPr>
                          <a:lvl2pPr marL="457200" algn="l" rtl="0" fontAlgn="base">
                            <a:spcBef>
                              <a:spcPct val="0"/>
                            </a:spcBef>
                            <a:spcAft>
                              <a:spcPct val="0"/>
                            </a:spcAft>
                            <a:defRPr kern="1200">
                              <a:solidFill>
                                <a:schemeClr val="tx1"/>
                              </a:solidFill>
                              <a:latin typeface="Arial" panose="020B0604020202020204" pitchFamily="34" charset="0"/>
                              <a:ea typeface="宋体" panose="02010600030101010101" pitchFamily="2" charset="-122"/>
                              <a:cs typeface="+mn-cs"/>
                            </a:defRPr>
                          </a:lvl2pPr>
                          <a:lvl3pPr marL="914400" algn="l" rtl="0" fontAlgn="base">
                            <a:spcBef>
                              <a:spcPct val="0"/>
                            </a:spcBef>
                            <a:spcAft>
                              <a:spcPct val="0"/>
                            </a:spcAft>
                            <a:defRPr kern="1200">
                              <a:solidFill>
                                <a:schemeClr val="tx1"/>
                              </a:solidFill>
                              <a:latin typeface="Arial" panose="020B0604020202020204" pitchFamily="34" charset="0"/>
                              <a:ea typeface="宋体" panose="02010600030101010101" pitchFamily="2" charset="-122"/>
                              <a:cs typeface="+mn-cs"/>
                            </a:defRPr>
                          </a:lvl3pPr>
                          <a:lvl4pPr marL="1371600" algn="l" rtl="0" fontAlgn="base">
                            <a:spcBef>
                              <a:spcPct val="0"/>
                            </a:spcBef>
                            <a:spcAft>
                              <a:spcPct val="0"/>
                            </a:spcAft>
                            <a:defRPr kern="1200">
                              <a:solidFill>
                                <a:schemeClr val="tx1"/>
                              </a:solidFill>
                              <a:latin typeface="Arial" panose="020B0604020202020204" pitchFamily="34" charset="0"/>
                              <a:ea typeface="宋体" panose="02010600030101010101" pitchFamily="2" charset="-122"/>
                              <a:cs typeface="+mn-cs"/>
                            </a:defRPr>
                          </a:lvl4pPr>
                          <a:lvl5pPr marL="1828800" algn="l" rtl="0" fontAlgn="base">
                            <a:spcBef>
                              <a:spcPct val="0"/>
                            </a:spcBef>
                            <a:spcAft>
                              <a:spcPct val="0"/>
                            </a:spcAft>
                            <a:defRPr kern="1200">
                              <a:solidFill>
                                <a:schemeClr val="tx1"/>
                              </a:solidFill>
                              <a:latin typeface="Arial" panose="020B0604020202020204" pitchFamily="34" charset="0"/>
                              <a:ea typeface="宋体" panose="02010600030101010101" pitchFamily="2" charset="-122"/>
                              <a:cs typeface="+mn-cs"/>
                            </a:defRPr>
                          </a:lvl5pPr>
                          <a:lvl6pPr marL="2286000" algn="l" defTabSz="914400" rtl="0" eaLnBrk="1" latinLnBrk="0" hangingPunct="1">
                            <a:defRPr kern="1200">
                              <a:solidFill>
                                <a:schemeClr val="tx1"/>
                              </a:solidFill>
                              <a:latin typeface="Arial" panose="020B0604020202020204" pitchFamily="34" charset="0"/>
                              <a:ea typeface="宋体" panose="02010600030101010101" pitchFamily="2" charset="-122"/>
                              <a:cs typeface="+mn-cs"/>
                            </a:defRPr>
                          </a:lvl6pPr>
                          <a:lvl7pPr marL="2743200" algn="l" defTabSz="914400" rtl="0" eaLnBrk="1" latinLnBrk="0" hangingPunct="1">
                            <a:defRPr kern="1200">
                              <a:solidFill>
                                <a:schemeClr val="tx1"/>
                              </a:solidFill>
                              <a:latin typeface="Arial" panose="020B0604020202020204" pitchFamily="34" charset="0"/>
                              <a:ea typeface="宋体" panose="02010600030101010101" pitchFamily="2" charset="-122"/>
                              <a:cs typeface="+mn-cs"/>
                            </a:defRPr>
                          </a:lvl7pPr>
                          <a:lvl8pPr marL="3200400" algn="l" defTabSz="914400" rtl="0" eaLnBrk="1" latinLnBrk="0" hangingPunct="1">
                            <a:defRPr kern="1200">
                              <a:solidFill>
                                <a:schemeClr val="tx1"/>
                              </a:solidFill>
                              <a:latin typeface="Arial" panose="020B0604020202020204" pitchFamily="34" charset="0"/>
                              <a:ea typeface="宋体" panose="02010600030101010101" pitchFamily="2" charset="-122"/>
                              <a:cs typeface="+mn-cs"/>
                            </a:defRPr>
                          </a:lvl8pPr>
                          <a:lvl9pPr marL="3657600" algn="l" defTabSz="914400" rtl="0" eaLnBrk="1" latinLnBrk="0" hangingPunct="1">
                            <a:defRPr kern="1200">
                              <a:solidFill>
                                <a:schemeClr val="tx1"/>
                              </a:solidFill>
                              <a:latin typeface="Arial" panose="020B0604020202020204" pitchFamily="34" charset="0"/>
                              <a:ea typeface="宋体" panose="02010600030101010101" pitchFamily="2" charset="-122"/>
                              <a:cs typeface="+mn-cs"/>
                            </a:defRPr>
                          </a:lvl9pPr>
                        </a:lstStyle>
                        <a:p>
                          <a:pPr algn="ctr" defTabSz="914400">
                            <a:lnSpc>
                              <a:spcPct val="120000"/>
                            </a:lnSpc>
                            <a:buSzTx/>
                            <a:buFontTx/>
                            <a:buNone/>
                          </a:pPr>
                          <a:endParaRPr lang="zh-CN" altLang="en-US" sz="1800" dirty="0">
                            <a:solidFill>
                              <a:srgbClr val="FF0000"/>
                            </a:solidFill>
                            <a:latin typeface="黑体" panose="02010609060101010101" pitchFamily="49" charset="-122"/>
                            <a:ea typeface="黑体" panose="02010609060101010101" pitchFamily="49" charset="-122"/>
                          </a:endParaRPr>
                        </a:p>
                      </a:txBody>
                      <a:useSpRect/>
                    </a:txSp>
                  </a:sp>
                </lc:lockedCanvas>
              </a:graphicData>
            </a:graphic>
          </wp:inline>
        </w:drawing>
      </w:r>
    </w:p>
    <w:p w:rsidR="00305B02" w:rsidRDefault="00305B02" w:rsidP="007E342E">
      <w:pPr>
        <w:rPr>
          <w:rFonts w:ascii="Calibri" w:eastAsia="宋体" w:hAnsi="Calibri" w:cs="Times New Roman"/>
        </w:rPr>
      </w:pPr>
    </w:p>
    <w:p w:rsidR="00305B02" w:rsidRDefault="00305B02" w:rsidP="007E342E">
      <w:pPr>
        <w:rPr>
          <w:rFonts w:ascii="Calibri" w:eastAsia="宋体" w:hAnsi="Calibri" w:cs="Times New Roman"/>
        </w:rPr>
      </w:pPr>
      <w:r>
        <w:rPr>
          <w:rFonts w:ascii="Calibri" w:eastAsia="宋体" w:hAnsi="Calibri" w:cs="Times New Roman" w:hint="eastAsia"/>
        </w:rPr>
        <w:lastRenderedPageBreak/>
        <w:t>（</w:t>
      </w:r>
      <w:r>
        <w:rPr>
          <w:rFonts w:ascii="Calibri" w:eastAsia="宋体" w:hAnsi="Calibri" w:cs="Times New Roman" w:hint="eastAsia"/>
        </w:rPr>
        <w:t>5</w:t>
      </w:r>
      <w:r>
        <w:rPr>
          <w:rFonts w:ascii="Calibri" w:eastAsia="宋体" w:hAnsi="Calibri" w:cs="Times New Roman" w:hint="eastAsia"/>
        </w:rPr>
        <w:t>）点击“查看详情”按钮，查看企业简易注销公告。</w:t>
      </w:r>
    </w:p>
    <w:p w:rsidR="00305B02" w:rsidRPr="00305B02" w:rsidRDefault="00305B02" w:rsidP="007E342E">
      <w:pPr>
        <w:rPr>
          <w:rFonts w:ascii="Calibri" w:eastAsia="宋体" w:hAnsi="Calibri" w:cs="Times New Roman"/>
        </w:rPr>
      </w:pPr>
    </w:p>
    <w:p w:rsidR="00305B02" w:rsidRDefault="00305B02" w:rsidP="007E342E">
      <w:pPr>
        <w:rPr>
          <w:rFonts w:ascii="Calibri" w:eastAsia="宋体" w:hAnsi="Calibri" w:cs="Times New Roman"/>
        </w:rPr>
      </w:pPr>
      <w:r w:rsidRPr="00305B02">
        <w:rPr>
          <w:rFonts w:ascii="Calibri" w:eastAsia="宋体" w:hAnsi="Calibri" w:cs="Times New Roman"/>
          <w:noProof/>
        </w:rPr>
        <w:drawing>
          <wp:inline distT="0" distB="0" distL="0" distR="0">
            <wp:extent cx="5270395" cy="2266950"/>
            <wp:effectExtent l="19050" t="19050" r="25505" b="19050"/>
            <wp:docPr id="14" name="图片 6"/>
            <wp:cNvGraphicFramePr/>
            <a:graphic xmlns:a="http://schemas.openxmlformats.org/drawingml/2006/main">
              <a:graphicData uri="http://schemas.openxmlformats.org/drawingml/2006/picture">
                <pic:pic xmlns:pic="http://schemas.openxmlformats.org/drawingml/2006/picture">
                  <pic:nvPicPr>
                    <pic:cNvPr id="4" name="图片 3"/>
                    <pic:cNvPicPr>
                      <a:picLocks noChangeAspect="1"/>
                    </pic:cNvPicPr>
                  </pic:nvPicPr>
                  <pic:blipFill>
                    <a:blip r:embed="rId18"/>
                    <a:stretch>
                      <a:fillRect/>
                    </a:stretch>
                  </pic:blipFill>
                  <pic:spPr>
                    <a:xfrm>
                      <a:off x="0" y="0"/>
                      <a:ext cx="5274698" cy="2268801"/>
                    </a:xfrm>
                    <a:prstGeom prst="rect">
                      <a:avLst/>
                    </a:prstGeom>
                    <a:ln>
                      <a:solidFill>
                        <a:srgbClr val="FF0000"/>
                      </a:solidFill>
                    </a:ln>
                  </pic:spPr>
                </pic:pic>
              </a:graphicData>
            </a:graphic>
          </wp:inline>
        </w:drawing>
      </w:r>
    </w:p>
    <w:p w:rsidR="00305B02" w:rsidRDefault="00305B02" w:rsidP="007E342E">
      <w:pPr>
        <w:rPr>
          <w:rFonts w:ascii="Calibri" w:eastAsia="宋体" w:hAnsi="Calibri" w:cs="Times New Roman"/>
        </w:rPr>
      </w:pPr>
    </w:p>
    <w:p w:rsidR="00305B02" w:rsidRPr="00E24D93" w:rsidRDefault="00305B02" w:rsidP="007E342E">
      <w:pPr>
        <w:rPr>
          <w:rFonts w:ascii="Calibri" w:eastAsia="宋体" w:hAnsi="Calibri" w:cs="Times New Roman"/>
        </w:rPr>
      </w:pPr>
    </w:p>
    <w:p w:rsidR="007E342E" w:rsidRPr="00F626AD" w:rsidRDefault="007E342E" w:rsidP="007E342E">
      <w:pPr>
        <w:rPr>
          <w:rFonts w:ascii="Calibri" w:eastAsia="宋体" w:hAnsi="Calibri" w:cs="Times New Roman"/>
          <w:b/>
        </w:rPr>
      </w:pPr>
      <w:r w:rsidRPr="00F626AD">
        <w:rPr>
          <w:rFonts w:ascii="Calibri" w:eastAsia="宋体" w:hAnsi="Calibri" w:cs="Times New Roman" w:hint="eastAsia"/>
          <w:b/>
        </w:rPr>
        <w:t>1</w:t>
      </w:r>
      <w:r w:rsidR="001F5B5C">
        <w:rPr>
          <w:rFonts w:ascii="Calibri" w:eastAsia="宋体" w:hAnsi="Calibri" w:cs="Times New Roman" w:hint="eastAsia"/>
          <w:b/>
        </w:rPr>
        <w:t>7</w:t>
      </w:r>
      <w:r w:rsidRPr="00F626AD">
        <w:rPr>
          <w:rFonts w:ascii="Calibri" w:eastAsia="宋体" w:hAnsi="Calibri" w:cs="Times New Roman" w:hint="eastAsia"/>
          <w:b/>
        </w:rPr>
        <w:t>、在注销公告期内</w:t>
      </w:r>
      <w:r w:rsidRPr="00F626AD">
        <w:rPr>
          <w:rFonts w:ascii="Calibri" w:eastAsia="宋体" w:hAnsi="Calibri" w:cs="Times New Roman" w:hint="eastAsia"/>
          <w:b/>
        </w:rPr>
        <w:t>,</w:t>
      </w:r>
      <w:r w:rsidRPr="00F626AD">
        <w:rPr>
          <w:rFonts w:ascii="Calibri" w:eastAsia="宋体" w:hAnsi="Calibri" w:cs="Times New Roman" w:hint="eastAsia"/>
          <w:b/>
        </w:rPr>
        <w:t>有关利害关系人及相关政府部门</w:t>
      </w:r>
      <w:r w:rsidR="00F626AD" w:rsidRPr="00F626AD">
        <w:rPr>
          <w:rFonts w:ascii="Calibri" w:eastAsia="宋体" w:hAnsi="Calibri" w:cs="Times New Roman" w:hint="eastAsia"/>
          <w:b/>
        </w:rPr>
        <w:t>对企业申请简易注销存在异议应如何提出</w:t>
      </w:r>
      <w:r w:rsidRPr="00F626AD">
        <w:rPr>
          <w:rFonts w:ascii="Calibri" w:eastAsia="宋体" w:hAnsi="Calibri" w:cs="Times New Roman" w:hint="eastAsia"/>
          <w:b/>
        </w:rPr>
        <w:t>？</w:t>
      </w:r>
    </w:p>
    <w:p w:rsidR="00C672CB" w:rsidRDefault="00F626AD" w:rsidP="007E342E">
      <w:pPr>
        <w:rPr>
          <w:rFonts w:ascii="Calibri" w:eastAsia="宋体" w:hAnsi="Calibri" w:cs="Times New Roman"/>
        </w:rPr>
      </w:pPr>
      <w:r>
        <w:rPr>
          <w:rFonts w:ascii="Calibri" w:eastAsia="宋体" w:hAnsi="Calibri" w:cs="Times New Roman" w:hint="eastAsia"/>
        </w:rPr>
        <w:t>答：</w:t>
      </w:r>
      <w:r w:rsidRPr="00F626AD">
        <w:rPr>
          <w:rFonts w:ascii="Calibri" w:eastAsia="宋体" w:hAnsi="Calibri" w:cs="Times New Roman" w:hint="eastAsia"/>
        </w:rPr>
        <w:t>在注销公告期</w:t>
      </w:r>
      <w:r w:rsidR="00C672CB">
        <w:rPr>
          <w:rFonts w:ascii="Calibri" w:eastAsia="宋体" w:hAnsi="Calibri" w:cs="Times New Roman" w:hint="eastAsia"/>
        </w:rPr>
        <w:t>（</w:t>
      </w:r>
      <w:r w:rsidR="00C672CB">
        <w:rPr>
          <w:rFonts w:ascii="Calibri" w:eastAsia="宋体" w:hAnsi="Calibri" w:cs="Times New Roman" w:hint="eastAsia"/>
        </w:rPr>
        <w:t>45</w:t>
      </w:r>
      <w:r w:rsidR="00C672CB">
        <w:rPr>
          <w:rFonts w:ascii="Calibri" w:eastAsia="宋体" w:hAnsi="Calibri" w:cs="Times New Roman" w:hint="eastAsia"/>
        </w:rPr>
        <w:t>天）</w:t>
      </w:r>
      <w:r w:rsidRPr="00F626AD">
        <w:rPr>
          <w:rFonts w:ascii="Calibri" w:eastAsia="宋体" w:hAnsi="Calibri" w:cs="Times New Roman" w:hint="eastAsia"/>
        </w:rPr>
        <w:t>内</w:t>
      </w:r>
      <w:r w:rsidRPr="00F626AD">
        <w:rPr>
          <w:rFonts w:ascii="Calibri" w:eastAsia="宋体" w:hAnsi="Calibri" w:cs="Times New Roman" w:hint="eastAsia"/>
        </w:rPr>
        <w:t>,</w:t>
      </w:r>
      <w:r w:rsidRPr="00F626AD">
        <w:rPr>
          <w:rFonts w:ascii="Calibri" w:eastAsia="宋体" w:hAnsi="Calibri" w:cs="Times New Roman" w:hint="eastAsia"/>
        </w:rPr>
        <w:t>有关利害关系人及相关政府部门可以通过国家企业信用信息公示系统（云</w:t>
      </w:r>
      <w:r w:rsidR="00C672CB">
        <w:rPr>
          <w:rFonts w:ascii="Calibri" w:eastAsia="宋体" w:hAnsi="Calibri" w:cs="Times New Roman" w:hint="eastAsia"/>
        </w:rPr>
        <w:t>南）《简易注销公告》专栏“我要异议”功能提出异议并简要陈述理由，</w:t>
      </w:r>
      <w:r w:rsidR="00C672CB" w:rsidRPr="00C672CB">
        <w:rPr>
          <w:rFonts w:ascii="Calibri" w:eastAsia="宋体" w:hAnsi="Calibri" w:cs="Times New Roman" w:hint="eastAsia"/>
        </w:rPr>
        <w:t>超过公告期，公示系统不再接</w:t>
      </w:r>
      <w:r w:rsidR="00C672CB">
        <w:rPr>
          <w:rFonts w:ascii="Calibri" w:eastAsia="宋体" w:hAnsi="Calibri" w:cs="Times New Roman" w:hint="eastAsia"/>
        </w:rPr>
        <w:t>受</w:t>
      </w:r>
      <w:r w:rsidR="00C672CB" w:rsidRPr="00C672CB">
        <w:rPr>
          <w:rFonts w:ascii="Calibri" w:eastAsia="宋体" w:hAnsi="Calibri" w:cs="Times New Roman" w:hint="eastAsia"/>
        </w:rPr>
        <w:t>异议。所有异议信息都记于企业简易注销公告下面，所有人都可以看到全部异议内容。</w:t>
      </w:r>
    </w:p>
    <w:p w:rsidR="00F626AD" w:rsidRDefault="00C672CB" w:rsidP="007E342E">
      <w:pPr>
        <w:rPr>
          <w:rFonts w:ascii="Calibri" w:eastAsia="宋体" w:hAnsi="Calibri" w:cs="Times New Roman"/>
        </w:rPr>
      </w:pPr>
      <w:r>
        <w:rPr>
          <w:rFonts w:ascii="Calibri" w:eastAsia="宋体" w:hAnsi="Calibri" w:cs="Times New Roman" w:hint="eastAsia"/>
        </w:rPr>
        <w:t>公示</w:t>
      </w:r>
      <w:r w:rsidR="00F626AD">
        <w:rPr>
          <w:rFonts w:ascii="Calibri" w:eastAsia="宋体" w:hAnsi="Calibri" w:cs="Times New Roman" w:hint="eastAsia"/>
        </w:rPr>
        <w:t>系统</w:t>
      </w:r>
      <w:r>
        <w:rPr>
          <w:rFonts w:ascii="Calibri" w:eastAsia="宋体" w:hAnsi="Calibri" w:cs="Times New Roman" w:hint="eastAsia"/>
        </w:rPr>
        <w:t>的异议</w:t>
      </w:r>
      <w:r w:rsidR="00F626AD">
        <w:rPr>
          <w:rFonts w:ascii="Calibri" w:eastAsia="宋体" w:hAnsi="Calibri" w:cs="Times New Roman" w:hint="eastAsia"/>
        </w:rPr>
        <w:t>操作流程如下</w:t>
      </w:r>
      <w:r>
        <w:rPr>
          <w:rFonts w:ascii="Calibri" w:eastAsia="宋体" w:hAnsi="Calibri" w:cs="Times New Roman" w:hint="eastAsia"/>
        </w:rPr>
        <w:t>：</w:t>
      </w:r>
    </w:p>
    <w:p w:rsidR="00C672CB" w:rsidRDefault="00C672CB" w:rsidP="007E342E">
      <w:pPr>
        <w:rPr>
          <w:rFonts w:ascii="Calibri" w:eastAsia="宋体" w:hAnsi="Calibri" w:cs="Times New Roman"/>
        </w:rPr>
      </w:pPr>
      <w:r>
        <w:rPr>
          <w:rFonts w:ascii="Calibri" w:eastAsia="宋体" w:hAnsi="Calibri" w:cs="Times New Roman" w:hint="eastAsia"/>
        </w:rPr>
        <w:t>（</w:t>
      </w:r>
      <w:r>
        <w:rPr>
          <w:rFonts w:ascii="Calibri" w:eastAsia="宋体" w:hAnsi="Calibri" w:cs="Times New Roman" w:hint="eastAsia"/>
        </w:rPr>
        <w:t>1</w:t>
      </w:r>
      <w:r>
        <w:rPr>
          <w:rFonts w:ascii="Calibri" w:eastAsia="宋体" w:hAnsi="Calibri" w:cs="Times New Roman" w:hint="eastAsia"/>
        </w:rPr>
        <w:t>）</w:t>
      </w:r>
      <w:r w:rsidR="00305B02">
        <w:rPr>
          <w:rFonts w:ascii="Calibri" w:eastAsia="宋体" w:hAnsi="Calibri" w:cs="Times New Roman" w:hint="eastAsia"/>
        </w:rPr>
        <w:t>同查看企业简易注销公告一致，直至进入企业详细信息页面，点击“我要异议”按钮，之后进入企业简易注销公告页面，再次点击“我要异议”按钮。</w:t>
      </w:r>
    </w:p>
    <w:p w:rsidR="00305B02" w:rsidRDefault="00305B02" w:rsidP="007E342E">
      <w:pPr>
        <w:rPr>
          <w:rFonts w:ascii="Calibri" w:eastAsia="宋体" w:hAnsi="Calibri" w:cs="Times New Roman"/>
        </w:rPr>
      </w:pPr>
      <w:r w:rsidRPr="00305B02">
        <w:rPr>
          <w:rFonts w:ascii="Calibri" w:eastAsia="宋体" w:hAnsi="Calibri" w:cs="Times New Roman"/>
          <w:noProof/>
        </w:rPr>
        <w:drawing>
          <wp:inline distT="0" distB="0" distL="0" distR="0">
            <wp:extent cx="5274310" cy="2965578"/>
            <wp:effectExtent l="19050" t="0" r="2540" b="0"/>
            <wp:docPr id="16" name="对象 9"/>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7920000" cy="4452826"/>
                      <a:chOff x="467544" y="2136265"/>
                      <a:chExt cx="7920000" cy="4452826"/>
                    </a:xfrm>
                  </a:grpSpPr>
                  <a:pic>
                    <a:nvPicPr>
                      <a:cNvPr id="5" name="图片 4"/>
                      <a:cNvPicPr>
                        <a:picLocks noChangeAspect="1"/>
                      </a:cNvPicPr>
                    </a:nvPicPr>
                    <a:blipFill>
                      <a:blip r:embed="rId16"/>
                      <a:stretch>
                        <a:fillRect/>
                      </a:stretch>
                    </a:blipFill>
                    <a:spPr>
                      <a:xfrm>
                        <a:off x="467544" y="2136265"/>
                        <a:ext cx="7920000" cy="4452826"/>
                      </a:xfrm>
                      <a:prstGeom prst="rect">
                        <a:avLst/>
                      </a:prstGeom>
                      <a:ln>
                        <a:solidFill>
                          <a:srgbClr val="FF0000"/>
                        </a:solidFill>
                      </a:ln>
                    </a:spPr>
                  </a:pic>
                  <a:sp>
                    <a:nvSpPr>
                      <a:cNvPr id="12" name="圆角矩形标注 11"/>
                      <a:cNvSpPr/>
                    </a:nvSpPr>
                    <a:spPr bwMode="auto">
                      <a:xfrm>
                        <a:off x="4175145" y="3316516"/>
                        <a:ext cx="1629146" cy="432339"/>
                      </a:xfrm>
                      <a:prstGeom prst="wedgeRoundRectCallout">
                        <a:avLst>
                          <a:gd name="adj1" fmla="val -28708"/>
                          <a:gd name="adj2" fmla="val 76745"/>
                          <a:gd name="adj3" fmla="val 16667"/>
                        </a:avLst>
                      </a:prstGeom>
                      <a:solidFill>
                        <a:srgbClr val="FFFF00"/>
                      </a:solidFill>
                    </a:spPr>
                    <a:txSp>
                      <a:txBody>
                        <a:bodyPr anchor="ctr"/>
                        <a:lstStyle>
                          <a:defPPr>
                            <a:defRPr lang="en-US"/>
                          </a:defPPr>
                          <a:lvl1pPr algn="l" rtl="0" fontAlgn="base">
                            <a:spcBef>
                              <a:spcPct val="0"/>
                            </a:spcBef>
                            <a:spcAft>
                              <a:spcPct val="0"/>
                            </a:spcAft>
                            <a:defRPr kern="1200">
                              <a:solidFill>
                                <a:schemeClr val="lt1"/>
                              </a:solidFill>
                              <a:latin typeface="+mn-lt"/>
                              <a:ea typeface="+mn-ea"/>
                              <a:cs typeface="+mn-cs"/>
                            </a:defRPr>
                          </a:lvl1pPr>
                          <a:lvl2pPr marL="457200" algn="l" rtl="0" fontAlgn="base">
                            <a:spcBef>
                              <a:spcPct val="0"/>
                            </a:spcBef>
                            <a:spcAft>
                              <a:spcPct val="0"/>
                            </a:spcAft>
                            <a:defRPr kern="1200">
                              <a:solidFill>
                                <a:schemeClr val="lt1"/>
                              </a:solidFill>
                              <a:latin typeface="+mn-lt"/>
                              <a:ea typeface="+mn-ea"/>
                              <a:cs typeface="+mn-cs"/>
                            </a:defRPr>
                          </a:lvl2pPr>
                          <a:lvl3pPr marL="914400" algn="l" rtl="0" fontAlgn="base">
                            <a:spcBef>
                              <a:spcPct val="0"/>
                            </a:spcBef>
                            <a:spcAft>
                              <a:spcPct val="0"/>
                            </a:spcAft>
                            <a:defRPr kern="1200">
                              <a:solidFill>
                                <a:schemeClr val="lt1"/>
                              </a:solidFill>
                              <a:latin typeface="+mn-lt"/>
                              <a:ea typeface="+mn-ea"/>
                              <a:cs typeface="+mn-cs"/>
                            </a:defRPr>
                          </a:lvl3pPr>
                          <a:lvl4pPr marL="1371600" algn="l" rtl="0" fontAlgn="base">
                            <a:spcBef>
                              <a:spcPct val="0"/>
                            </a:spcBef>
                            <a:spcAft>
                              <a:spcPct val="0"/>
                            </a:spcAft>
                            <a:defRPr kern="1200">
                              <a:solidFill>
                                <a:schemeClr val="lt1"/>
                              </a:solidFill>
                              <a:latin typeface="+mn-lt"/>
                              <a:ea typeface="+mn-ea"/>
                              <a:cs typeface="+mn-cs"/>
                            </a:defRPr>
                          </a:lvl4pPr>
                          <a:lvl5pPr marL="1828800" algn="l" rtl="0" fontAlgn="base">
                            <a:spcBef>
                              <a:spcPct val="0"/>
                            </a:spcBef>
                            <a:spcAft>
                              <a:spcPct val="0"/>
                            </a:spcAft>
                            <a:defRPr kern="1200">
                              <a:solidFill>
                                <a:schemeClr val="lt1"/>
                              </a:solidFill>
                              <a:latin typeface="+mn-lt"/>
                              <a:ea typeface="+mn-ea"/>
                              <a:cs typeface="+mn-cs"/>
                            </a:defRPr>
                          </a:lvl5pPr>
                          <a:lvl6pPr marL="2286000" algn="l" defTabSz="914400" rtl="0" eaLnBrk="1" latinLnBrk="0" hangingPunct="1">
                            <a:defRPr kern="1200">
                              <a:solidFill>
                                <a:schemeClr val="lt1"/>
                              </a:solidFill>
                              <a:latin typeface="+mn-lt"/>
                              <a:ea typeface="+mn-ea"/>
                              <a:cs typeface="+mn-cs"/>
                            </a:defRPr>
                          </a:lvl6pPr>
                          <a:lvl7pPr marL="2743200" algn="l" defTabSz="914400" rtl="0" eaLnBrk="1" latinLnBrk="0" hangingPunct="1">
                            <a:defRPr kern="1200">
                              <a:solidFill>
                                <a:schemeClr val="lt1"/>
                              </a:solidFill>
                              <a:latin typeface="+mn-lt"/>
                              <a:ea typeface="+mn-ea"/>
                              <a:cs typeface="+mn-cs"/>
                            </a:defRPr>
                          </a:lvl7pPr>
                          <a:lvl8pPr marL="3200400" algn="l" defTabSz="914400" rtl="0" eaLnBrk="1" latinLnBrk="0" hangingPunct="1">
                            <a:defRPr kern="1200">
                              <a:solidFill>
                                <a:schemeClr val="lt1"/>
                              </a:solidFill>
                              <a:latin typeface="+mn-lt"/>
                              <a:ea typeface="+mn-ea"/>
                              <a:cs typeface="+mn-cs"/>
                            </a:defRPr>
                          </a:lvl8pPr>
                          <a:lvl9pPr marL="3657600" algn="l" defTabSz="914400" rtl="0" eaLnBrk="1" latinLnBrk="0" hangingPunct="1">
                            <a:defRPr kern="1200">
                              <a:solidFill>
                                <a:schemeClr val="lt1"/>
                              </a:solidFill>
                              <a:latin typeface="+mn-lt"/>
                              <a:ea typeface="+mn-ea"/>
                              <a:cs typeface="+mn-cs"/>
                            </a:defRPr>
                          </a:lvl9pPr>
                        </a:lstStyle>
                        <a:p>
                          <a:r>
                            <a:rPr lang="zh-CN" altLang="en-US" dirty="0" smtClean="0">
                              <a:solidFill>
                                <a:schemeClr val="tx1"/>
                              </a:solidFill>
                              <a:latin typeface="黑体" panose="02010609060101010101" pitchFamily="49" charset="-122"/>
                              <a:ea typeface="黑体" panose="02010609060101010101" pitchFamily="49" charset="-122"/>
                            </a:rPr>
                            <a:t>点击我要异议</a:t>
                          </a:r>
                          <a:endParaRPr lang="zh-CN" altLang="zh-CN" dirty="0">
                            <a:solidFill>
                              <a:schemeClr val="tx1"/>
                            </a:solidFill>
                            <a:latin typeface="黑体" panose="02010609060101010101" pitchFamily="49" charset="-122"/>
                            <a:ea typeface="黑体" panose="02010609060101010101" pitchFamily="49" charset="-122"/>
                          </a:endParaRPr>
                        </a:p>
                      </a:txBody>
                      <a:useSpRect/>
                    </a:txSp>
                    <a:style>
                      <a:lnRef idx="3">
                        <a:schemeClr val="lt1"/>
                      </a:lnRef>
                      <a:fillRef idx="1">
                        <a:schemeClr val="accent3"/>
                      </a:fillRef>
                      <a:effectRef idx="1">
                        <a:schemeClr val="accent3"/>
                      </a:effectRef>
                      <a:fontRef idx="minor">
                        <a:schemeClr val="lt1"/>
                      </a:fontRef>
                    </a:style>
                  </a:sp>
                  <a:sp>
                    <a:nvSpPr>
                      <a:cNvPr id="13" name="矩形 12"/>
                      <a:cNvSpPr/>
                    </a:nvSpPr>
                    <a:spPr bwMode="auto">
                      <a:xfrm>
                        <a:off x="4030528" y="3973162"/>
                        <a:ext cx="621635" cy="224494"/>
                      </a:xfrm>
                      <a:prstGeom prst="rect">
                        <a:avLst/>
                      </a:prstGeom>
                      <a:noFill/>
                      <a:ln w="28575">
                        <a:solidFill>
                          <a:srgbClr val="FF0000"/>
                        </a:solidFill>
                      </a:ln>
                    </a:spPr>
                    <a:txSp>
                      <a:txBody>
                        <a:bodyPr rtlCol="0" anchor="ctr">
                          <a:noAutofit/>
                        </a:bodyPr>
                        <a:lstStyle>
                          <a:defPPr>
                            <a:defRPr lang="en-US"/>
                          </a:defPPr>
                          <a:lvl1pPr algn="l" rtl="0" fontAlgn="base">
                            <a:spcBef>
                              <a:spcPct val="0"/>
                            </a:spcBef>
                            <a:spcAft>
                              <a:spcPct val="0"/>
                            </a:spcAft>
                            <a:defRPr kern="1200">
                              <a:solidFill>
                                <a:schemeClr val="tx1"/>
                              </a:solidFill>
                              <a:latin typeface="Arial" panose="020B0604020202020204" pitchFamily="34" charset="0"/>
                              <a:ea typeface="宋体" panose="02010600030101010101" pitchFamily="2" charset="-122"/>
                              <a:cs typeface="+mn-cs"/>
                            </a:defRPr>
                          </a:lvl1pPr>
                          <a:lvl2pPr marL="457200" algn="l" rtl="0" fontAlgn="base">
                            <a:spcBef>
                              <a:spcPct val="0"/>
                            </a:spcBef>
                            <a:spcAft>
                              <a:spcPct val="0"/>
                            </a:spcAft>
                            <a:defRPr kern="1200">
                              <a:solidFill>
                                <a:schemeClr val="tx1"/>
                              </a:solidFill>
                              <a:latin typeface="Arial" panose="020B0604020202020204" pitchFamily="34" charset="0"/>
                              <a:ea typeface="宋体" panose="02010600030101010101" pitchFamily="2" charset="-122"/>
                              <a:cs typeface="+mn-cs"/>
                            </a:defRPr>
                          </a:lvl2pPr>
                          <a:lvl3pPr marL="914400" algn="l" rtl="0" fontAlgn="base">
                            <a:spcBef>
                              <a:spcPct val="0"/>
                            </a:spcBef>
                            <a:spcAft>
                              <a:spcPct val="0"/>
                            </a:spcAft>
                            <a:defRPr kern="1200">
                              <a:solidFill>
                                <a:schemeClr val="tx1"/>
                              </a:solidFill>
                              <a:latin typeface="Arial" panose="020B0604020202020204" pitchFamily="34" charset="0"/>
                              <a:ea typeface="宋体" panose="02010600030101010101" pitchFamily="2" charset="-122"/>
                              <a:cs typeface="+mn-cs"/>
                            </a:defRPr>
                          </a:lvl3pPr>
                          <a:lvl4pPr marL="1371600" algn="l" rtl="0" fontAlgn="base">
                            <a:spcBef>
                              <a:spcPct val="0"/>
                            </a:spcBef>
                            <a:spcAft>
                              <a:spcPct val="0"/>
                            </a:spcAft>
                            <a:defRPr kern="1200">
                              <a:solidFill>
                                <a:schemeClr val="tx1"/>
                              </a:solidFill>
                              <a:latin typeface="Arial" panose="020B0604020202020204" pitchFamily="34" charset="0"/>
                              <a:ea typeface="宋体" panose="02010600030101010101" pitchFamily="2" charset="-122"/>
                              <a:cs typeface="+mn-cs"/>
                            </a:defRPr>
                          </a:lvl4pPr>
                          <a:lvl5pPr marL="1828800" algn="l" rtl="0" fontAlgn="base">
                            <a:spcBef>
                              <a:spcPct val="0"/>
                            </a:spcBef>
                            <a:spcAft>
                              <a:spcPct val="0"/>
                            </a:spcAft>
                            <a:defRPr kern="1200">
                              <a:solidFill>
                                <a:schemeClr val="tx1"/>
                              </a:solidFill>
                              <a:latin typeface="Arial" panose="020B0604020202020204" pitchFamily="34" charset="0"/>
                              <a:ea typeface="宋体" panose="02010600030101010101" pitchFamily="2" charset="-122"/>
                              <a:cs typeface="+mn-cs"/>
                            </a:defRPr>
                          </a:lvl5pPr>
                          <a:lvl6pPr marL="2286000" algn="l" defTabSz="914400" rtl="0" eaLnBrk="1" latinLnBrk="0" hangingPunct="1">
                            <a:defRPr kern="1200">
                              <a:solidFill>
                                <a:schemeClr val="tx1"/>
                              </a:solidFill>
                              <a:latin typeface="Arial" panose="020B0604020202020204" pitchFamily="34" charset="0"/>
                              <a:ea typeface="宋体" panose="02010600030101010101" pitchFamily="2" charset="-122"/>
                              <a:cs typeface="+mn-cs"/>
                            </a:defRPr>
                          </a:lvl6pPr>
                          <a:lvl7pPr marL="2743200" algn="l" defTabSz="914400" rtl="0" eaLnBrk="1" latinLnBrk="0" hangingPunct="1">
                            <a:defRPr kern="1200">
                              <a:solidFill>
                                <a:schemeClr val="tx1"/>
                              </a:solidFill>
                              <a:latin typeface="Arial" panose="020B0604020202020204" pitchFamily="34" charset="0"/>
                              <a:ea typeface="宋体" panose="02010600030101010101" pitchFamily="2" charset="-122"/>
                              <a:cs typeface="+mn-cs"/>
                            </a:defRPr>
                          </a:lvl7pPr>
                          <a:lvl8pPr marL="3200400" algn="l" defTabSz="914400" rtl="0" eaLnBrk="1" latinLnBrk="0" hangingPunct="1">
                            <a:defRPr kern="1200">
                              <a:solidFill>
                                <a:schemeClr val="tx1"/>
                              </a:solidFill>
                              <a:latin typeface="Arial" panose="020B0604020202020204" pitchFamily="34" charset="0"/>
                              <a:ea typeface="宋体" panose="02010600030101010101" pitchFamily="2" charset="-122"/>
                              <a:cs typeface="+mn-cs"/>
                            </a:defRPr>
                          </a:lvl8pPr>
                          <a:lvl9pPr marL="3657600" algn="l" defTabSz="914400" rtl="0" eaLnBrk="1" latinLnBrk="0" hangingPunct="1">
                            <a:defRPr kern="1200">
                              <a:solidFill>
                                <a:schemeClr val="tx1"/>
                              </a:solidFill>
                              <a:latin typeface="Arial" panose="020B0604020202020204" pitchFamily="34" charset="0"/>
                              <a:ea typeface="宋体" panose="02010600030101010101" pitchFamily="2" charset="-122"/>
                              <a:cs typeface="+mn-cs"/>
                            </a:defRPr>
                          </a:lvl9pPr>
                        </a:lstStyle>
                        <a:p>
                          <a:pPr algn="ctr" defTabSz="914400">
                            <a:lnSpc>
                              <a:spcPct val="120000"/>
                            </a:lnSpc>
                            <a:buSzTx/>
                            <a:buFontTx/>
                            <a:buNone/>
                          </a:pPr>
                          <a:endParaRPr lang="zh-CN" altLang="en-US" sz="1800" dirty="0">
                            <a:solidFill>
                              <a:srgbClr val="FF0000"/>
                            </a:solidFill>
                            <a:latin typeface="黑体" panose="02010609060101010101" pitchFamily="49" charset="-122"/>
                            <a:ea typeface="黑体" panose="02010609060101010101" pitchFamily="49" charset="-122"/>
                          </a:endParaRPr>
                        </a:p>
                      </a:txBody>
                      <a:useSpRect/>
                    </a:txSp>
                  </a:sp>
                </lc:lockedCanvas>
              </a:graphicData>
            </a:graphic>
          </wp:inline>
        </w:drawing>
      </w:r>
    </w:p>
    <w:p w:rsidR="00305B02" w:rsidRDefault="00305B02" w:rsidP="007E342E">
      <w:pPr>
        <w:rPr>
          <w:rFonts w:ascii="Calibri" w:eastAsia="宋体" w:hAnsi="Calibri" w:cs="Times New Roman"/>
        </w:rPr>
      </w:pPr>
      <w:r w:rsidRPr="00305B02">
        <w:rPr>
          <w:rFonts w:ascii="Calibri" w:eastAsia="宋体" w:hAnsi="Calibri" w:cs="Times New Roman"/>
          <w:noProof/>
        </w:rPr>
        <w:lastRenderedPageBreak/>
        <w:drawing>
          <wp:inline distT="0" distB="0" distL="0" distR="0">
            <wp:extent cx="5274310" cy="2965578"/>
            <wp:effectExtent l="19050" t="0" r="2540" b="0"/>
            <wp:docPr id="17" name="对象 10"/>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7920000" cy="4452826"/>
                      <a:chOff x="575024" y="2208851"/>
                      <a:chExt cx="7920000" cy="4452826"/>
                    </a:xfrm>
                  </a:grpSpPr>
                  <a:pic>
                    <a:nvPicPr>
                      <a:cNvPr id="6" name="图片 5"/>
                      <a:cNvPicPr>
                        <a:picLocks noChangeAspect="1"/>
                      </a:cNvPicPr>
                    </a:nvPicPr>
                    <a:blipFill>
                      <a:blip r:embed="rId19"/>
                      <a:stretch>
                        <a:fillRect/>
                      </a:stretch>
                    </a:blipFill>
                    <a:spPr>
                      <a:xfrm>
                        <a:off x="575024" y="2208851"/>
                        <a:ext cx="7920000" cy="4452826"/>
                      </a:xfrm>
                      <a:prstGeom prst="rect">
                        <a:avLst/>
                      </a:prstGeom>
                      <a:ln>
                        <a:solidFill>
                          <a:srgbClr val="FF0000"/>
                        </a:solidFill>
                      </a:ln>
                    </a:spPr>
                  </a:pic>
                  <a:sp>
                    <a:nvSpPr>
                      <a:cNvPr id="15" name="矩形 14"/>
                      <a:cNvSpPr/>
                    </a:nvSpPr>
                    <a:spPr bwMode="auto">
                      <a:xfrm>
                        <a:off x="5723860" y="3528546"/>
                        <a:ext cx="728503" cy="300600"/>
                      </a:xfrm>
                      <a:prstGeom prst="rect">
                        <a:avLst/>
                      </a:prstGeom>
                      <a:noFill/>
                      <a:ln w="28575">
                        <a:solidFill>
                          <a:srgbClr val="FF0000"/>
                        </a:solidFill>
                      </a:ln>
                    </a:spPr>
                    <a:txSp>
                      <a:txBody>
                        <a:bodyPr rtlCol="0" anchor="ctr">
                          <a:noAutofit/>
                        </a:bodyPr>
                        <a:lstStyle>
                          <a:defPPr>
                            <a:defRPr lang="en-US"/>
                          </a:defPPr>
                          <a:lvl1pPr algn="l" rtl="0" fontAlgn="base">
                            <a:spcBef>
                              <a:spcPct val="0"/>
                            </a:spcBef>
                            <a:spcAft>
                              <a:spcPct val="0"/>
                            </a:spcAft>
                            <a:defRPr kern="1200">
                              <a:solidFill>
                                <a:schemeClr val="tx1"/>
                              </a:solidFill>
                              <a:latin typeface="Arial" panose="020B0604020202020204" pitchFamily="34" charset="0"/>
                              <a:ea typeface="宋体" panose="02010600030101010101" pitchFamily="2" charset="-122"/>
                              <a:cs typeface="+mn-cs"/>
                            </a:defRPr>
                          </a:lvl1pPr>
                          <a:lvl2pPr marL="457200" algn="l" rtl="0" fontAlgn="base">
                            <a:spcBef>
                              <a:spcPct val="0"/>
                            </a:spcBef>
                            <a:spcAft>
                              <a:spcPct val="0"/>
                            </a:spcAft>
                            <a:defRPr kern="1200">
                              <a:solidFill>
                                <a:schemeClr val="tx1"/>
                              </a:solidFill>
                              <a:latin typeface="Arial" panose="020B0604020202020204" pitchFamily="34" charset="0"/>
                              <a:ea typeface="宋体" panose="02010600030101010101" pitchFamily="2" charset="-122"/>
                              <a:cs typeface="+mn-cs"/>
                            </a:defRPr>
                          </a:lvl2pPr>
                          <a:lvl3pPr marL="914400" algn="l" rtl="0" fontAlgn="base">
                            <a:spcBef>
                              <a:spcPct val="0"/>
                            </a:spcBef>
                            <a:spcAft>
                              <a:spcPct val="0"/>
                            </a:spcAft>
                            <a:defRPr kern="1200">
                              <a:solidFill>
                                <a:schemeClr val="tx1"/>
                              </a:solidFill>
                              <a:latin typeface="Arial" panose="020B0604020202020204" pitchFamily="34" charset="0"/>
                              <a:ea typeface="宋体" panose="02010600030101010101" pitchFamily="2" charset="-122"/>
                              <a:cs typeface="+mn-cs"/>
                            </a:defRPr>
                          </a:lvl3pPr>
                          <a:lvl4pPr marL="1371600" algn="l" rtl="0" fontAlgn="base">
                            <a:spcBef>
                              <a:spcPct val="0"/>
                            </a:spcBef>
                            <a:spcAft>
                              <a:spcPct val="0"/>
                            </a:spcAft>
                            <a:defRPr kern="1200">
                              <a:solidFill>
                                <a:schemeClr val="tx1"/>
                              </a:solidFill>
                              <a:latin typeface="Arial" panose="020B0604020202020204" pitchFamily="34" charset="0"/>
                              <a:ea typeface="宋体" panose="02010600030101010101" pitchFamily="2" charset="-122"/>
                              <a:cs typeface="+mn-cs"/>
                            </a:defRPr>
                          </a:lvl4pPr>
                          <a:lvl5pPr marL="1828800" algn="l" rtl="0" fontAlgn="base">
                            <a:spcBef>
                              <a:spcPct val="0"/>
                            </a:spcBef>
                            <a:spcAft>
                              <a:spcPct val="0"/>
                            </a:spcAft>
                            <a:defRPr kern="1200">
                              <a:solidFill>
                                <a:schemeClr val="tx1"/>
                              </a:solidFill>
                              <a:latin typeface="Arial" panose="020B0604020202020204" pitchFamily="34" charset="0"/>
                              <a:ea typeface="宋体" panose="02010600030101010101" pitchFamily="2" charset="-122"/>
                              <a:cs typeface="+mn-cs"/>
                            </a:defRPr>
                          </a:lvl5pPr>
                          <a:lvl6pPr marL="2286000" algn="l" defTabSz="914400" rtl="0" eaLnBrk="1" latinLnBrk="0" hangingPunct="1">
                            <a:defRPr kern="1200">
                              <a:solidFill>
                                <a:schemeClr val="tx1"/>
                              </a:solidFill>
                              <a:latin typeface="Arial" panose="020B0604020202020204" pitchFamily="34" charset="0"/>
                              <a:ea typeface="宋体" panose="02010600030101010101" pitchFamily="2" charset="-122"/>
                              <a:cs typeface="+mn-cs"/>
                            </a:defRPr>
                          </a:lvl6pPr>
                          <a:lvl7pPr marL="2743200" algn="l" defTabSz="914400" rtl="0" eaLnBrk="1" latinLnBrk="0" hangingPunct="1">
                            <a:defRPr kern="1200">
                              <a:solidFill>
                                <a:schemeClr val="tx1"/>
                              </a:solidFill>
                              <a:latin typeface="Arial" panose="020B0604020202020204" pitchFamily="34" charset="0"/>
                              <a:ea typeface="宋体" panose="02010600030101010101" pitchFamily="2" charset="-122"/>
                              <a:cs typeface="+mn-cs"/>
                            </a:defRPr>
                          </a:lvl7pPr>
                          <a:lvl8pPr marL="3200400" algn="l" defTabSz="914400" rtl="0" eaLnBrk="1" latinLnBrk="0" hangingPunct="1">
                            <a:defRPr kern="1200">
                              <a:solidFill>
                                <a:schemeClr val="tx1"/>
                              </a:solidFill>
                              <a:latin typeface="Arial" panose="020B0604020202020204" pitchFamily="34" charset="0"/>
                              <a:ea typeface="宋体" panose="02010600030101010101" pitchFamily="2" charset="-122"/>
                              <a:cs typeface="+mn-cs"/>
                            </a:defRPr>
                          </a:lvl8pPr>
                          <a:lvl9pPr marL="3657600" algn="l" defTabSz="914400" rtl="0" eaLnBrk="1" latinLnBrk="0" hangingPunct="1">
                            <a:defRPr kern="1200">
                              <a:solidFill>
                                <a:schemeClr val="tx1"/>
                              </a:solidFill>
                              <a:latin typeface="Arial" panose="020B0604020202020204" pitchFamily="34" charset="0"/>
                              <a:ea typeface="宋体" panose="02010600030101010101" pitchFamily="2" charset="-122"/>
                              <a:cs typeface="+mn-cs"/>
                            </a:defRPr>
                          </a:lvl9pPr>
                        </a:lstStyle>
                        <a:p>
                          <a:pPr algn="ctr" defTabSz="914400">
                            <a:lnSpc>
                              <a:spcPct val="120000"/>
                            </a:lnSpc>
                            <a:buSzTx/>
                            <a:buFontTx/>
                            <a:buNone/>
                          </a:pPr>
                          <a:endParaRPr lang="zh-CN" altLang="en-US" sz="1800" dirty="0">
                            <a:solidFill>
                              <a:srgbClr val="FF0000"/>
                            </a:solidFill>
                            <a:latin typeface="黑体" panose="02010609060101010101" pitchFamily="49" charset="-122"/>
                            <a:ea typeface="黑体" panose="02010609060101010101" pitchFamily="49" charset="-122"/>
                          </a:endParaRPr>
                        </a:p>
                      </a:txBody>
                      <a:useSpRect/>
                    </a:txSp>
                  </a:sp>
                </lc:lockedCanvas>
              </a:graphicData>
            </a:graphic>
          </wp:inline>
        </w:drawing>
      </w:r>
    </w:p>
    <w:p w:rsidR="00305B02" w:rsidRDefault="00305B02" w:rsidP="007E342E">
      <w:pPr>
        <w:rPr>
          <w:rFonts w:ascii="Calibri" w:eastAsia="宋体" w:hAnsi="Calibri" w:cs="Times New Roman"/>
        </w:rPr>
      </w:pPr>
    </w:p>
    <w:p w:rsidR="001F5B5C" w:rsidRDefault="001F5B5C" w:rsidP="007E342E">
      <w:pPr>
        <w:rPr>
          <w:rFonts w:ascii="Calibri" w:eastAsia="宋体" w:hAnsi="Calibri" w:cs="Times New Roman"/>
        </w:rPr>
      </w:pPr>
    </w:p>
    <w:p w:rsidR="001F5B5C" w:rsidRDefault="001F5B5C" w:rsidP="007E342E">
      <w:pPr>
        <w:rPr>
          <w:rFonts w:ascii="Calibri" w:eastAsia="宋体" w:hAnsi="Calibri" w:cs="Times New Roman"/>
        </w:rPr>
      </w:pPr>
    </w:p>
    <w:p w:rsidR="00305B02" w:rsidRDefault="00305B02" w:rsidP="007E342E">
      <w:pPr>
        <w:rPr>
          <w:rFonts w:ascii="Calibri" w:eastAsia="宋体" w:hAnsi="Calibri" w:cs="Times New Roman"/>
        </w:rPr>
      </w:pPr>
      <w:r>
        <w:rPr>
          <w:rFonts w:ascii="Calibri" w:eastAsia="宋体" w:hAnsi="Calibri" w:cs="Times New Roman" w:hint="eastAsia"/>
        </w:rPr>
        <w:t>（</w:t>
      </w:r>
      <w:r>
        <w:rPr>
          <w:rFonts w:ascii="Calibri" w:eastAsia="宋体" w:hAnsi="Calibri" w:cs="Times New Roman" w:hint="eastAsia"/>
        </w:rPr>
        <w:t>2</w:t>
      </w:r>
      <w:r>
        <w:rPr>
          <w:rFonts w:ascii="Calibri" w:eastAsia="宋体" w:hAnsi="Calibri" w:cs="Times New Roman" w:hint="eastAsia"/>
        </w:rPr>
        <w:t>）</w:t>
      </w:r>
      <w:r w:rsidR="00DE1EA7">
        <w:rPr>
          <w:rFonts w:ascii="Calibri" w:eastAsia="宋体" w:hAnsi="Calibri" w:cs="Times New Roman" w:hint="eastAsia"/>
        </w:rPr>
        <w:t>按照异议申请人信息选择</w:t>
      </w:r>
      <w:r>
        <w:rPr>
          <w:rFonts w:ascii="Calibri" w:eastAsia="宋体" w:hAnsi="Calibri" w:cs="Times New Roman" w:hint="eastAsia"/>
        </w:rPr>
        <w:t>“自然人</w:t>
      </w:r>
      <w:r w:rsidR="00DE1EA7">
        <w:rPr>
          <w:rFonts w:ascii="Calibri" w:eastAsia="宋体" w:hAnsi="Calibri" w:cs="Times New Roman" w:hint="eastAsia"/>
        </w:rPr>
        <w:t>”、“企业”或</w:t>
      </w:r>
      <w:r>
        <w:rPr>
          <w:rFonts w:ascii="Calibri" w:eastAsia="宋体" w:hAnsi="Calibri" w:cs="Times New Roman" w:hint="eastAsia"/>
        </w:rPr>
        <w:t>“其他相关单位”</w:t>
      </w:r>
      <w:r w:rsidR="00DE1EA7">
        <w:rPr>
          <w:rFonts w:ascii="Calibri" w:eastAsia="宋体" w:hAnsi="Calibri" w:cs="Times New Roman" w:hint="eastAsia"/>
        </w:rPr>
        <w:t>。</w:t>
      </w:r>
    </w:p>
    <w:p w:rsidR="00305B02" w:rsidRDefault="00305B02" w:rsidP="007E342E">
      <w:pPr>
        <w:rPr>
          <w:rFonts w:ascii="Calibri" w:eastAsia="宋体" w:hAnsi="Calibri" w:cs="Times New Roman"/>
        </w:rPr>
      </w:pPr>
      <w:r w:rsidRPr="00305B02">
        <w:rPr>
          <w:rFonts w:ascii="Calibri" w:eastAsia="宋体" w:hAnsi="Calibri" w:cs="Times New Roman"/>
          <w:noProof/>
        </w:rPr>
        <w:drawing>
          <wp:inline distT="0" distB="0" distL="0" distR="0">
            <wp:extent cx="5274310" cy="2965578"/>
            <wp:effectExtent l="19050" t="0" r="2540" b="0"/>
            <wp:docPr id="18" name="对象 11"/>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7920000" cy="4452826"/>
                      <a:chOff x="721709" y="2400403"/>
                      <a:chExt cx="7920000" cy="4452826"/>
                    </a:xfrm>
                  </a:grpSpPr>
                  <a:pic>
                    <a:nvPicPr>
                      <a:cNvPr id="9" name="图片 8"/>
                      <a:cNvPicPr>
                        <a:picLocks noChangeAspect="1"/>
                      </a:cNvPicPr>
                    </a:nvPicPr>
                    <a:blipFill>
                      <a:blip r:embed="rId20"/>
                      <a:stretch>
                        <a:fillRect/>
                      </a:stretch>
                    </a:blipFill>
                    <a:spPr>
                      <a:xfrm>
                        <a:off x="721709" y="2400403"/>
                        <a:ext cx="7920000" cy="4452826"/>
                      </a:xfrm>
                      <a:prstGeom prst="rect">
                        <a:avLst/>
                      </a:prstGeom>
                      <a:ln>
                        <a:solidFill>
                          <a:srgbClr val="FF0000"/>
                        </a:solidFill>
                      </a:ln>
                    </a:spPr>
                  </a:pic>
                  <a:sp>
                    <a:nvSpPr>
                      <a:cNvPr id="17" name="圆角矩形标注 16"/>
                      <a:cNvSpPr/>
                    </a:nvSpPr>
                    <a:spPr bwMode="auto">
                      <a:xfrm>
                        <a:off x="3005210" y="3913485"/>
                        <a:ext cx="1934985" cy="456542"/>
                      </a:xfrm>
                      <a:prstGeom prst="wedgeRoundRectCallout">
                        <a:avLst>
                          <a:gd name="adj1" fmla="val -28708"/>
                          <a:gd name="adj2" fmla="val 76745"/>
                          <a:gd name="adj3" fmla="val 16667"/>
                        </a:avLst>
                      </a:prstGeom>
                      <a:solidFill>
                        <a:srgbClr val="FFFF00"/>
                      </a:solidFill>
                    </a:spPr>
                    <a:txSp>
                      <a:txBody>
                        <a:bodyPr anchor="ctr"/>
                        <a:lstStyle>
                          <a:defPPr>
                            <a:defRPr lang="en-US"/>
                          </a:defPPr>
                          <a:lvl1pPr algn="l" rtl="0" fontAlgn="base">
                            <a:spcBef>
                              <a:spcPct val="0"/>
                            </a:spcBef>
                            <a:spcAft>
                              <a:spcPct val="0"/>
                            </a:spcAft>
                            <a:defRPr kern="1200">
                              <a:solidFill>
                                <a:schemeClr val="lt1"/>
                              </a:solidFill>
                              <a:latin typeface="+mn-lt"/>
                              <a:ea typeface="+mn-ea"/>
                              <a:cs typeface="+mn-cs"/>
                            </a:defRPr>
                          </a:lvl1pPr>
                          <a:lvl2pPr marL="457200" algn="l" rtl="0" fontAlgn="base">
                            <a:spcBef>
                              <a:spcPct val="0"/>
                            </a:spcBef>
                            <a:spcAft>
                              <a:spcPct val="0"/>
                            </a:spcAft>
                            <a:defRPr kern="1200">
                              <a:solidFill>
                                <a:schemeClr val="lt1"/>
                              </a:solidFill>
                              <a:latin typeface="+mn-lt"/>
                              <a:ea typeface="+mn-ea"/>
                              <a:cs typeface="+mn-cs"/>
                            </a:defRPr>
                          </a:lvl2pPr>
                          <a:lvl3pPr marL="914400" algn="l" rtl="0" fontAlgn="base">
                            <a:spcBef>
                              <a:spcPct val="0"/>
                            </a:spcBef>
                            <a:spcAft>
                              <a:spcPct val="0"/>
                            </a:spcAft>
                            <a:defRPr kern="1200">
                              <a:solidFill>
                                <a:schemeClr val="lt1"/>
                              </a:solidFill>
                              <a:latin typeface="+mn-lt"/>
                              <a:ea typeface="+mn-ea"/>
                              <a:cs typeface="+mn-cs"/>
                            </a:defRPr>
                          </a:lvl3pPr>
                          <a:lvl4pPr marL="1371600" algn="l" rtl="0" fontAlgn="base">
                            <a:spcBef>
                              <a:spcPct val="0"/>
                            </a:spcBef>
                            <a:spcAft>
                              <a:spcPct val="0"/>
                            </a:spcAft>
                            <a:defRPr kern="1200">
                              <a:solidFill>
                                <a:schemeClr val="lt1"/>
                              </a:solidFill>
                              <a:latin typeface="+mn-lt"/>
                              <a:ea typeface="+mn-ea"/>
                              <a:cs typeface="+mn-cs"/>
                            </a:defRPr>
                          </a:lvl4pPr>
                          <a:lvl5pPr marL="1828800" algn="l" rtl="0" fontAlgn="base">
                            <a:spcBef>
                              <a:spcPct val="0"/>
                            </a:spcBef>
                            <a:spcAft>
                              <a:spcPct val="0"/>
                            </a:spcAft>
                            <a:defRPr kern="1200">
                              <a:solidFill>
                                <a:schemeClr val="lt1"/>
                              </a:solidFill>
                              <a:latin typeface="+mn-lt"/>
                              <a:ea typeface="+mn-ea"/>
                              <a:cs typeface="+mn-cs"/>
                            </a:defRPr>
                          </a:lvl5pPr>
                          <a:lvl6pPr marL="2286000" algn="l" defTabSz="914400" rtl="0" eaLnBrk="1" latinLnBrk="0" hangingPunct="1">
                            <a:defRPr kern="1200">
                              <a:solidFill>
                                <a:schemeClr val="lt1"/>
                              </a:solidFill>
                              <a:latin typeface="+mn-lt"/>
                              <a:ea typeface="+mn-ea"/>
                              <a:cs typeface="+mn-cs"/>
                            </a:defRPr>
                          </a:lvl6pPr>
                          <a:lvl7pPr marL="2743200" algn="l" defTabSz="914400" rtl="0" eaLnBrk="1" latinLnBrk="0" hangingPunct="1">
                            <a:defRPr kern="1200">
                              <a:solidFill>
                                <a:schemeClr val="lt1"/>
                              </a:solidFill>
                              <a:latin typeface="+mn-lt"/>
                              <a:ea typeface="+mn-ea"/>
                              <a:cs typeface="+mn-cs"/>
                            </a:defRPr>
                          </a:lvl7pPr>
                          <a:lvl8pPr marL="3200400" algn="l" defTabSz="914400" rtl="0" eaLnBrk="1" latinLnBrk="0" hangingPunct="1">
                            <a:defRPr kern="1200">
                              <a:solidFill>
                                <a:schemeClr val="lt1"/>
                              </a:solidFill>
                              <a:latin typeface="+mn-lt"/>
                              <a:ea typeface="+mn-ea"/>
                              <a:cs typeface="+mn-cs"/>
                            </a:defRPr>
                          </a:lvl8pPr>
                          <a:lvl9pPr marL="3657600" algn="l" defTabSz="914400" rtl="0" eaLnBrk="1" latinLnBrk="0" hangingPunct="1">
                            <a:defRPr kern="1200">
                              <a:solidFill>
                                <a:schemeClr val="lt1"/>
                              </a:solidFill>
                              <a:latin typeface="+mn-lt"/>
                              <a:ea typeface="+mn-ea"/>
                              <a:cs typeface="+mn-cs"/>
                            </a:defRPr>
                          </a:lvl9pPr>
                        </a:lstStyle>
                        <a:p>
                          <a:r>
                            <a:rPr lang="zh-CN" altLang="en-US" dirty="0" smtClean="0">
                              <a:solidFill>
                                <a:schemeClr val="tx1"/>
                              </a:solidFill>
                              <a:latin typeface="黑体" panose="02010609060101010101" pitchFamily="49" charset="-122"/>
                              <a:ea typeface="黑体" panose="02010609060101010101" pitchFamily="49" charset="-122"/>
                            </a:rPr>
                            <a:t>自然人异议填报</a:t>
                          </a:r>
                          <a:endParaRPr lang="zh-CN" altLang="zh-CN" dirty="0">
                            <a:solidFill>
                              <a:schemeClr val="tx1"/>
                            </a:solidFill>
                            <a:latin typeface="黑体" panose="02010609060101010101" pitchFamily="49" charset="-122"/>
                            <a:ea typeface="黑体" panose="02010609060101010101" pitchFamily="49" charset="-122"/>
                          </a:endParaRPr>
                        </a:p>
                      </a:txBody>
                      <a:useSpRect/>
                    </a:txSp>
                    <a:style>
                      <a:lnRef idx="3">
                        <a:schemeClr val="lt1"/>
                      </a:lnRef>
                      <a:fillRef idx="1">
                        <a:schemeClr val="accent3"/>
                      </a:fillRef>
                      <a:effectRef idx="1">
                        <a:schemeClr val="accent3"/>
                      </a:effectRef>
                      <a:fontRef idx="minor">
                        <a:schemeClr val="lt1"/>
                      </a:fontRef>
                    </a:style>
                  </a:sp>
                  <a:sp>
                    <a:nvSpPr>
                      <a:cNvPr id="18" name="矩形 17"/>
                      <a:cNvSpPr/>
                    </a:nvSpPr>
                    <a:spPr bwMode="auto">
                      <a:xfrm>
                        <a:off x="1798280" y="4616683"/>
                        <a:ext cx="1989788" cy="360040"/>
                      </a:xfrm>
                      <a:prstGeom prst="rect">
                        <a:avLst/>
                      </a:prstGeom>
                      <a:noFill/>
                      <a:ln w="28575">
                        <a:solidFill>
                          <a:srgbClr val="FF0000"/>
                        </a:solidFill>
                      </a:ln>
                    </a:spPr>
                    <a:txSp>
                      <a:txBody>
                        <a:bodyPr rtlCol="0" anchor="ctr">
                          <a:noAutofit/>
                        </a:bodyPr>
                        <a:lstStyle>
                          <a:defPPr>
                            <a:defRPr lang="en-US"/>
                          </a:defPPr>
                          <a:lvl1pPr algn="l" rtl="0" fontAlgn="base">
                            <a:spcBef>
                              <a:spcPct val="0"/>
                            </a:spcBef>
                            <a:spcAft>
                              <a:spcPct val="0"/>
                            </a:spcAft>
                            <a:defRPr kern="1200">
                              <a:solidFill>
                                <a:schemeClr val="tx1"/>
                              </a:solidFill>
                              <a:latin typeface="Arial" panose="020B0604020202020204" pitchFamily="34" charset="0"/>
                              <a:ea typeface="宋体" panose="02010600030101010101" pitchFamily="2" charset="-122"/>
                              <a:cs typeface="+mn-cs"/>
                            </a:defRPr>
                          </a:lvl1pPr>
                          <a:lvl2pPr marL="457200" algn="l" rtl="0" fontAlgn="base">
                            <a:spcBef>
                              <a:spcPct val="0"/>
                            </a:spcBef>
                            <a:spcAft>
                              <a:spcPct val="0"/>
                            </a:spcAft>
                            <a:defRPr kern="1200">
                              <a:solidFill>
                                <a:schemeClr val="tx1"/>
                              </a:solidFill>
                              <a:latin typeface="Arial" panose="020B0604020202020204" pitchFamily="34" charset="0"/>
                              <a:ea typeface="宋体" panose="02010600030101010101" pitchFamily="2" charset="-122"/>
                              <a:cs typeface="+mn-cs"/>
                            </a:defRPr>
                          </a:lvl2pPr>
                          <a:lvl3pPr marL="914400" algn="l" rtl="0" fontAlgn="base">
                            <a:spcBef>
                              <a:spcPct val="0"/>
                            </a:spcBef>
                            <a:spcAft>
                              <a:spcPct val="0"/>
                            </a:spcAft>
                            <a:defRPr kern="1200">
                              <a:solidFill>
                                <a:schemeClr val="tx1"/>
                              </a:solidFill>
                              <a:latin typeface="Arial" panose="020B0604020202020204" pitchFamily="34" charset="0"/>
                              <a:ea typeface="宋体" panose="02010600030101010101" pitchFamily="2" charset="-122"/>
                              <a:cs typeface="+mn-cs"/>
                            </a:defRPr>
                          </a:lvl3pPr>
                          <a:lvl4pPr marL="1371600" algn="l" rtl="0" fontAlgn="base">
                            <a:spcBef>
                              <a:spcPct val="0"/>
                            </a:spcBef>
                            <a:spcAft>
                              <a:spcPct val="0"/>
                            </a:spcAft>
                            <a:defRPr kern="1200">
                              <a:solidFill>
                                <a:schemeClr val="tx1"/>
                              </a:solidFill>
                              <a:latin typeface="Arial" panose="020B0604020202020204" pitchFamily="34" charset="0"/>
                              <a:ea typeface="宋体" panose="02010600030101010101" pitchFamily="2" charset="-122"/>
                              <a:cs typeface="+mn-cs"/>
                            </a:defRPr>
                          </a:lvl4pPr>
                          <a:lvl5pPr marL="1828800" algn="l" rtl="0" fontAlgn="base">
                            <a:spcBef>
                              <a:spcPct val="0"/>
                            </a:spcBef>
                            <a:spcAft>
                              <a:spcPct val="0"/>
                            </a:spcAft>
                            <a:defRPr kern="1200">
                              <a:solidFill>
                                <a:schemeClr val="tx1"/>
                              </a:solidFill>
                              <a:latin typeface="Arial" panose="020B0604020202020204" pitchFamily="34" charset="0"/>
                              <a:ea typeface="宋体" panose="02010600030101010101" pitchFamily="2" charset="-122"/>
                              <a:cs typeface="+mn-cs"/>
                            </a:defRPr>
                          </a:lvl5pPr>
                          <a:lvl6pPr marL="2286000" algn="l" defTabSz="914400" rtl="0" eaLnBrk="1" latinLnBrk="0" hangingPunct="1">
                            <a:defRPr kern="1200">
                              <a:solidFill>
                                <a:schemeClr val="tx1"/>
                              </a:solidFill>
                              <a:latin typeface="Arial" panose="020B0604020202020204" pitchFamily="34" charset="0"/>
                              <a:ea typeface="宋体" panose="02010600030101010101" pitchFamily="2" charset="-122"/>
                              <a:cs typeface="+mn-cs"/>
                            </a:defRPr>
                          </a:lvl6pPr>
                          <a:lvl7pPr marL="2743200" algn="l" defTabSz="914400" rtl="0" eaLnBrk="1" latinLnBrk="0" hangingPunct="1">
                            <a:defRPr kern="1200">
                              <a:solidFill>
                                <a:schemeClr val="tx1"/>
                              </a:solidFill>
                              <a:latin typeface="Arial" panose="020B0604020202020204" pitchFamily="34" charset="0"/>
                              <a:ea typeface="宋体" panose="02010600030101010101" pitchFamily="2" charset="-122"/>
                              <a:cs typeface="+mn-cs"/>
                            </a:defRPr>
                          </a:lvl7pPr>
                          <a:lvl8pPr marL="3200400" algn="l" defTabSz="914400" rtl="0" eaLnBrk="1" latinLnBrk="0" hangingPunct="1">
                            <a:defRPr kern="1200">
                              <a:solidFill>
                                <a:schemeClr val="tx1"/>
                              </a:solidFill>
                              <a:latin typeface="Arial" panose="020B0604020202020204" pitchFamily="34" charset="0"/>
                              <a:ea typeface="宋体" panose="02010600030101010101" pitchFamily="2" charset="-122"/>
                              <a:cs typeface="+mn-cs"/>
                            </a:defRPr>
                          </a:lvl8pPr>
                          <a:lvl9pPr marL="3657600" algn="l" defTabSz="914400" rtl="0" eaLnBrk="1" latinLnBrk="0" hangingPunct="1">
                            <a:defRPr kern="1200">
                              <a:solidFill>
                                <a:schemeClr val="tx1"/>
                              </a:solidFill>
                              <a:latin typeface="Arial" panose="020B0604020202020204" pitchFamily="34" charset="0"/>
                              <a:ea typeface="宋体" panose="02010600030101010101" pitchFamily="2" charset="-122"/>
                              <a:cs typeface="+mn-cs"/>
                            </a:defRPr>
                          </a:lvl9pPr>
                        </a:lstStyle>
                        <a:p>
                          <a:pPr algn="ctr" defTabSz="914400">
                            <a:lnSpc>
                              <a:spcPct val="120000"/>
                            </a:lnSpc>
                            <a:buSzTx/>
                            <a:buFontTx/>
                            <a:buNone/>
                          </a:pPr>
                          <a:endParaRPr lang="zh-CN" altLang="en-US" sz="1800" dirty="0">
                            <a:solidFill>
                              <a:srgbClr val="FF0000"/>
                            </a:solidFill>
                            <a:latin typeface="黑体" panose="02010609060101010101" pitchFamily="49" charset="-122"/>
                            <a:ea typeface="黑体" panose="02010609060101010101" pitchFamily="49" charset="-122"/>
                          </a:endParaRPr>
                        </a:p>
                      </a:txBody>
                      <a:useSpRect/>
                    </a:txSp>
                  </a:sp>
                  <a:sp>
                    <a:nvSpPr>
                      <a:cNvPr id="32" name="圆角矩形标注 31"/>
                      <a:cNvSpPr/>
                    </a:nvSpPr>
                    <a:spPr bwMode="auto">
                      <a:xfrm>
                        <a:off x="2255684" y="5154022"/>
                        <a:ext cx="1774642" cy="456542"/>
                      </a:xfrm>
                      <a:prstGeom prst="wedgeRoundRectCallout">
                        <a:avLst>
                          <a:gd name="adj1" fmla="val 52616"/>
                          <a:gd name="adj2" fmla="val -113891"/>
                          <a:gd name="adj3" fmla="val 16667"/>
                        </a:avLst>
                      </a:prstGeom>
                      <a:solidFill>
                        <a:srgbClr val="FFFF00"/>
                      </a:solidFill>
                    </a:spPr>
                    <a:txSp>
                      <a:txBody>
                        <a:bodyPr anchor="ctr"/>
                        <a:lstStyle>
                          <a:defPPr>
                            <a:defRPr lang="en-US"/>
                          </a:defPPr>
                          <a:lvl1pPr algn="l" rtl="0" fontAlgn="base">
                            <a:spcBef>
                              <a:spcPct val="0"/>
                            </a:spcBef>
                            <a:spcAft>
                              <a:spcPct val="0"/>
                            </a:spcAft>
                            <a:defRPr kern="1200">
                              <a:solidFill>
                                <a:schemeClr val="lt1"/>
                              </a:solidFill>
                              <a:latin typeface="+mn-lt"/>
                              <a:ea typeface="+mn-ea"/>
                              <a:cs typeface="+mn-cs"/>
                            </a:defRPr>
                          </a:lvl1pPr>
                          <a:lvl2pPr marL="457200" algn="l" rtl="0" fontAlgn="base">
                            <a:spcBef>
                              <a:spcPct val="0"/>
                            </a:spcBef>
                            <a:spcAft>
                              <a:spcPct val="0"/>
                            </a:spcAft>
                            <a:defRPr kern="1200">
                              <a:solidFill>
                                <a:schemeClr val="lt1"/>
                              </a:solidFill>
                              <a:latin typeface="+mn-lt"/>
                              <a:ea typeface="+mn-ea"/>
                              <a:cs typeface="+mn-cs"/>
                            </a:defRPr>
                          </a:lvl2pPr>
                          <a:lvl3pPr marL="914400" algn="l" rtl="0" fontAlgn="base">
                            <a:spcBef>
                              <a:spcPct val="0"/>
                            </a:spcBef>
                            <a:spcAft>
                              <a:spcPct val="0"/>
                            </a:spcAft>
                            <a:defRPr kern="1200">
                              <a:solidFill>
                                <a:schemeClr val="lt1"/>
                              </a:solidFill>
                              <a:latin typeface="+mn-lt"/>
                              <a:ea typeface="+mn-ea"/>
                              <a:cs typeface="+mn-cs"/>
                            </a:defRPr>
                          </a:lvl3pPr>
                          <a:lvl4pPr marL="1371600" algn="l" rtl="0" fontAlgn="base">
                            <a:spcBef>
                              <a:spcPct val="0"/>
                            </a:spcBef>
                            <a:spcAft>
                              <a:spcPct val="0"/>
                            </a:spcAft>
                            <a:defRPr kern="1200">
                              <a:solidFill>
                                <a:schemeClr val="lt1"/>
                              </a:solidFill>
                              <a:latin typeface="+mn-lt"/>
                              <a:ea typeface="+mn-ea"/>
                              <a:cs typeface="+mn-cs"/>
                            </a:defRPr>
                          </a:lvl4pPr>
                          <a:lvl5pPr marL="1828800" algn="l" rtl="0" fontAlgn="base">
                            <a:spcBef>
                              <a:spcPct val="0"/>
                            </a:spcBef>
                            <a:spcAft>
                              <a:spcPct val="0"/>
                            </a:spcAft>
                            <a:defRPr kern="1200">
                              <a:solidFill>
                                <a:schemeClr val="lt1"/>
                              </a:solidFill>
                              <a:latin typeface="+mn-lt"/>
                              <a:ea typeface="+mn-ea"/>
                              <a:cs typeface="+mn-cs"/>
                            </a:defRPr>
                          </a:lvl5pPr>
                          <a:lvl6pPr marL="2286000" algn="l" defTabSz="914400" rtl="0" eaLnBrk="1" latinLnBrk="0" hangingPunct="1">
                            <a:defRPr kern="1200">
                              <a:solidFill>
                                <a:schemeClr val="lt1"/>
                              </a:solidFill>
                              <a:latin typeface="+mn-lt"/>
                              <a:ea typeface="+mn-ea"/>
                              <a:cs typeface="+mn-cs"/>
                            </a:defRPr>
                          </a:lvl6pPr>
                          <a:lvl7pPr marL="2743200" algn="l" defTabSz="914400" rtl="0" eaLnBrk="1" latinLnBrk="0" hangingPunct="1">
                            <a:defRPr kern="1200">
                              <a:solidFill>
                                <a:schemeClr val="lt1"/>
                              </a:solidFill>
                              <a:latin typeface="+mn-lt"/>
                              <a:ea typeface="+mn-ea"/>
                              <a:cs typeface="+mn-cs"/>
                            </a:defRPr>
                          </a:lvl7pPr>
                          <a:lvl8pPr marL="3200400" algn="l" defTabSz="914400" rtl="0" eaLnBrk="1" latinLnBrk="0" hangingPunct="1">
                            <a:defRPr kern="1200">
                              <a:solidFill>
                                <a:schemeClr val="lt1"/>
                              </a:solidFill>
                              <a:latin typeface="+mn-lt"/>
                              <a:ea typeface="+mn-ea"/>
                              <a:cs typeface="+mn-cs"/>
                            </a:defRPr>
                          </a:lvl8pPr>
                          <a:lvl9pPr marL="3657600" algn="l" defTabSz="914400" rtl="0" eaLnBrk="1" latinLnBrk="0" hangingPunct="1">
                            <a:defRPr kern="1200">
                              <a:solidFill>
                                <a:schemeClr val="lt1"/>
                              </a:solidFill>
                              <a:latin typeface="+mn-lt"/>
                              <a:ea typeface="+mn-ea"/>
                              <a:cs typeface="+mn-cs"/>
                            </a:defRPr>
                          </a:lvl9pPr>
                        </a:lstStyle>
                        <a:p>
                          <a:r>
                            <a:rPr lang="zh-CN" altLang="en-US" dirty="0">
                              <a:solidFill>
                                <a:schemeClr val="tx1"/>
                              </a:solidFill>
                              <a:latin typeface="黑体" panose="02010609060101010101" pitchFamily="49" charset="-122"/>
                              <a:ea typeface="黑体" panose="02010609060101010101" pitchFamily="49" charset="-122"/>
                            </a:rPr>
                            <a:t>企业</a:t>
                          </a:r>
                          <a:r>
                            <a:rPr lang="zh-CN" altLang="en-US" dirty="0" smtClean="0">
                              <a:solidFill>
                                <a:schemeClr val="tx1"/>
                              </a:solidFill>
                              <a:latin typeface="黑体" panose="02010609060101010101" pitchFamily="49" charset="-122"/>
                              <a:ea typeface="黑体" panose="02010609060101010101" pitchFamily="49" charset="-122"/>
                            </a:rPr>
                            <a:t>异议填报</a:t>
                          </a:r>
                          <a:endParaRPr lang="zh-CN" altLang="zh-CN" dirty="0">
                            <a:solidFill>
                              <a:schemeClr val="tx1"/>
                            </a:solidFill>
                            <a:latin typeface="黑体" panose="02010609060101010101" pitchFamily="49" charset="-122"/>
                            <a:ea typeface="黑体" panose="02010609060101010101" pitchFamily="49" charset="-122"/>
                          </a:endParaRPr>
                        </a:p>
                      </a:txBody>
                      <a:useSpRect/>
                    </a:txSp>
                    <a:style>
                      <a:lnRef idx="3">
                        <a:schemeClr val="lt1"/>
                      </a:lnRef>
                      <a:fillRef idx="1">
                        <a:schemeClr val="accent3"/>
                      </a:fillRef>
                      <a:effectRef idx="1">
                        <a:schemeClr val="accent3"/>
                      </a:effectRef>
                      <a:fontRef idx="minor">
                        <a:schemeClr val="lt1"/>
                      </a:fontRef>
                    </a:style>
                  </a:sp>
                  <a:sp>
                    <a:nvSpPr>
                      <a:cNvPr id="33" name="矩形 32"/>
                      <a:cNvSpPr/>
                    </a:nvSpPr>
                    <a:spPr bwMode="auto">
                      <a:xfrm>
                        <a:off x="3735234" y="4616320"/>
                        <a:ext cx="1845537" cy="360040"/>
                      </a:xfrm>
                      <a:prstGeom prst="rect">
                        <a:avLst/>
                      </a:prstGeom>
                      <a:noFill/>
                      <a:ln w="28575">
                        <a:solidFill>
                          <a:srgbClr val="FF0000"/>
                        </a:solidFill>
                      </a:ln>
                    </a:spPr>
                    <a:txSp>
                      <a:txBody>
                        <a:bodyPr rtlCol="0" anchor="ctr">
                          <a:noAutofit/>
                        </a:bodyPr>
                        <a:lstStyle>
                          <a:defPPr>
                            <a:defRPr lang="en-US"/>
                          </a:defPPr>
                          <a:lvl1pPr algn="l" rtl="0" fontAlgn="base">
                            <a:spcBef>
                              <a:spcPct val="0"/>
                            </a:spcBef>
                            <a:spcAft>
                              <a:spcPct val="0"/>
                            </a:spcAft>
                            <a:defRPr kern="1200">
                              <a:solidFill>
                                <a:schemeClr val="tx1"/>
                              </a:solidFill>
                              <a:latin typeface="Arial" panose="020B0604020202020204" pitchFamily="34" charset="0"/>
                              <a:ea typeface="宋体" panose="02010600030101010101" pitchFamily="2" charset="-122"/>
                              <a:cs typeface="+mn-cs"/>
                            </a:defRPr>
                          </a:lvl1pPr>
                          <a:lvl2pPr marL="457200" algn="l" rtl="0" fontAlgn="base">
                            <a:spcBef>
                              <a:spcPct val="0"/>
                            </a:spcBef>
                            <a:spcAft>
                              <a:spcPct val="0"/>
                            </a:spcAft>
                            <a:defRPr kern="1200">
                              <a:solidFill>
                                <a:schemeClr val="tx1"/>
                              </a:solidFill>
                              <a:latin typeface="Arial" panose="020B0604020202020204" pitchFamily="34" charset="0"/>
                              <a:ea typeface="宋体" panose="02010600030101010101" pitchFamily="2" charset="-122"/>
                              <a:cs typeface="+mn-cs"/>
                            </a:defRPr>
                          </a:lvl2pPr>
                          <a:lvl3pPr marL="914400" algn="l" rtl="0" fontAlgn="base">
                            <a:spcBef>
                              <a:spcPct val="0"/>
                            </a:spcBef>
                            <a:spcAft>
                              <a:spcPct val="0"/>
                            </a:spcAft>
                            <a:defRPr kern="1200">
                              <a:solidFill>
                                <a:schemeClr val="tx1"/>
                              </a:solidFill>
                              <a:latin typeface="Arial" panose="020B0604020202020204" pitchFamily="34" charset="0"/>
                              <a:ea typeface="宋体" panose="02010600030101010101" pitchFamily="2" charset="-122"/>
                              <a:cs typeface="+mn-cs"/>
                            </a:defRPr>
                          </a:lvl3pPr>
                          <a:lvl4pPr marL="1371600" algn="l" rtl="0" fontAlgn="base">
                            <a:spcBef>
                              <a:spcPct val="0"/>
                            </a:spcBef>
                            <a:spcAft>
                              <a:spcPct val="0"/>
                            </a:spcAft>
                            <a:defRPr kern="1200">
                              <a:solidFill>
                                <a:schemeClr val="tx1"/>
                              </a:solidFill>
                              <a:latin typeface="Arial" panose="020B0604020202020204" pitchFamily="34" charset="0"/>
                              <a:ea typeface="宋体" panose="02010600030101010101" pitchFamily="2" charset="-122"/>
                              <a:cs typeface="+mn-cs"/>
                            </a:defRPr>
                          </a:lvl4pPr>
                          <a:lvl5pPr marL="1828800" algn="l" rtl="0" fontAlgn="base">
                            <a:spcBef>
                              <a:spcPct val="0"/>
                            </a:spcBef>
                            <a:spcAft>
                              <a:spcPct val="0"/>
                            </a:spcAft>
                            <a:defRPr kern="1200">
                              <a:solidFill>
                                <a:schemeClr val="tx1"/>
                              </a:solidFill>
                              <a:latin typeface="Arial" panose="020B0604020202020204" pitchFamily="34" charset="0"/>
                              <a:ea typeface="宋体" panose="02010600030101010101" pitchFamily="2" charset="-122"/>
                              <a:cs typeface="+mn-cs"/>
                            </a:defRPr>
                          </a:lvl5pPr>
                          <a:lvl6pPr marL="2286000" algn="l" defTabSz="914400" rtl="0" eaLnBrk="1" latinLnBrk="0" hangingPunct="1">
                            <a:defRPr kern="1200">
                              <a:solidFill>
                                <a:schemeClr val="tx1"/>
                              </a:solidFill>
                              <a:latin typeface="Arial" panose="020B0604020202020204" pitchFamily="34" charset="0"/>
                              <a:ea typeface="宋体" panose="02010600030101010101" pitchFamily="2" charset="-122"/>
                              <a:cs typeface="+mn-cs"/>
                            </a:defRPr>
                          </a:lvl6pPr>
                          <a:lvl7pPr marL="2743200" algn="l" defTabSz="914400" rtl="0" eaLnBrk="1" latinLnBrk="0" hangingPunct="1">
                            <a:defRPr kern="1200">
                              <a:solidFill>
                                <a:schemeClr val="tx1"/>
                              </a:solidFill>
                              <a:latin typeface="Arial" panose="020B0604020202020204" pitchFamily="34" charset="0"/>
                              <a:ea typeface="宋体" panose="02010600030101010101" pitchFamily="2" charset="-122"/>
                              <a:cs typeface="+mn-cs"/>
                            </a:defRPr>
                          </a:lvl7pPr>
                          <a:lvl8pPr marL="3200400" algn="l" defTabSz="914400" rtl="0" eaLnBrk="1" latinLnBrk="0" hangingPunct="1">
                            <a:defRPr kern="1200">
                              <a:solidFill>
                                <a:schemeClr val="tx1"/>
                              </a:solidFill>
                              <a:latin typeface="Arial" panose="020B0604020202020204" pitchFamily="34" charset="0"/>
                              <a:ea typeface="宋体" panose="02010600030101010101" pitchFamily="2" charset="-122"/>
                              <a:cs typeface="+mn-cs"/>
                            </a:defRPr>
                          </a:lvl8pPr>
                          <a:lvl9pPr marL="3657600" algn="l" defTabSz="914400" rtl="0" eaLnBrk="1" latinLnBrk="0" hangingPunct="1">
                            <a:defRPr kern="1200">
                              <a:solidFill>
                                <a:schemeClr val="tx1"/>
                              </a:solidFill>
                              <a:latin typeface="Arial" panose="020B0604020202020204" pitchFamily="34" charset="0"/>
                              <a:ea typeface="宋体" panose="02010600030101010101" pitchFamily="2" charset="-122"/>
                              <a:cs typeface="+mn-cs"/>
                            </a:defRPr>
                          </a:lvl9pPr>
                        </a:lstStyle>
                        <a:p>
                          <a:pPr algn="ctr" defTabSz="914400">
                            <a:lnSpc>
                              <a:spcPct val="120000"/>
                            </a:lnSpc>
                            <a:buSzTx/>
                            <a:buFontTx/>
                            <a:buNone/>
                          </a:pPr>
                          <a:endParaRPr lang="zh-CN" altLang="en-US" sz="1800" dirty="0">
                            <a:solidFill>
                              <a:srgbClr val="FF0000"/>
                            </a:solidFill>
                            <a:latin typeface="黑体" panose="02010609060101010101" pitchFamily="49" charset="-122"/>
                            <a:ea typeface="黑体" panose="02010609060101010101" pitchFamily="49" charset="-122"/>
                          </a:endParaRPr>
                        </a:p>
                      </a:txBody>
                      <a:useSpRect/>
                    </a:txSp>
                  </a:sp>
                  <a:sp>
                    <a:nvSpPr>
                      <a:cNvPr id="34" name="圆角矩形标注 33"/>
                      <a:cNvSpPr/>
                    </a:nvSpPr>
                    <a:spPr bwMode="auto">
                      <a:xfrm>
                        <a:off x="5568073" y="5251507"/>
                        <a:ext cx="2604327" cy="456542"/>
                      </a:xfrm>
                      <a:prstGeom prst="wedgeRoundRectCallout">
                        <a:avLst>
                          <a:gd name="adj1" fmla="val 7672"/>
                          <a:gd name="adj2" fmla="val -162153"/>
                          <a:gd name="adj3" fmla="val 16667"/>
                        </a:avLst>
                      </a:prstGeom>
                      <a:solidFill>
                        <a:srgbClr val="FFFF00"/>
                      </a:solidFill>
                    </a:spPr>
                    <a:txSp>
                      <a:txBody>
                        <a:bodyPr anchor="ctr"/>
                        <a:lstStyle>
                          <a:defPPr>
                            <a:defRPr lang="en-US"/>
                          </a:defPPr>
                          <a:lvl1pPr algn="l" rtl="0" fontAlgn="base">
                            <a:spcBef>
                              <a:spcPct val="0"/>
                            </a:spcBef>
                            <a:spcAft>
                              <a:spcPct val="0"/>
                            </a:spcAft>
                            <a:defRPr kern="1200">
                              <a:solidFill>
                                <a:schemeClr val="lt1"/>
                              </a:solidFill>
                              <a:latin typeface="+mn-lt"/>
                              <a:ea typeface="+mn-ea"/>
                              <a:cs typeface="+mn-cs"/>
                            </a:defRPr>
                          </a:lvl1pPr>
                          <a:lvl2pPr marL="457200" algn="l" rtl="0" fontAlgn="base">
                            <a:spcBef>
                              <a:spcPct val="0"/>
                            </a:spcBef>
                            <a:spcAft>
                              <a:spcPct val="0"/>
                            </a:spcAft>
                            <a:defRPr kern="1200">
                              <a:solidFill>
                                <a:schemeClr val="lt1"/>
                              </a:solidFill>
                              <a:latin typeface="+mn-lt"/>
                              <a:ea typeface="+mn-ea"/>
                              <a:cs typeface="+mn-cs"/>
                            </a:defRPr>
                          </a:lvl2pPr>
                          <a:lvl3pPr marL="914400" algn="l" rtl="0" fontAlgn="base">
                            <a:spcBef>
                              <a:spcPct val="0"/>
                            </a:spcBef>
                            <a:spcAft>
                              <a:spcPct val="0"/>
                            </a:spcAft>
                            <a:defRPr kern="1200">
                              <a:solidFill>
                                <a:schemeClr val="lt1"/>
                              </a:solidFill>
                              <a:latin typeface="+mn-lt"/>
                              <a:ea typeface="+mn-ea"/>
                              <a:cs typeface="+mn-cs"/>
                            </a:defRPr>
                          </a:lvl3pPr>
                          <a:lvl4pPr marL="1371600" algn="l" rtl="0" fontAlgn="base">
                            <a:spcBef>
                              <a:spcPct val="0"/>
                            </a:spcBef>
                            <a:spcAft>
                              <a:spcPct val="0"/>
                            </a:spcAft>
                            <a:defRPr kern="1200">
                              <a:solidFill>
                                <a:schemeClr val="lt1"/>
                              </a:solidFill>
                              <a:latin typeface="+mn-lt"/>
                              <a:ea typeface="+mn-ea"/>
                              <a:cs typeface="+mn-cs"/>
                            </a:defRPr>
                          </a:lvl4pPr>
                          <a:lvl5pPr marL="1828800" algn="l" rtl="0" fontAlgn="base">
                            <a:spcBef>
                              <a:spcPct val="0"/>
                            </a:spcBef>
                            <a:spcAft>
                              <a:spcPct val="0"/>
                            </a:spcAft>
                            <a:defRPr kern="1200">
                              <a:solidFill>
                                <a:schemeClr val="lt1"/>
                              </a:solidFill>
                              <a:latin typeface="+mn-lt"/>
                              <a:ea typeface="+mn-ea"/>
                              <a:cs typeface="+mn-cs"/>
                            </a:defRPr>
                          </a:lvl5pPr>
                          <a:lvl6pPr marL="2286000" algn="l" defTabSz="914400" rtl="0" eaLnBrk="1" latinLnBrk="0" hangingPunct="1">
                            <a:defRPr kern="1200">
                              <a:solidFill>
                                <a:schemeClr val="lt1"/>
                              </a:solidFill>
                              <a:latin typeface="+mn-lt"/>
                              <a:ea typeface="+mn-ea"/>
                              <a:cs typeface="+mn-cs"/>
                            </a:defRPr>
                          </a:lvl6pPr>
                          <a:lvl7pPr marL="2743200" algn="l" defTabSz="914400" rtl="0" eaLnBrk="1" latinLnBrk="0" hangingPunct="1">
                            <a:defRPr kern="1200">
                              <a:solidFill>
                                <a:schemeClr val="lt1"/>
                              </a:solidFill>
                              <a:latin typeface="+mn-lt"/>
                              <a:ea typeface="+mn-ea"/>
                              <a:cs typeface="+mn-cs"/>
                            </a:defRPr>
                          </a:lvl7pPr>
                          <a:lvl8pPr marL="3200400" algn="l" defTabSz="914400" rtl="0" eaLnBrk="1" latinLnBrk="0" hangingPunct="1">
                            <a:defRPr kern="1200">
                              <a:solidFill>
                                <a:schemeClr val="lt1"/>
                              </a:solidFill>
                              <a:latin typeface="+mn-lt"/>
                              <a:ea typeface="+mn-ea"/>
                              <a:cs typeface="+mn-cs"/>
                            </a:defRPr>
                          </a:lvl8pPr>
                          <a:lvl9pPr marL="3657600" algn="l" defTabSz="914400" rtl="0" eaLnBrk="1" latinLnBrk="0" hangingPunct="1">
                            <a:defRPr kern="1200">
                              <a:solidFill>
                                <a:schemeClr val="lt1"/>
                              </a:solidFill>
                              <a:latin typeface="+mn-lt"/>
                              <a:ea typeface="+mn-ea"/>
                              <a:cs typeface="+mn-cs"/>
                            </a:defRPr>
                          </a:lvl9pPr>
                        </a:lstStyle>
                        <a:p>
                          <a:r>
                            <a:rPr lang="zh-CN" altLang="en-US" dirty="0">
                              <a:solidFill>
                                <a:schemeClr val="tx1"/>
                              </a:solidFill>
                              <a:latin typeface="黑体" panose="02010609060101010101" pitchFamily="49" charset="-122"/>
                              <a:ea typeface="黑体" panose="02010609060101010101" pitchFamily="49" charset="-122"/>
                            </a:rPr>
                            <a:t>其他</a:t>
                          </a:r>
                          <a:r>
                            <a:rPr lang="zh-CN" altLang="en-US" dirty="0" smtClean="0">
                              <a:solidFill>
                                <a:schemeClr val="tx1"/>
                              </a:solidFill>
                              <a:latin typeface="黑体" panose="02010609060101010101" pitchFamily="49" charset="-122"/>
                              <a:ea typeface="黑体" panose="02010609060101010101" pitchFamily="49" charset="-122"/>
                            </a:rPr>
                            <a:t>相关单位异议填报</a:t>
                          </a:r>
                          <a:endParaRPr lang="zh-CN" altLang="zh-CN" dirty="0">
                            <a:solidFill>
                              <a:schemeClr val="tx1"/>
                            </a:solidFill>
                            <a:latin typeface="黑体" panose="02010609060101010101" pitchFamily="49" charset="-122"/>
                            <a:ea typeface="黑体" panose="02010609060101010101" pitchFamily="49" charset="-122"/>
                          </a:endParaRPr>
                        </a:p>
                      </a:txBody>
                      <a:useSpRect/>
                    </a:txSp>
                    <a:style>
                      <a:lnRef idx="3">
                        <a:schemeClr val="lt1"/>
                      </a:lnRef>
                      <a:fillRef idx="1">
                        <a:schemeClr val="accent3"/>
                      </a:fillRef>
                      <a:effectRef idx="1">
                        <a:schemeClr val="accent3"/>
                      </a:effectRef>
                      <a:fontRef idx="minor">
                        <a:schemeClr val="lt1"/>
                      </a:fontRef>
                    </a:style>
                  </a:sp>
                  <a:sp>
                    <a:nvSpPr>
                      <a:cNvPr id="35" name="矩形 34"/>
                      <a:cNvSpPr/>
                    </a:nvSpPr>
                    <a:spPr bwMode="auto">
                      <a:xfrm>
                        <a:off x="5651926" y="4616460"/>
                        <a:ext cx="1785913" cy="360040"/>
                      </a:xfrm>
                      <a:prstGeom prst="rect">
                        <a:avLst/>
                      </a:prstGeom>
                      <a:noFill/>
                      <a:ln w="28575">
                        <a:solidFill>
                          <a:srgbClr val="FF0000"/>
                        </a:solidFill>
                      </a:ln>
                    </a:spPr>
                    <a:txSp>
                      <a:txBody>
                        <a:bodyPr rtlCol="0" anchor="ctr">
                          <a:noAutofit/>
                        </a:bodyPr>
                        <a:lstStyle>
                          <a:defPPr>
                            <a:defRPr lang="en-US"/>
                          </a:defPPr>
                          <a:lvl1pPr algn="l" rtl="0" fontAlgn="base">
                            <a:spcBef>
                              <a:spcPct val="0"/>
                            </a:spcBef>
                            <a:spcAft>
                              <a:spcPct val="0"/>
                            </a:spcAft>
                            <a:defRPr kern="1200">
                              <a:solidFill>
                                <a:schemeClr val="tx1"/>
                              </a:solidFill>
                              <a:latin typeface="Arial" panose="020B0604020202020204" pitchFamily="34" charset="0"/>
                              <a:ea typeface="宋体" panose="02010600030101010101" pitchFamily="2" charset="-122"/>
                              <a:cs typeface="+mn-cs"/>
                            </a:defRPr>
                          </a:lvl1pPr>
                          <a:lvl2pPr marL="457200" algn="l" rtl="0" fontAlgn="base">
                            <a:spcBef>
                              <a:spcPct val="0"/>
                            </a:spcBef>
                            <a:spcAft>
                              <a:spcPct val="0"/>
                            </a:spcAft>
                            <a:defRPr kern="1200">
                              <a:solidFill>
                                <a:schemeClr val="tx1"/>
                              </a:solidFill>
                              <a:latin typeface="Arial" panose="020B0604020202020204" pitchFamily="34" charset="0"/>
                              <a:ea typeface="宋体" panose="02010600030101010101" pitchFamily="2" charset="-122"/>
                              <a:cs typeface="+mn-cs"/>
                            </a:defRPr>
                          </a:lvl2pPr>
                          <a:lvl3pPr marL="914400" algn="l" rtl="0" fontAlgn="base">
                            <a:spcBef>
                              <a:spcPct val="0"/>
                            </a:spcBef>
                            <a:spcAft>
                              <a:spcPct val="0"/>
                            </a:spcAft>
                            <a:defRPr kern="1200">
                              <a:solidFill>
                                <a:schemeClr val="tx1"/>
                              </a:solidFill>
                              <a:latin typeface="Arial" panose="020B0604020202020204" pitchFamily="34" charset="0"/>
                              <a:ea typeface="宋体" panose="02010600030101010101" pitchFamily="2" charset="-122"/>
                              <a:cs typeface="+mn-cs"/>
                            </a:defRPr>
                          </a:lvl3pPr>
                          <a:lvl4pPr marL="1371600" algn="l" rtl="0" fontAlgn="base">
                            <a:spcBef>
                              <a:spcPct val="0"/>
                            </a:spcBef>
                            <a:spcAft>
                              <a:spcPct val="0"/>
                            </a:spcAft>
                            <a:defRPr kern="1200">
                              <a:solidFill>
                                <a:schemeClr val="tx1"/>
                              </a:solidFill>
                              <a:latin typeface="Arial" panose="020B0604020202020204" pitchFamily="34" charset="0"/>
                              <a:ea typeface="宋体" panose="02010600030101010101" pitchFamily="2" charset="-122"/>
                              <a:cs typeface="+mn-cs"/>
                            </a:defRPr>
                          </a:lvl4pPr>
                          <a:lvl5pPr marL="1828800" algn="l" rtl="0" fontAlgn="base">
                            <a:spcBef>
                              <a:spcPct val="0"/>
                            </a:spcBef>
                            <a:spcAft>
                              <a:spcPct val="0"/>
                            </a:spcAft>
                            <a:defRPr kern="1200">
                              <a:solidFill>
                                <a:schemeClr val="tx1"/>
                              </a:solidFill>
                              <a:latin typeface="Arial" panose="020B0604020202020204" pitchFamily="34" charset="0"/>
                              <a:ea typeface="宋体" panose="02010600030101010101" pitchFamily="2" charset="-122"/>
                              <a:cs typeface="+mn-cs"/>
                            </a:defRPr>
                          </a:lvl5pPr>
                          <a:lvl6pPr marL="2286000" algn="l" defTabSz="914400" rtl="0" eaLnBrk="1" latinLnBrk="0" hangingPunct="1">
                            <a:defRPr kern="1200">
                              <a:solidFill>
                                <a:schemeClr val="tx1"/>
                              </a:solidFill>
                              <a:latin typeface="Arial" panose="020B0604020202020204" pitchFamily="34" charset="0"/>
                              <a:ea typeface="宋体" panose="02010600030101010101" pitchFamily="2" charset="-122"/>
                              <a:cs typeface="+mn-cs"/>
                            </a:defRPr>
                          </a:lvl6pPr>
                          <a:lvl7pPr marL="2743200" algn="l" defTabSz="914400" rtl="0" eaLnBrk="1" latinLnBrk="0" hangingPunct="1">
                            <a:defRPr kern="1200">
                              <a:solidFill>
                                <a:schemeClr val="tx1"/>
                              </a:solidFill>
                              <a:latin typeface="Arial" panose="020B0604020202020204" pitchFamily="34" charset="0"/>
                              <a:ea typeface="宋体" panose="02010600030101010101" pitchFamily="2" charset="-122"/>
                              <a:cs typeface="+mn-cs"/>
                            </a:defRPr>
                          </a:lvl7pPr>
                          <a:lvl8pPr marL="3200400" algn="l" defTabSz="914400" rtl="0" eaLnBrk="1" latinLnBrk="0" hangingPunct="1">
                            <a:defRPr kern="1200">
                              <a:solidFill>
                                <a:schemeClr val="tx1"/>
                              </a:solidFill>
                              <a:latin typeface="Arial" panose="020B0604020202020204" pitchFamily="34" charset="0"/>
                              <a:ea typeface="宋体" panose="02010600030101010101" pitchFamily="2" charset="-122"/>
                              <a:cs typeface="+mn-cs"/>
                            </a:defRPr>
                          </a:lvl8pPr>
                          <a:lvl9pPr marL="3657600" algn="l" defTabSz="914400" rtl="0" eaLnBrk="1" latinLnBrk="0" hangingPunct="1">
                            <a:defRPr kern="1200">
                              <a:solidFill>
                                <a:schemeClr val="tx1"/>
                              </a:solidFill>
                              <a:latin typeface="Arial" panose="020B0604020202020204" pitchFamily="34" charset="0"/>
                              <a:ea typeface="宋体" panose="02010600030101010101" pitchFamily="2" charset="-122"/>
                              <a:cs typeface="+mn-cs"/>
                            </a:defRPr>
                          </a:lvl9pPr>
                        </a:lstStyle>
                        <a:p>
                          <a:pPr algn="ctr" defTabSz="914400">
                            <a:lnSpc>
                              <a:spcPct val="120000"/>
                            </a:lnSpc>
                            <a:buSzTx/>
                            <a:buFontTx/>
                            <a:buNone/>
                          </a:pPr>
                          <a:endParaRPr lang="zh-CN" altLang="en-US" sz="1800" dirty="0">
                            <a:solidFill>
                              <a:srgbClr val="FF0000"/>
                            </a:solidFill>
                            <a:latin typeface="黑体" panose="02010609060101010101" pitchFamily="49" charset="-122"/>
                            <a:ea typeface="黑体" panose="02010609060101010101" pitchFamily="49" charset="-122"/>
                          </a:endParaRPr>
                        </a:p>
                      </a:txBody>
                      <a:useSpRect/>
                    </a:txSp>
                  </a:sp>
                </lc:lockedCanvas>
              </a:graphicData>
            </a:graphic>
          </wp:inline>
        </w:drawing>
      </w:r>
    </w:p>
    <w:p w:rsidR="00DE1EA7" w:rsidRDefault="00DE1EA7" w:rsidP="007E342E">
      <w:pPr>
        <w:rPr>
          <w:rFonts w:ascii="Calibri" w:eastAsia="宋体" w:hAnsi="Calibri" w:cs="Times New Roman"/>
        </w:rPr>
      </w:pPr>
    </w:p>
    <w:p w:rsidR="00DE1EA7" w:rsidRDefault="00DE1EA7" w:rsidP="007E342E">
      <w:pPr>
        <w:rPr>
          <w:rFonts w:ascii="Calibri" w:eastAsia="宋体" w:hAnsi="Calibri" w:cs="Times New Roman"/>
        </w:rPr>
      </w:pPr>
      <w:r>
        <w:rPr>
          <w:rFonts w:ascii="Calibri" w:eastAsia="宋体" w:hAnsi="Calibri" w:cs="Times New Roman" w:hint="eastAsia"/>
        </w:rPr>
        <w:t>（</w:t>
      </w:r>
      <w:r>
        <w:rPr>
          <w:rFonts w:ascii="Calibri" w:eastAsia="宋体" w:hAnsi="Calibri" w:cs="Times New Roman" w:hint="eastAsia"/>
        </w:rPr>
        <w:t>3</w:t>
      </w:r>
      <w:r>
        <w:rPr>
          <w:rFonts w:ascii="Calibri" w:eastAsia="宋体" w:hAnsi="Calibri" w:cs="Times New Roman" w:hint="eastAsia"/>
        </w:rPr>
        <w:t>）如选择“自然人”异议填报，按照系统提示，真实填写异议申请人信息资料，上传身份证正反面照片，同时选择异议内容。确认所有信息无误后，点击“确认”按钮，异议成功。</w:t>
      </w:r>
    </w:p>
    <w:p w:rsidR="00DE1EA7" w:rsidRPr="00DE1EA7" w:rsidRDefault="00DE1EA7" w:rsidP="007E342E">
      <w:pPr>
        <w:rPr>
          <w:rFonts w:ascii="Calibri" w:eastAsia="宋体" w:hAnsi="Calibri" w:cs="Times New Roman"/>
        </w:rPr>
      </w:pPr>
    </w:p>
    <w:p w:rsidR="00DE1EA7" w:rsidRDefault="00DE1EA7" w:rsidP="007E342E">
      <w:pPr>
        <w:rPr>
          <w:rFonts w:ascii="Calibri" w:eastAsia="宋体" w:hAnsi="Calibri" w:cs="Times New Roman"/>
        </w:rPr>
      </w:pPr>
      <w:r w:rsidRPr="00DE1EA7">
        <w:rPr>
          <w:rFonts w:ascii="Calibri" w:eastAsia="宋体" w:hAnsi="Calibri" w:cs="Times New Roman"/>
          <w:noProof/>
        </w:rPr>
        <w:lastRenderedPageBreak/>
        <w:drawing>
          <wp:inline distT="0" distB="0" distL="0" distR="0">
            <wp:extent cx="5274310" cy="2965578"/>
            <wp:effectExtent l="19050" t="0" r="2540" b="0"/>
            <wp:docPr id="19" name="对象 12"/>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7920000" cy="4452826"/>
                      <a:chOff x="841123" y="2328339"/>
                      <a:chExt cx="7920000" cy="4452826"/>
                    </a:xfrm>
                  </a:grpSpPr>
                  <a:pic>
                    <a:nvPicPr>
                      <a:cNvPr id="27" name="图片 26"/>
                      <a:cNvPicPr>
                        <a:picLocks noChangeAspect="1"/>
                      </a:cNvPicPr>
                    </a:nvPicPr>
                    <a:blipFill>
                      <a:blip r:embed="rId21"/>
                      <a:stretch>
                        <a:fillRect/>
                      </a:stretch>
                    </a:blipFill>
                    <a:spPr>
                      <a:xfrm>
                        <a:off x="841123" y="2328339"/>
                        <a:ext cx="7920000" cy="4452826"/>
                      </a:xfrm>
                      <a:prstGeom prst="rect">
                        <a:avLst/>
                      </a:prstGeom>
                      <a:ln>
                        <a:solidFill>
                          <a:srgbClr val="FF0000"/>
                        </a:solidFill>
                      </a:ln>
                    </a:spPr>
                  </a:pic>
                  <a:sp>
                    <a:nvSpPr>
                      <a:cNvPr id="36" name="矩形 35"/>
                      <a:cNvSpPr/>
                    </a:nvSpPr>
                    <a:spPr bwMode="auto">
                      <a:xfrm>
                        <a:off x="3536456" y="4411487"/>
                        <a:ext cx="3843350" cy="1799826"/>
                      </a:xfrm>
                      <a:prstGeom prst="rect">
                        <a:avLst/>
                      </a:prstGeom>
                      <a:noFill/>
                      <a:ln w="28575">
                        <a:solidFill>
                          <a:srgbClr val="FF0000"/>
                        </a:solidFill>
                      </a:ln>
                    </a:spPr>
                    <a:txSp>
                      <a:txBody>
                        <a:bodyPr rtlCol="0" anchor="ctr">
                          <a:noAutofit/>
                        </a:bodyPr>
                        <a:lstStyle>
                          <a:defPPr>
                            <a:defRPr lang="en-US"/>
                          </a:defPPr>
                          <a:lvl1pPr algn="l" rtl="0" fontAlgn="base">
                            <a:spcBef>
                              <a:spcPct val="0"/>
                            </a:spcBef>
                            <a:spcAft>
                              <a:spcPct val="0"/>
                            </a:spcAft>
                            <a:defRPr kern="1200">
                              <a:solidFill>
                                <a:schemeClr val="tx1"/>
                              </a:solidFill>
                              <a:latin typeface="Arial" panose="020B0604020202020204" pitchFamily="34" charset="0"/>
                              <a:ea typeface="宋体" panose="02010600030101010101" pitchFamily="2" charset="-122"/>
                              <a:cs typeface="+mn-cs"/>
                            </a:defRPr>
                          </a:lvl1pPr>
                          <a:lvl2pPr marL="457200" algn="l" rtl="0" fontAlgn="base">
                            <a:spcBef>
                              <a:spcPct val="0"/>
                            </a:spcBef>
                            <a:spcAft>
                              <a:spcPct val="0"/>
                            </a:spcAft>
                            <a:defRPr kern="1200">
                              <a:solidFill>
                                <a:schemeClr val="tx1"/>
                              </a:solidFill>
                              <a:latin typeface="Arial" panose="020B0604020202020204" pitchFamily="34" charset="0"/>
                              <a:ea typeface="宋体" panose="02010600030101010101" pitchFamily="2" charset="-122"/>
                              <a:cs typeface="+mn-cs"/>
                            </a:defRPr>
                          </a:lvl2pPr>
                          <a:lvl3pPr marL="914400" algn="l" rtl="0" fontAlgn="base">
                            <a:spcBef>
                              <a:spcPct val="0"/>
                            </a:spcBef>
                            <a:spcAft>
                              <a:spcPct val="0"/>
                            </a:spcAft>
                            <a:defRPr kern="1200">
                              <a:solidFill>
                                <a:schemeClr val="tx1"/>
                              </a:solidFill>
                              <a:latin typeface="Arial" panose="020B0604020202020204" pitchFamily="34" charset="0"/>
                              <a:ea typeface="宋体" panose="02010600030101010101" pitchFamily="2" charset="-122"/>
                              <a:cs typeface="+mn-cs"/>
                            </a:defRPr>
                          </a:lvl3pPr>
                          <a:lvl4pPr marL="1371600" algn="l" rtl="0" fontAlgn="base">
                            <a:spcBef>
                              <a:spcPct val="0"/>
                            </a:spcBef>
                            <a:spcAft>
                              <a:spcPct val="0"/>
                            </a:spcAft>
                            <a:defRPr kern="1200">
                              <a:solidFill>
                                <a:schemeClr val="tx1"/>
                              </a:solidFill>
                              <a:latin typeface="Arial" panose="020B0604020202020204" pitchFamily="34" charset="0"/>
                              <a:ea typeface="宋体" panose="02010600030101010101" pitchFamily="2" charset="-122"/>
                              <a:cs typeface="+mn-cs"/>
                            </a:defRPr>
                          </a:lvl4pPr>
                          <a:lvl5pPr marL="1828800" algn="l" rtl="0" fontAlgn="base">
                            <a:spcBef>
                              <a:spcPct val="0"/>
                            </a:spcBef>
                            <a:spcAft>
                              <a:spcPct val="0"/>
                            </a:spcAft>
                            <a:defRPr kern="1200">
                              <a:solidFill>
                                <a:schemeClr val="tx1"/>
                              </a:solidFill>
                              <a:latin typeface="Arial" panose="020B0604020202020204" pitchFamily="34" charset="0"/>
                              <a:ea typeface="宋体" panose="02010600030101010101" pitchFamily="2" charset="-122"/>
                              <a:cs typeface="+mn-cs"/>
                            </a:defRPr>
                          </a:lvl5pPr>
                          <a:lvl6pPr marL="2286000" algn="l" defTabSz="914400" rtl="0" eaLnBrk="1" latinLnBrk="0" hangingPunct="1">
                            <a:defRPr kern="1200">
                              <a:solidFill>
                                <a:schemeClr val="tx1"/>
                              </a:solidFill>
                              <a:latin typeface="Arial" panose="020B0604020202020204" pitchFamily="34" charset="0"/>
                              <a:ea typeface="宋体" panose="02010600030101010101" pitchFamily="2" charset="-122"/>
                              <a:cs typeface="+mn-cs"/>
                            </a:defRPr>
                          </a:lvl6pPr>
                          <a:lvl7pPr marL="2743200" algn="l" defTabSz="914400" rtl="0" eaLnBrk="1" latinLnBrk="0" hangingPunct="1">
                            <a:defRPr kern="1200">
                              <a:solidFill>
                                <a:schemeClr val="tx1"/>
                              </a:solidFill>
                              <a:latin typeface="Arial" panose="020B0604020202020204" pitchFamily="34" charset="0"/>
                              <a:ea typeface="宋体" panose="02010600030101010101" pitchFamily="2" charset="-122"/>
                              <a:cs typeface="+mn-cs"/>
                            </a:defRPr>
                          </a:lvl7pPr>
                          <a:lvl8pPr marL="3200400" algn="l" defTabSz="914400" rtl="0" eaLnBrk="1" latinLnBrk="0" hangingPunct="1">
                            <a:defRPr kern="1200">
                              <a:solidFill>
                                <a:schemeClr val="tx1"/>
                              </a:solidFill>
                              <a:latin typeface="Arial" panose="020B0604020202020204" pitchFamily="34" charset="0"/>
                              <a:ea typeface="宋体" panose="02010600030101010101" pitchFamily="2" charset="-122"/>
                              <a:cs typeface="+mn-cs"/>
                            </a:defRPr>
                          </a:lvl8pPr>
                          <a:lvl9pPr marL="3657600" algn="l" defTabSz="914400" rtl="0" eaLnBrk="1" latinLnBrk="0" hangingPunct="1">
                            <a:defRPr kern="1200">
                              <a:solidFill>
                                <a:schemeClr val="tx1"/>
                              </a:solidFill>
                              <a:latin typeface="Arial" panose="020B0604020202020204" pitchFamily="34" charset="0"/>
                              <a:ea typeface="宋体" panose="02010600030101010101" pitchFamily="2" charset="-122"/>
                              <a:cs typeface="+mn-cs"/>
                            </a:defRPr>
                          </a:lvl9pPr>
                        </a:lstStyle>
                        <a:p>
                          <a:pPr algn="ctr" defTabSz="914400">
                            <a:lnSpc>
                              <a:spcPct val="120000"/>
                            </a:lnSpc>
                            <a:buSzTx/>
                            <a:buFontTx/>
                            <a:buNone/>
                          </a:pPr>
                          <a:endParaRPr lang="zh-CN" altLang="en-US" sz="1800" dirty="0">
                            <a:solidFill>
                              <a:srgbClr val="FF0000"/>
                            </a:solidFill>
                            <a:latin typeface="黑体" panose="02010609060101010101" pitchFamily="49" charset="-122"/>
                            <a:ea typeface="黑体" panose="02010609060101010101" pitchFamily="49" charset="-122"/>
                          </a:endParaRPr>
                        </a:p>
                      </a:txBody>
                      <a:useSpRect/>
                    </a:txSp>
                  </a:sp>
                  <a:sp>
                    <a:nvSpPr>
                      <a:cNvPr id="37" name="圆角矩形标注 36"/>
                      <a:cNvSpPr/>
                    </a:nvSpPr>
                    <a:spPr bwMode="auto">
                      <a:xfrm>
                        <a:off x="1146831" y="4621853"/>
                        <a:ext cx="1733428" cy="456542"/>
                      </a:xfrm>
                      <a:prstGeom prst="wedgeRoundRectCallout">
                        <a:avLst>
                          <a:gd name="adj1" fmla="val 84703"/>
                          <a:gd name="adj2" fmla="val 137073"/>
                          <a:gd name="adj3" fmla="val 16667"/>
                        </a:avLst>
                      </a:prstGeom>
                      <a:solidFill>
                        <a:srgbClr val="FFFF00"/>
                      </a:solidFill>
                    </a:spPr>
                    <a:txSp>
                      <a:txBody>
                        <a:bodyPr anchor="ctr"/>
                        <a:lstStyle>
                          <a:defPPr>
                            <a:defRPr lang="en-US"/>
                          </a:defPPr>
                          <a:lvl1pPr algn="l" rtl="0" fontAlgn="base">
                            <a:spcBef>
                              <a:spcPct val="0"/>
                            </a:spcBef>
                            <a:spcAft>
                              <a:spcPct val="0"/>
                            </a:spcAft>
                            <a:defRPr kern="1200">
                              <a:solidFill>
                                <a:schemeClr val="lt1"/>
                              </a:solidFill>
                              <a:latin typeface="+mn-lt"/>
                              <a:ea typeface="+mn-ea"/>
                              <a:cs typeface="+mn-cs"/>
                            </a:defRPr>
                          </a:lvl1pPr>
                          <a:lvl2pPr marL="457200" algn="l" rtl="0" fontAlgn="base">
                            <a:spcBef>
                              <a:spcPct val="0"/>
                            </a:spcBef>
                            <a:spcAft>
                              <a:spcPct val="0"/>
                            </a:spcAft>
                            <a:defRPr kern="1200">
                              <a:solidFill>
                                <a:schemeClr val="lt1"/>
                              </a:solidFill>
                              <a:latin typeface="+mn-lt"/>
                              <a:ea typeface="+mn-ea"/>
                              <a:cs typeface="+mn-cs"/>
                            </a:defRPr>
                          </a:lvl2pPr>
                          <a:lvl3pPr marL="914400" algn="l" rtl="0" fontAlgn="base">
                            <a:spcBef>
                              <a:spcPct val="0"/>
                            </a:spcBef>
                            <a:spcAft>
                              <a:spcPct val="0"/>
                            </a:spcAft>
                            <a:defRPr kern="1200">
                              <a:solidFill>
                                <a:schemeClr val="lt1"/>
                              </a:solidFill>
                              <a:latin typeface="+mn-lt"/>
                              <a:ea typeface="+mn-ea"/>
                              <a:cs typeface="+mn-cs"/>
                            </a:defRPr>
                          </a:lvl3pPr>
                          <a:lvl4pPr marL="1371600" algn="l" rtl="0" fontAlgn="base">
                            <a:spcBef>
                              <a:spcPct val="0"/>
                            </a:spcBef>
                            <a:spcAft>
                              <a:spcPct val="0"/>
                            </a:spcAft>
                            <a:defRPr kern="1200">
                              <a:solidFill>
                                <a:schemeClr val="lt1"/>
                              </a:solidFill>
                              <a:latin typeface="+mn-lt"/>
                              <a:ea typeface="+mn-ea"/>
                              <a:cs typeface="+mn-cs"/>
                            </a:defRPr>
                          </a:lvl4pPr>
                          <a:lvl5pPr marL="1828800" algn="l" rtl="0" fontAlgn="base">
                            <a:spcBef>
                              <a:spcPct val="0"/>
                            </a:spcBef>
                            <a:spcAft>
                              <a:spcPct val="0"/>
                            </a:spcAft>
                            <a:defRPr kern="1200">
                              <a:solidFill>
                                <a:schemeClr val="lt1"/>
                              </a:solidFill>
                              <a:latin typeface="+mn-lt"/>
                              <a:ea typeface="+mn-ea"/>
                              <a:cs typeface="+mn-cs"/>
                            </a:defRPr>
                          </a:lvl5pPr>
                          <a:lvl6pPr marL="2286000" algn="l" defTabSz="914400" rtl="0" eaLnBrk="1" latinLnBrk="0" hangingPunct="1">
                            <a:defRPr kern="1200">
                              <a:solidFill>
                                <a:schemeClr val="lt1"/>
                              </a:solidFill>
                              <a:latin typeface="+mn-lt"/>
                              <a:ea typeface="+mn-ea"/>
                              <a:cs typeface="+mn-cs"/>
                            </a:defRPr>
                          </a:lvl6pPr>
                          <a:lvl7pPr marL="2743200" algn="l" defTabSz="914400" rtl="0" eaLnBrk="1" latinLnBrk="0" hangingPunct="1">
                            <a:defRPr kern="1200">
                              <a:solidFill>
                                <a:schemeClr val="lt1"/>
                              </a:solidFill>
                              <a:latin typeface="+mn-lt"/>
                              <a:ea typeface="+mn-ea"/>
                              <a:cs typeface="+mn-cs"/>
                            </a:defRPr>
                          </a:lvl7pPr>
                          <a:lvl8pPr marL="3200400" algn="l" defTabSz="914400" rtl="0" eaLnBrk="1" latinLnBrk="0" hangingPunct="1">
                            <a:defRPr kern="1200">
                              <a:solidFill>
                                <a:schemeClr val="lt1"/>
                              </a:solidFill>
                              <a:latin typeface="+mn-lt"/>
                              <a:ea typeface="+mn-ea"/>
                              <a:cs typeface="+mn-cs"/>
                            </a:defRPr>
                          </a:lvl8pPr>
                          <a:lvl9pPr marL="3657600" algn="l" defTabSz="914400" rtl="0" eaLnBrk="1" latinLnBrk="0" hangingPunct="1">
                            <a:defRPr kern="1200">
                              <a:solidFill>
                                <a:schemeClr val="lt1"/>
                              </a:solidFill>
                              <a:latin typeface="+mn-lt"/>
                              <a:ea typeface="+mn-ea"/>
                              <a:cs typeface="+mn-cs"/>
                            </a:defRPr>
                          </a:lvl9pPr>
                        </a:lstStyle>
                        <a:p>
                          <a:r>
                            <a:rPr lang="zh-CN" altLang="en-US" dirty="0" smtClean="0">
                              <a:solidFill>
                                <a:schemeClr val="tx1"/>
                              </a:solidFill>
                              <a:latin typeface="黑体" panose="02010609060101010101" pitchFamily="49" charset="-122"/>
                              <a:ea typeface="黑体" panose="02010609060101010101" pitchFamily="49" charset="-122"/>
                            </a:rPr>
                            <a:t>选择异议内容</a:t>
                          </a:r>
                          <a:endParaRPr lang="zh-CN" altLang="zh-CN" dirty="0">
                            <a:solidFill>
                              <a:schemeClr val="tx1"/>
                            </a:solidFill>
                            <a:latin typeface="黑体" panose="02010609060101010101" pitchFamily="49" charset="-122"/>
                            <a:ea typeface="黑体" panose="02010609060101010101" pitchFamily="49" charset="-122"/>
                          </a:endParaRPr>
                        </a:p>
                      </a:txBody>
                      <a:useSpRect/>
                    </a:txSp>
                    <a:style>
                      <a:lnRef idx="3">
                        <a:schemeClr val="lt1"/>
                      </a:lnRef>
                      <a:fillRef idx="1">
                        <a:schemeClr val="accent3"/>
                      </a:fillRef>
                      <a:effectRef idx="1">
                        <a:schemeClr val="accent3"/>
                      </a:effectRef>
                      <a:fontRef idx="minor">
                        <a:schemeClr val="lt1"/>
                      </a:fontRef>
                    </a:style>
                  </a:sp>
                </lc:lockedCanvas>
              </a:graphicData>
            </a:graphic>
          </wp:inline>
        </w:drawing>
      </w:r>
    </w:p>
    <w:p w:rsidR="00DE1EA7" w:rsidRDefault="00DE1EA7" w:rsidP="007E342E">
      <w:pPr>
        <w:rPr>
          <w:rFonts w:ascii="Calibri" w:eastAsia="宋体" w:hAnsi="Calibri" w:cs="Times New Roman"/>
        </w:rPr>
      </w:pPr>
    </w:p>
    <w:p w:rsidR="00DE1EA7" w:rsidRDefault="00DE1EA7" w:rsidP="007E342E">
      <w:pPr>
        <w:rPr>
          <w:rFonts w:ascii="Calibri" w:eastAsia="宋体" w:hAnsi="Calibri" w:cs="Times New Roman"/>
        </w:rPr>
      </w:pPr>
      <w:r>
        <w:rPr>
          <w:rFonts w:ascii="Calibri" w:eastAsia="宋体" w:hAnsi="Calibri" w:cs="Times New Roman" w:hint="eastAsia"/>
        </w:rPr>
        <w:t>（</w:t>
      </w:r>
      <w:r>
        <w:rPr>
          <w:rFonts w:ascii="Calibri" w:eastAsia="宋体" w:hAnsi="Calibri" w:cs="Times New Roman" w:hint="eastAsia"/>
        </w:rPr>
        <w:t>4</w:t>
      </w:r>
      <w:r>
        <w:rPr>
          <w:rFonts w:ascii="Calibri" w:eastAsia="宋体" w:hAnsi="Calibri" w:cs="Times New Roman" w:hint="eastAsia"/>
        </w:rPr>
        <w:t>）异议成功后会在企业简易注销公告页面下进行显示，任何人均可查看异议信息和企业简易注销结果。</w:t>
      </w:r>
    </w:p>
    <w:p w:rsidR="00DE1EA7" w:rsidRPr="00DE1EA7" w:rsidRDefault="00DE1EA7" w:rsidP="007E342E">
      <w:pPr>
        <w:rPr>
          <w:rFonts w:ascii="Calibri" w:eastAsia="宋体" w:hAnsi="Calibri" w:cs="Times New Roman"/>
        </w:rPr>
      </w:pPr>
      <w:r w:rsidRPr="00DE1EA7">
        <w:rPr>
          <w:rFonts w:ascii="Calibri" w:eastAsia="宋体" w:hAnsi="Calibri" w:cs="Times New Roman"/>
          <w:noProof/>
        </w:rPr>
        <w:drawing>
          <wp:inline distT="0" distB="0" distL="0" distR="0">
            <wp:extent cx="5274310" cy="2961916"/>
            <wp:effectExtent l="19050" t="0" r="2540" b="0"/>
            <wp:docPr id="21" name="对象 14"/>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8640000" cy="4851303"/>
                      <a:chOff x="243405" y="1931975"/>
                      <a:chExt cx="8640000" cy="4851303"/>
                    </a:xfrm>
                  </a:grpSpPr>
                  <a:pic>
                    <a:nvPicPr>
                      <a:cNvPr id="5" name="图片 4"/>
                      <a:cNvPicPr>
                        <a:picLocks noChangeAspect="1"/>
                      </a:cNvPicPr>
                    </a:nvPicPr>
                    <a:blipFill>
                      <a:blip r:embed="rId22">
                        <a:extLst>
                          <a:ext uri="{28A0092B-C50C-407E-A947-70E740481C1C}">
                            <a14:useLocalDpi xmlns:o="urn:schemas-microsoft-com:office:office" xmlns:v="urn:schemas-microsoft-com:vml" xmlns:w10="urn:schemas-microsoft-com:office:word" xmlns:w="http://schemas.openxmlformats.org/wordprocessingml/2006/main" xmlns="" xmlns:p="http://schemas.openxmlformats.org/presentationml/2006/main" xmlns:a14="http://schemas.microsoft.com/office/drawing/2010/main" val="0"/>
                          </a:ext>
                        </a:extLst>
                      </a:blip>
                      <a:stretch>
                        <a:fillRect/>
                      </a:stretch>
                    </a:blipFill>
                    <a:spPr>
                      <a:xfrm>
                        <a:off x="243405" y="1931975"/>
                        <a:ext cx="8640000" cy="4851303"/>
                      </a:xfrm>
                      <a:prstGeom prst="rect">
                        <a:avLst/>
                      </a:prstGeom>
                      <a:ln>
                        <a:solidFill>
                          <a:srgbClr val="FF0000"/>
                        </a:solidFill>
                      </a:ln>
                    </a:spPr>
                  </a:pic>
                  <a:sp>
                    <a:nvSpPr>
                      <a:cNvPr id="17" name="圆角矩形标注 16"/>
                      <a:cNvSpPr/>
                    </a:nvSpPr>
                    <a:spPr bwMode="auto">
                      <a:xfrm>
                        <a:off x="4418172" y="3210186"/>
                        <a:ext cx="2602099" cy="486667"/>
                      </a:xfrm>
                      <a:prstGeom prst="wedgeRoundRectCallout">
                        <a:avLst>
                          <a:gd name="adj1" fmla="val -28708"/>
                          <a:gd name="adj2" fmla="val 76745"/>
                          <a:gd name="adj3" fmla="val 16667"/>
                        </a:avLst>
                      </a:prstGeom>
                      <a:solidFill>
                        <a:srgbClr val="FFFF00"/>
                      </a:solidFill>
                    </a:spPr>
                    <a:txSp>
                      <a:txBody>
                        <a:bodyPr anchor="ctr"/>
                        <a:lstStyle>
                          <a:defPPr>
                            <a:defRPr lang="en-US"/>
                          </a:defPPr>
                          <a:lvl1pPr algn="l" rtl="0" fontAlgn="base">
                            <a:spcBef>
                              <a:spcPct val="0"/>
                            </a:spcBef>
                            <a:spcAft>
                              <a:spcPct val="0"/>
                            </a:spcAft>
                            <a:defRPr kern="1200">
                              <a:solidFill>
                                <a:schemeClr val="lt1"/>
                              </a:solidFill>
                              <a:latin typeface="+mn-lt"/>
                              <a:ea typeface="+mn-ea"/>
                              <a:cs typeface="+mn-cs"/>
                            </a:defRPr>
                          </a:lvl1pPr>
                          <a:lvl2pPr marL="457200" algn="l" rtl="0" fontAlgn="base">
                            <a:spcBef>
                              <a:spcPct val="0"/>
                            </a:spcBef>
                            <a:spcAft>
                              <a:spcPct val="0"/>
                            </a:spcAft>
                            <a:defRPr kern="1200">
                              <a:solidFill>
                                <a:schemeClr val="lt1"/>
                              </a:solidFill>
                              <a:latin typeface="+mn-lt"/>
                              <a:ea typeface="+mn-ea"/>
                              <a:cs typeface="+mn-cs"/>
                            </a:defRPr>
                          </a:lvl2pPr>
                          <a:lvl3pPr marL="914400" algn="l" rtl="0" fontAlgn="base">
                            <a:spcBef>
                              <a:spcPct val="0"/>
                            </a:spcBef>
                            <a:spcAft>
                              <a:spcPct val="0"/>
                            </a:spcAft>
                            <a:defRPr kern="1200">
                              <a:solidFill>
                                <a:schemeClr val="lt1"/>
                              </a:solidFill>
                              <a:latin typeface="+mn-lt"/>
                              <a:ea typeface="+mn-ea"/>
                              <a:cs typeface="+mn-cs"/>
                            </a:defRPr>
                          </a:lvl3pPr>
                          <a:lvl4pPr marL="1371600" algn="l" rtl="0" fontAlgn="base">
                            <a:spcBef>
                              <a:spcPct val="0"/>
                            </a:spcBef>
                            <a:spcAft>
                              <a:spcPct val="0"/>
                            </a:spcAft>
                            <a:defRPr kern="1200">
                              <a:solidFill>
                                <a:schemeClr val="lt1"/>
                              </a:solidFill>
                              <a:latin typeface="+mn-lt"/>
                              <a:ea typeface="+mn-ea"/>
                              <a:cs typeface="+mn-cs"/>
                            </a:defRPr>
                          </a:lvl4pPr>
                          <a:lvl5pPr marL="1828800" algn="l" rtl="0" fontAlgn="base">
                            <a:spcBef>
                              <a:spcPct val="0"/>
                            </a:spcBef>
                            <a:spcAft>
                              <a:spcPct val="0"/>
                            </a:spcAft>
                            <a:defRPr kern="1200">
                              <a:solidFill>
                                <a:schemeClr val="lt1"/>
                              </a:solidFill>
                              <a:latin typeface="+mn-lt"/>
                              <a:ea typeface="+mn-ea"/>
                              <a:cs typeface="+mn-cs"/>
                            </a:defRPr>
                          </a:lvl5pPr>
                          <a:lvl6pPr marL="2286000" algn="l" defTabSz="914400" rtl="0" eaLnBrk="1" latinLnBrk="0" hangingPunct="1">
                            <a:defRPr kern="1200">
                              <a:solidFill>
                                <a:schemeClr val="lt1"/>
                              </a:solidFill>
                              <a:latin typeface="+mn-lt"/>
                              <a:ea typeface="+mn-ea"/>
                              <a:cs typeface="+mn-cs"/>
                            </a:defRPr>
                          </a:lvl6pPr>
                          <a:lvl7pPr marL="2743200" algn="l" defTabSz="914400" rtl="0" eaLnBrk="1" latinLnBrk="0" hangingPunct="1">
                            <a:defRPr kern="1200">
                              <a:solidFill>
                                <a:schemeClr val="lt1"/>
                              </a:solidFill>
                              <a:latin typeface="+mn-lt"/>
                              <a:ea typeface="+mn-ea"/>
                              <a:cs typeface="+mn-cs"/>
                            </a:defRPr>
                          </a:lvl7pPr>
                          <a:lvl8pPr marL="3200400" algn="l" defTabSz="914400" rtl="0" eaLnBrk="1" latinLnBrk="0" hangingPunct="1">
                            <a:defRPr kern="1200">
                              <a:solidFill>
                                <a:schemeClr val="lt1"/>
                              </a:solidFill>
                              <a:latin typeface="+mn-lt"/>
                              <a:ea typeface="+mn-ea"/>
                              <a:cs typeface="+mn-cs"/>
                            </a:defRPr>
                          </a:lvl8pPr>
                          <a:lvl9pPr marL="3657600" algn="l" defTabSz="914400" rtl="0" eaLnBrk="1" latinLnBrk="0" hangingPunct="1">
                            <a:defRPr kern="1200">
                              <a:solidFill>
                                <a:schemeClr val="lt1"/>
                              </a:solidFill>
                              <a:latin typeface="+mn-lt"/>
                              <a:ea typeface="+mn-ea"/>
                              <a:cs typeface="+mn-cs"/>
                            </a:defRPr>
                          </a:lvl9pPr>
                        </a:lstStyle>
                        <a:p>
                          <a:r>
                            <a:rPr lang="zh-CN" altLang="en-US" dirty="0">
                              <a:solidFill>
                                <a:schemeClr val="tx1"/>
                              </a:solidFill>
                              <a:latin typeface="黑体" panose="02010609060101010101" pitchFamily="49" charset="-122"/>
                              <a:ea typeface="黑体" panose="02010609060101010101" pitchFamily="49" charset="-122"/>
                            </a:rPr>
                            <a:t>简易</a:t>
                          </a:r>
                          <a:r>
                            <a:rPr lang="zh-CN" altLang="en-US" dirty="0" smtClean="0">
                              <a:solidFill>
                                <a:schemeClr val="tx1"/>
                              </a:solidFill>
                              <a:latin typeface="黑体" panose="02010609060101010101" pitchFamily="49" charset="-122"/>
                              <a:ea typeface="黑体" panose="02010609060101010101" pitchFamily="49" charset="-122"/>
                            </a:rPr>
                            <a:t>注销异议信息查看</a:t>
                          </a:r>
                          <a:endParaRPr lang="zh-CN" altLang="zh-CN" dirty="0">
                            <a:solidFill>
                              <a:schemeClr val="tx1"/>
                            </a:solidFill>
                            <a:latin typeface="黑体" panose="02010609060101010101" pitchFamily="49" charset="-122"/>
                            <a:ea typeface="黑体" panose="02010609060101010101" pitchFamily="49" charset="-122"/>
                          </a:endParaRPr>
                        </a:p>
                      </a:txBody>
                      <a:useSpRect/>
                    </a:txSp>
                    <a:style>
                      <a:lnRef idx="3">
                        <a:schemeClr val="lt1"/>
                      </a:lnRef>
                      <a:fillRef idx="1">
                        <a:schemeClr val="accent3"/>
                      </a:fillRef>
                      <a:effectRef idx="1">
                        <a:schemeClr val="accent3"/>
                      </a:effectRef>
                      <a:fontRef idx="minor">
                        <a:schemeClr val="lt1"/>
                      </a:fontRef>
                    </a:style>
                  </a:sp>
                  <a:sp>
                    <a:nvSpPr>
                      <a:cNvPr id="18" name="矩形 17"/>
                      <a:cNvSpPr/>
                    </a:nvSpPr>
                    <a:spPr bwMode="auto">
                      <a:xfrm>
                        <a:off x="1442180" y="3927784"/>
                        <a:ext cx="6298171" cy="1517439"/>
                      </a:xfrm>
                      <a:prstGeom prst="rect">
                        <a:avLst/>
                      </a:prstGeom>
                      <a:noFill/>
                      <a:ln w="28575">
                        <a:solidFill>
                          <a:srgbClr val="FF0000"/>
                        </a:solidFill>
                      </a:ln>
                    </a:spPr>
                    <a:txSp>
                      <a:txBody>
                        <a:bodyPr rtlCol="0" anchor="ctr">
                          <a:noAutofit/>
                        </a:bodyPr>
                        <a:lstStyle>
                          <a:defPPr>
                            <a:defRPr lang="en-US"/>
                          </a:defPPr>
                          <a:lvl1pPr algn="l" rtl="0" fontAlgn="base">
                            <a:spcBef>
                              <a:spcPct val="0"/>
                            </a:spcBef>
                            <a:spcAft>
                              <a:spcPct val="0"/>
                            </a:spcAft>
                            <a:defRPr kern="1200">
                              <a:solidFill>
                                <a:schemeClr val="tx1"/>
                              </a:solidFill>
                              <a:latin typeface="Arial" panose="020B0604020202020204" pitchFamily="34" charset="0"/>
                              <a:ea typeface="宋体" panose="02010600030101010101" pitchFamily="2" charset="-122"/>
                              <a:cs typeface="+mn-cs"/>
                            </a:defRPr>
                          </a:lvl1pPr>
                          <a:lvl2pPr marL="457200" algn="l" rtl="0" fontAlgn="base">
                            <a:spcBef>
                              <a:spcPct val="0"/>
                            </a:spcBef>
                            <a:spcAft>
                              <a:spcPct val="0"/>
                            </a:spcAft>
                            <a:defRPr kern="1200">
                              <a:solidFill>
                                <a:schemeClr val="tx1"/>
                              </a:solidFill>
                              <a:latin typeface="Arial" panose="020B0604020202020204" pitchFamily="34" charset="0"/>
                              <a:ea typeface="宋体" panose="02010600030101010101" pitchFamily="2" charset="-122"/>
                              <a:cs typeface="+mn-cs"/>
                            </a:defRPr>
                          </a:lvl2pPr>
                          <a:lvl3pPr marL="914400" algn="l" rtl="0" fontAlgn="base">
                            <a:spcBef>
                              <a:spcPct val="0"/>
                            </a:spcBef>
                            <a:spcAft>
                              <a:spcPct val="0"/>
                            </a:spcAft>
                            <a:defRPr kern="1200">
                              <a:solidFill>
                                <a:schemeClr val="tx1"/>
                              </a:solidFill>
                              <a:latin typeface="Arial" panose="020B0604020202020204" pitchFamily="34" charset="0"/>
                              <a:ea typeface="宋体" panose="02010600030101010101" pitchFamily="2" charset="-122"/>
                              <a:cs typeface="+mn-cs"/>
                            </a:defRPr>
                          </a:lvl3pPr>
                          <a:lvl4pPr marL="1371600" algn="l" rtl="0" fontAlgn="base">
                            <a:spcBef>
                              <a:spcPct val="0"/>
                            </a:spcBef>
                            <a:spcAft>
                              <a:spcPct val="0"/>
                            </a:spcAft>
                            <a:defRPr kern="1200">
                              <a:solidFill>
                                <a:schemeClr val="tx1"/>
                              </a:solidFill>
                              <a:latin typeface="Arial" panose="020B0604020202020204" pitchFamily="34" charset="0"/>
                              <a:ea typeface="宋体" panose="02010600030101010101" pitchFamily="2" charset="-122"/>
                              <a:cs typeface="+mn-cs"/>
                            </a:defRPr>
                          </a:lvl4pPr>
                          <a:lvl5pPr marL="1828800" algn="l" rtl="0" fontAlgn="base">
                            <a:spcBef>
                              <a:spcPct val="0"/>
                            </a:spcBef>
                            <a:spcAft>
                              <a:spcPct val="0"/>
                            </a:spcAft>
                            <a:defRPr kern="1200">
                              <a:solidFill>
                                <a:schemeClr val="tx1"/>
                              </a:solidFill>
                              <a:latin typeface="Arial" panose="020B0604020202020204" pitchFamily="34" charset="0"/>
                              <a:ea typeface="宋体" panose="02010600030101010101" pitchFamily="2" charset="-122"/>
                              <a:cs typeface="+mn-cs"/>
                            </a:defRPr>
                          </a:lvl5pPr>
                          <a:lvl6pPr marL="2286000" algn="l" defTabSz="914400" rtl="0" eaLnBrk="1" latinLnBrk="0" hangingPunct="1">
                            <a:defRPr kern="1200">
                              <a:solidFill>
                                <a:schemeClr val="tx1"/>
                              </a:solidFill>
                              <a:latin typeface="Arial" panose="020B0604020202020204" pitchFamily="34" charset="0"/>
                              <a:ea typeface="宋体" panose="02010600030101010101" pitchFamily="2" charset="-122"/>
                              <a:cs typeface="+mn-cs"/>
                            </a:defRPr>
                          </a:lvl6pPr>
                          <a:lvl7pPr marL="2743200" algn="l" defTabSz="914400" rtl="0" eaLnBrk="1" latinLnBrk="0" hangingPunct="1">
                            <a:defRPr kern="1200">
                              <a:solidFill>
                                <a:schemeClr val="tx1"/>
                              </a:solidFill>
                              <a:latin typeface="Arial" panose="020B0604020202020204" pitchFamily="34" charset="0"/>
                              <a:ea typeface="宋体" panose="02010600030101010101" pitchFamily="2" charset="-122"/>
                              <a:cs typeface="+mn-cs"/>
                            </a:defRPr>
                          </a:lvl7pPr>
                          <a:lvl8pPr marL="3200400" algn="l" defTabSz="914400" rtl="0" eaLnBrk="1" latinLnBrk="0" hangingPunct="1">
                            <a:defRPr kern="1200">
                              <a:solidFill>
                                <a:schemeClr val="tx1"/>
                              </a:solidFill>
                              <a:latin typeface="Arial" panose="020B0604020202020204" pitchFamily="34" charset="0"/>
                              <a:ea typeface="宋体" panose="02010600030101010101" pitchFamily="2" charset="-122"/>
                              <a:cs typeface="+mn-cs"/>
                            </a:defRPr>
                          </a:lvl8pPr>
                          <a:lvl9pPr marL="3657600" algn="l" defTabSz="914400" rtl="0" eaLnBrk="1" latinLnBrk="0" hangingPunct="1">
                            <a:defRPr kern="1200">
                              <a:solidFill>
                                <a:schemeClr val="tx1"/>
                              </a:solidFill>
                              <a:latin typeface="Arial" panose="020B0604020202020204" pitchFamily="34" charset="0"/>
                              <a:ea typeface="宋体" panose="02010600030101010101" pitchFamily="2" charset="-122"/>
                              <a:cs typeface="+mn-cs"/>
                            </a:defRPr>
                          </a:lvl9pPr>
                        </a:lstStyle>
                        <a:p>
                          <a:pPr algn="ctr" defTabSz="914400">
                            <a:lnSpc>
                              <a:spcPct val="120000"/>
                            </a:lnSpc>
                            <a:buSzTx/>
                            <a:buFontTx/>
                            <a:buNone/>
                          </a:pPr>
                          <a:endParaRPr lang="zh-CN" altLang="en-US" sz="1800" dirty="0">
                            <a:solidFill>
                              <a:srgbClr val="FF0000"/>
                            </a:solidFill>
                            <a:latin typeface="黑体" panose="02010609060101010101" pitchFamily="49" charset="-122"/>
                            <a:ea typeface="黑体" panose="02010609060101010101" pitchFamily="49" charset="-122"/>
                          </a:endParaRPr>
                        </a:p>
                      </a:txBody>
                      <a:useSpRect/>
                    </a:txSp>
                  </a:sp>
                  <a:sp>
                    <a:nvSpPr>
                      <a:cNvPr id="19" name="圆角矩形标注 18"/>
                      <a:cNvSpPr/>
                    </a:nvSpPr>
                    <a:spPr bwMode="auto">
                      <a:xfrm>
                        <a:off x="4667671" y="5198028"/>
                        <a:ext cx="2064569" cy="461401"/>
                      </a:xfrm>
                      <a:prstGeom prst="wedgeRoundRectCallout">
                        <a:avLst>
                          <a:gd name="adj1" fmla="val -28708"/>
                          <a:gd name="adj2" fmla="val 76745"/>
                          <a:gd name="adj3" fmla="val 16667"/>
                        </a:avLst>
                      </a:prstGeom>
                      <a:solidFill>
                        <a:srgbClr val="FFFF00"/>
                      </a:solidFill>
                    </a:spPr>
                    <a:txSp>
                      <a:txBody>
                        <a:bodyPr anchor="ctr"/>
                        <a:lstStyle>
                          <a:defPPr>
                            <a:defRPr lang="en-US"/>
                          </a:defPPr>
                          <a:lvl1pPr algn="l" rtl="0" fontAlgn="base">
                            <a:spcBef>
                              <a:spcPct val="0"/>
                            </a:spcBef>
                            <a:spcAft>
                              <a:spcPct val="0"/>
                            </a:spcAft>
                            <a:defRPr kern="1200">
                              <a:solidFill>
                                <a:schemeClr val="lt1"/>
                              </a:solidFill>
                              <a:latin typeface="+mn-lt"/>
                              <a:ea typeface="+mn-ea"/>
                              <a:cs typeface="+mn-cs"/>
                            </a:defRPr>
                          </a:lvl1pPr>
                          <a:lvl2pPr marL="457200" algn="l" rtl="0" fontAlgn="base">
                            <a:spcBef>
                              <a:spcPct val="0"/>
                            </a:spcBef>
                            <a:spcAft>
                              <a:spcPct val="0"/>
                            </a:spcAft>
                            <a:defRPr kern="1200">
                              <a:solidFill>
                                <a:schemeClr val="lt1"/>
                              </a:solidFill>
                              <a:latin typeface="+mn-lt"/>
                              <a:ea typeface="+mn-ea"/>
                              <a:cs typeface="+mn-cs"/>
                            </a:defRPr>
                          </a:lvl2pPr>
                          <a:lvl3pPr marL="914400" algn="l" rtl="0" fontAlgn="base">
                            <a:spcBef>
                              <a:spcPct val="0"/>
                            </a:spcBef>
                            <a:spcAft>
                              <a:spcPct val="0"/>
                            </a:spcAft>
                            <a:defRPr kern="1200">
                              <a:solidFill>
                                <a:schemeClr val="lt1"/>
                              </a:solidFill>
                              <a:latin typeface="+mn-lt"/>
                              <a:ea typeface="+mn-ea"/>
                              <a:cs typeface="+mn-cs"/>
                            </a:defRPr>
                          </a:lvl3pPr>
                          <a:lvl4pPr marL="1371600" algn="l" rtl="0" fontAlgn="base">
                            <a:spcBef>
                              <a:spcPct val="0"/>
                            </a:spcBef>
                            <a:spcAft>
                              <a:spcPct val="0"/>
                            </a:spcAft>
                            <a:defRPr kern="1200">
                              <a:solidFill>
                                <a:schemeClr val="lt1"/>
                              </a:solidFill>
                              <a:latin typeface="+mn-lt"/>
                              <a:ea typeface="+mn-ea"/>
                              <a:cs typeface="+mn-cs"/>
                            </a:defRPr>
                          </a:lvl4pPr>
                          <a:lvl5pPr marL="1828800" algn="l" rtl="0" fontAlgn="base">
                            <a:spcBef>
                              <a:spcPct val="0"/>
                            </a:spcBef>
                            <a:spcAft>
                              <a:spcPct val="0"/>
                            </a:spcAft>
                            <a:defRPr kern="1200">
                              <a:solidFill>
                                <a:schemeClr val="lt1"/>
                              </a:solidFill>
                              <a:latin typeface="+mn-lt"/>
                              <a:ea typeface="+mn-ea"/>
                              <a:cs typeface="+mn-cs"/>
                            </a:defRPr>
                          </a:lvl5pPr>
                          <a:lvl6pPr marL="2286000" algn="l" defTabSz="914400" rtl="0" eaLnBrk="1" latinLnBrk="0" hangingPunct="1">
                            <a:defRPr kern="1200">
                              <a:solidFill>
                                <a:schemeClr val="lt1"/>
                              </a:solidFill>
                              <a:latin typeface="+mn-lt"/>
                              <a:ea typeface="+mn-ea"/>
                              <a:cs typeface="+mn-cs"/>
                            </a:defRPr>
                          </a:lvl6pPr>
                          <a:lvl7pPr marL="2743200" algn="l" defTabSz="914400" rtl="0" eaLnBrk="1" latinLnBrk="0" hangingPunct="1">
                            <a:defRPr kern="1200">
                              <a:solidFill>
                                <a:schemeClr val="lt1"/>
                              </a:solidFill>
                              <a:latin typeface="+mn-lt"/>
                              <a:ea typeface="+mn-ea"/>
                              <a:cs typeface="+mn-cs"/>
                            </a:defRPr>
                          </a:lvl7pPr>
                          <a:lvl8pPr marL="3200400" algn="l" defTabSz="914400" rtl="0" eaLnBrk="1" latinLnBrk="0" hangingPunct="1">
                            <a:defRPr kern="1200">
                              <a:solidFill>
                                <a:schemeClr val="lt1"/>
                              </a:solidFill>
                              <a:latin typeface="+mn-lt"/>
                              <a:ea typeface="+mn-ea"/>
                              <a:cs typeface="+mn-cs"/>
                            </a:defRPr>
                          </a:lvl8pPr>
                          <a:lvl9pPr marL="3657600" algn="l" defTabSz="914400" rtl="0" eaLnBrk="1" latinLnBrk="0" hangingPunct="1">
                            <a:defRPr kern="1200">
                              <a:solidFill>
                                <a:schemeClr val="lt1"/>
                              </a:solidFill>
                              <a:latin typeface="+mn-lt"/>
                              <a:ea typeface="+mn-ea"/>
                              <a:cs typeface="+mn-cs"/>
                            </a:defRPr>
                          </a:lvl9pPr>
                        </a:lstStyle>
                        <a:p>
                          <a:r>
                            <a:rPr lang="zh-CN" altLang="en-US" dirty="0" smtClean="0">
                              <a:solidFill>
                                <a:schemeClr val="tx1"/>
                              </a:solidFill>
                              <a:latin typeface="黑体" panose="02010609060101010101" pitchFamily="49" charset="-122"/>
                              <a:ea typeface="黑体" panose="02010609060101010101" pitchFamily="49" charset="-122"/>
                            </a:rPr>
                            <a:t>简易注销结果查看</a:t>
                          </a:r>
                          <a:endParaRPr lang="zh-CN" altLang="zh-CN" dirty="0">
                            <a:solidFill>
                              <a:schemeClr val="tx1"/>
                            </a:solidFill>
                            <a:latin typeface="黑体" panose="02010609060101010101" pitchFamily="49" charset="-122"/>
                            <a:ea typeface="黑体" panose="02010609060101010101" pitchFamily="49" charset="-122"/>
                          </a:endParaRPr>
                        </a:p>
                      </a:txBody>
                      <a:useSpRect/>
                    </a:txSp>
                    <a:style>
                      <a:lnRef idx="3">
                        <a:schemeClr val="lt1"/>
                      </a:lnRef>
                      <a:fillRef idx="1">
                        <a:schemeClr val="accent3"/>
                      </a:fillRef>
                      <a:effectRef idx="1">
                        <a:schemeClr val="accent3"/>
                      </a:effectRef>
                      <a:fontRef idx="minor">
                        <a:schemeClr val="lt1"/>
                      </a:fontRef>
                    </a:style>
                  </a:sp>
                  <a:sp>
                    <a:nvSpPr>
                      <a:cNvPr id="20" name="矩形 19"/>
                      <a:cNvSpPr/>
                    </a:nvSpPr>
                    <a:spPr bwMode="auto">
                      <a:xfrm>
                        <a:off x="1440341" y="5904598"/>
                        <a:ext cx="6300010" cy="764762"/>
                      </a:xfrm>
                      <a:prstGeom prst="rect">
                        <a:avLst/>
                      </a:prstGeom>
                      <a:noFill/>
                      <a:ln w="28575">
                        <a:solidFill>
                          <a:srgbClr val="FF0000"/>
                        </a:solidFill>
                      </a:ln>
                    </a:spPr>
                    <a:txSp>
                      <a:txBody>
                        <a:bodyPr rtlCol="0" anchor="ctr">
                          <a:noAutofit/>
                        </a:bodyPr>
                        <a:lstStyle>
                          <a:defPPr>
                            <a:defRPr lang="en-US"/>
                          </a:defPPr>
                          <a:lvl1pPr algn="l" rtl="0" fontAlgn="base">
                            <a:spcBef>
                              <a:spcPct val="0"/>
                            </a:spcBef>
                            <a:spcAft>
                              <a:spcPct val="0"/>
                            </a:spcAft>
                            <a:defRPr kern="1200">
                              <a:solidFill>
                                <a:schemeClr val="tx1"/>
                              </a:solidFill>
                              <a:latin typeface="Arial" panose="020B0604020202020204" pitchFamily="34" charset="0"/>
                              <a:ea typeface="宋体" panose="02010600030101010101" pitchFamily="2" charset="-122"/>
                              <a:cs typeface="+mn-cs"/>
                            </a:defRPr>
                          </a:lvl1pPr>
                          <a:lvl2pPr marL="457200" algn="l" rtl="0" fontAlgn="base">
                            <a:spcBef>
                              <a:spcPct val="0"/>
                            </a:spcBef>
                            <a:spcAft>
                              <a:spcPct val="0"/>
                            </a:spcAft>
                            <a:defRPr kern="1200">
                              <a:solidFill>
                                <a:schemeClr val="tx1"/>
                              </a:solidFill>
                              <a:latin typeface="Arial" panose="020B0604020202020204" pitchFamily="34" charset="0"/>
                              <a:ea typeface="宋体" panose="02010600030101010101" pitchFamily="2" charset="-122"/>
                              <a:cs typeface="+mn-cs"/>
                            </a:defRPr>
                          </a:lvl2pPr>
                          <a:lvl3pPr marL="914400" algn="l" rtl="0" fontAlgn="base">
                            <a:spcBef>
                              <a:spcPct val="0"/>
                            </a:spcBef>
                            <a:spcAft>
                              <a:spcPct val="0"/>
                            </a:spcAft>
                            <a:defRPr kern="1200">
                              <a:solidFill>
                                <a:schemeClr val="tx1"/>
                              </a:solidFill>
                              <a:latin typeface="Arial" panose="020B0604020202020204" pitchFamily="34" charset="0"/>
                              <a:ea typeface="宋体" panose="02010600030101010101" pitchFamily="2" charset="-122"/>
                              <a:cs typeface="+mn-cs"/>
                            </a:defRPr>
                          </a:lvl3pPr>
                          <a:lvl4pPr marL="1371600" algn="l" rtl="0" fontAlgn="base">
                            <a:spcBef>
                              <a:spcPct val="0"/>
                            </a:spcBef>
                            <a:spcAft>
                              <a:spcPct val="0"/>
                            </a:spcAft>
                            <a:defRPr kern="1200">
                              <a:solidFill>
                                <a:schemeClr val="tx1"/>
                              </a:solidFill>
                              <a:latin typeface="Arial" panose="020B0604020202020204" pitchFamily="34" charset="0"/>
                              <a:ea typeface="宋体" panose="02010600030101010101" pitchFamily="2" charset="-122"/>
                              <a:cs typeface="+mn-cs"/>
                            </a:defRPr>
                          </a:lvl4pPr>
                          <a:lvl5pPr marL="1828800" algn="l" rtl="0" fontAlgn="base">
                            <a:spcBef>
                              <a:spcPct val="0"/>
                            </a:spcBef>
                            <a:spcAft>
                              <a:spcPct val="0"/>
                            </a:spcAft>
                            <a:defRPr kern="1200">
                              <a:solidFill>
                                <a:schemeClr val="tx1"/>
                              </a:solidFill>
                              <a:latin typeface="Arial" panose="020B0604020202020204" pitchFamily="34" charset="0"/>
                              <a:ea typeface="宋体" panose="02010600030101010101" pitchFamily="2" charset="-122"/>
                              <a:cs typeface="+mn-cs"/>
                            </a:defRPr>
                          </a:lvl5pPr>
                          <a:lvl6pPr marL="2286000" algn="l" defTabSz="914400" rtl="0" eaLnBrk="1" latinLnBrk="0" hangingPunct="1">
                            <a:defRPr kern="1200">
                              <a:solidFill>
                                <a:schemeClr val="tx1"/>
                              </a:solidFill>
                              <a:latin typeface="Arial" panose="020B0604020202020204" pitchFamily="34" charset="0"/>
                              <a:ea typeface="宋体" panose="02010600030101010101" pitchFamily="2" charset="-122"/>
                              <a:cs typeface="+mn-cs"/>
                            </a:defRPr>
                          </a:lvl6pPr>
                          <a:lvl7pPr marL="2743200" algn="l" defTabSz="914400" rtl="0" eaLnBrk="1" latinLnBrk="0" hangingPunct="1">
                            <a:defRPr kern="1200">
                              <a:solidFill>
                                <a:schemeClr val="tx1"/>
                              </a:solidFill>
                              <a:latin typeface="Arial" panose="020B0604020202020204" pitchFamily="34" charset="0"/>
                              <a:ea typeface="宋体" panose="02010600030101010101" pitchFamily="2" charset="-122"/>
                              <a:cs typeface="+mn-cs"/>
                            </a:defRPr>
                          </a:lvl7pPr>
                          <a:lvl8pPr marL="3200400" algn="l" defTabSz="914400" rtl="0" eaLnBrk="1" latinLnBrk="0" hangingPunct="1">
                            <a:defRPr kern="1200">
                              <a:solidFill>
                                <a:schemeClr val="tx1"/>
                              </a:solidFill>
                              <a:latin typeface="Arial" panose="020B0604020202020204" pitchFamily="34" charset="0"/>
                              <a:ea typeface="宋体" panose="02010600030101010101" pitchFamily="2" charset="-122"/>
                              <a:cs typeface="+mn-cs"/>
                            </a:defRPr>
                          </a:lvl8pPr>
                          <a:lvl9pPr marL="3657600" algn="l" defTabSz="914400" rtl="0" eaLnBrk="1" latinLnBrk="0" hangingPunct="1">
                            <a:defRPr kern="1200">
                              <a:solidFill>
                                <a:schemeClr val="tx1"/>
                              </a:solidFill>
                              <a:latin typeface="Arial" panose="020B0604020202020204" pitchFamily="34" charset="0"/>
                              <a:ea typeface="宋体" panose="02010600030101010101" pitchFamily="2" charset="-122"/>
                              <a:cs typeface="+mn-cs"/>
                            </a:defRPr>
                          </a:lvl9pPr>
                        </a:lstStyle>
                        <a:p>
                          <a:pPr algn="ctr" defTabSz="914400">
                            <a:lnSpc>
                              <a:spcPct val="120000"/>
                            </a:lnSpc>
                            <a:buSzTx/>
                            <a:buFontTx/>
                            <a:buNone/>
                          </a:pPr>
                          <a:endParaRPr lang="zh-CN" altLang="en-US" sz="1800" dirty="0">
                            <a:solidFill>
                              <a:srgbClr val="FF0000"/>
                            </a:solidFill>
                            <a:latin typeface="黑体" panose="02010609060101010101" pitchFamily="49" charset="-122"/>
                            <a:ea typeface="黑体" panose="02010609060101010101" pitchFamily="49" charset="-122"/>
                          </a:endParaRPr>
                        </a:p>
                      </a:txBody>
                      <a:useSpRect/>
                    </a:txSp>
                  </a:sp>
                </lc:lockedCanvas>
              </a:graphicData>
            </a:graphic>
          </wp:inline>
        </w:drawing>
      </w:r>
    </w:p>
    <w:p w:rsidR="00DE1EA7" w:rsidRPr="00DE1EA7" w:rsidRDefault="00DE1EA7" w:rsidP="007E342E">
      <w:pPr>
        <w:rPr>
          <w:rFonts w:ascii="Calibri" w:eastAsia="宋体" w:hAnsi="Calibri" w:cs="Times New Roman"/>
        </w:rPr>
      </w:pPr>
    </w:p>
    <w:p w:rsidR="00C672CB" w:rsidRPr="00DE1EA7" w:rsidRDefault="00C672CB" w:rsidP="007E342E">
      <w:pPr>
        <w:rPr>
          <w:rFonts w:ascii="Calibri" w:eastAsia="宋体" w:hAnsi="Calibri" w:cs="Times New Roman"/>
        </w:rPr>
      </w:pPr>
    </w:p>
    <w:p w:rsidR="007E342E" w:rsidRPr="007E342E" w:rsidRDefault="007E342E" w:rsidP="00AE539D"/>
    <w:p w:rsidR="0097446F" w:rsidRPr="0097446F" w:rsidRDefault="0097446F" w:rsidP="00AE539D"/>
    <w:p w:rsidR="0097446F" w:rsidRPr="0097446F" w:rsidRDefault="0097446F" w:rsidP="00AE539D"/>
    <w:sectPr w:rsidR="0097446F" w:rsidRPr="0097446F" w:rsidSect="0042768D">
      <w:pgSz w:w="11906" w:h="16838"/>
      <w:pgMar w:top="1440" w:right="1800" w:bottom="1440" w:left="1800" w:header="851" w:footer="992"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7C3596" w:rsidRDefault="007C3596" w:rsidP="007E342E">
      <w:r>
        <w:separator/>
      </w:r>
    </w:p>
  </w:endnote>
  <w:endnote w:type="continuationSeparator" w:id="1">
    <w:p w:rsidR="007C3596" w:rsidRDefault="007C3596" w:rsidP="007E342E">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10002FF" w:usb1="4000ACFF" w:usb2="00000009"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7C3596" w:rsidRDefault="007C3596" w:rsidP="007E342E">
      <w:r>
        <w:separator/>
      </w:r>
    </w:p>
  </w:footnote>
  <w:footnote w:type="continuationSeparator" w:id="1">
    <w:p w:rsidR="007C3596" w:rsidRDefault="007C3596" w:rsidP="007E342E">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2"/>
    <w:multiLevelType w:val="singleLevel"/>
    <w:tmpl w:val="00000002"/>
    <w:lvl w:ilvl="0">
      <w:start w:val="13"/>
      <w:numFmt w:val="chineseCounting"/>
      <w:suff w:val="nothing"/>
      <w:lvlText w:val="%1、"/>
      <w:lvlJc w:val="left"/>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44"/>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7170"/>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
  <w:rsids>
    <w:rsidRoot w:val="00AE539D"/>
    <w:rsid w:val="00145932"/>
    <w:rsid w:val="001855FE"/>
    <w:rsid w:val="001C21D8"/>
    <w:rsid w:val="001C4F5A"/>
    <w:rsid w:val="001E169B"/>
    <w:rsid w:val="001F5B5C"/>
    <w:rsid w:val="00200B04"/>
    <w:rsid w:val="002674D5"/>
    <w:rsid w:val="002F1215"/>
    <w:rsid w:val="00305B02"/>
    <w:rsid w:val="0042768D"/>
    <w:rsid w:val="00427B27"/>
    <w:rsid w:val="00531646"/>
    <w:rsid w:val="005472E1"/>
    <w:rsid w:val="00704018"/>
    <w:rsid w:val="0072504C"/>
    <w:rsid w:val="007503CB"/>
    <w:rsid w:val="007C3596"/>
    <w:rsid w:val="007E342E"/>
    <w:rsid w:val="008C2E0A"/>
    <w:rsid w:val="0097446F"/>
    <w:rsid w:val="009A3750"/>
    <w:rsid w:val="00AE539D"/>
    <w:rsid w:val="00C5124A"/>
    <w:rsid w:val="00C672CB"/>
    <w:rsid w:val="00C86B79"/>
    <w:rsid w:val="00D63931"/>
    <w:rsid w:val="00DB798B"/>
    <w:rsid w:val="00DD2632"/>
    <w:rsid w:val="00DE1EA7"/>
    <w:rsid w:val="00E24D93"/>
    <w:rsid w:val="00EE6A99"/>
    <w:rsid w:val="00F626AD"/>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717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2768D"/>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semiHidden/>
    <w:unhideWhenUsed/>
    <w:rsid w:val="00AE539D"/>
    <w:pPr>
      <w:widowControl/>
      <w:spacing w:before="100" w:beforeAutospacing="1" w:after="100" w:afterAutospacing="1"/>
      <w:jc w:val="left"/>
    </w:pPr>
    <w:rPr>
      <w:rFonts w:ascii="宋体" w:eastAsia="宋体" w:hAnsi="宋体" w:cs="宋体"/>
      <w:kern w:val="0"/>
      <w:sz w:val="24"/>
      <w:szCs w:val="24"/>
    </w:rPr>
  </w:style>
  <w:style w:type="paragraph" w:styleId="a4">
    <w:name w:val="Balloon Text"/>
    <w:basedOn w:val="a"/>
    <w:link w:val="Char"/>
    <w:uiPriority w:val="99"/>
    <w:semiHidden/>
    <w:unhideWhenUsed/>
    <w:rsid w:val="00C86B79"/>
    <w:rPr>
      <w:sz w:val="18"/>
      <w:szCs w:val="18"/>
    </w:rPr>
  </w:style>
  <w:style w:type="character" w:customStyle="1" w:styleId="Char">
    <w:name w:val="批注框文本 Char"/>
    <w:basedOn w:val="a0"/>
    <w:link w:val="a4"/>
    <w:uiPriority w:val="99"/>
    <w:semiHidden/>
    <w:rsid w:val="00C86B79"/>
    <w:rPr>
      <w:sz w:val="18"/>
      <w:szCs w:val="18"/>
    </w:rPr>
  </w:style>
  <w:style w:type="paragraph" w:styleId="a5">
    <w:name w:val="header"/>
    <w:basedOn w:val="a"/>
    <w:link w:val="Char0"/>
    <w:uiPriority w:val="99"/>
    <w:semiHidden/>
    <w:unhideWhenUsed/>
    <w:rsid w:val="007E342E"/>
    <w:pPr>
      <w:pBdr>
        <w:bottom w:val="single" w:sz="6" w:space="1" w:color="auto"/>
      </w:pBdr>
      <w:tabs>
        <w:tab w:val="center" w:pos="4153"/>
        <w:tab w:val="right" w:pos="8306"/>
      </w:tabs>
      <w:snapToGrid w:val="0"/>
      <w:jc w:val="center"/>
    </w:pPr>
    <w:rPr>
      <w:sz w:val="18"/>
      <w:szCs w:val="18"/>
    </w:rPr>
  </w:style>
  <w:style w:type="character" w:customStyle="1" w:styleId="Char0">
    <w:name w:val="页眉 Char"/>
    <w:basedOn w:val="a0"/>
    <w:link w:val="a5"/>
    <w:uiPriority w:val="99"/>
    <w:semiHidden/>
    <w:rsid w:val="007E342E"/>
    <w:rPr>
      <w:sz w:val="18"/>
      <w:szCs w:val="18"/>
    </w:rPr>
  </w:style>
  <w:style w:type="paragraph" w:styleId="a6">
    <w:name w:val="footer"/>
    <w:basedOn w:val="a"/>
    <w:link w:val="Char1"/>
    <w:uiPriority w:val="99"/>
    <w:semiHidden/>
    <w:unhideWhenUsed/>
    <w:rsid w:val="007E342E"/>
    <w:pPr>
      <w:tabs>
        <w:tab w:val="center" w:pos="4153"/>
        <w:tab w:val="right" w:pos="8306"/>
      </w:tabs>
      <w:snapToGrid w:val="0"/>
      <w:jc w:val="left"/>
    </w:pPr>
    <w:rPr>
      <w:sz w:val="18"/>
      <w:szCs w:val="18"/>
    </w:rPr>
  </w:style>
  <w:style w:type="character" w:customStyle="1" w:styleId="Char1">
    <w:name w:val="页脚 Char"/>
    <w:basedOn w:val="a0"/>
    <w:link w:val="a6"/>
    <w:uiPriority w:val="99"/>
    <w:semiHidden/>
    <w:rsid w:val="007E342E"/>
    <w:rPr>
      <w:sz w:val="18"/>
      <w:szCs w:val="18"/>
    </w:rPr>
  </w:style>
</w:styles>
</file>

<file path=word/webSettings.xml><?xml version="1.0" encoding="utf-8"?>
<w:webSettings xmlns:r="http://schemas.openxmlformats.org/officeDocument/2006/relationships" xmlns:w="http://schemas.openxmlformats.org/wordprocessingml/2006/main">
  <w:divs>
    <w:div w:id="177887679">
      <w:bodyDiv w:val="1"/>
      <w:marLeft w:val="0"/>
      <w:marRight w:val="0"/>
      <w:marTop w:val="0"/>
      <w:marBottom w:val="0"/>
      <w:divBdr>
        <w:top w:val="none" w:sz="0" w:space="0" w:color="auto"/>
        <w:left w:val="none" w:sz="0" w:space="0" w:color="auto"/>
        <w:bottom w:val="none" w:sz="0" w:space="0" w:color="auto"/>
        <w:right w:val="none" w:sz="0" w:space="0" w:color="auto"/>
      </w:divBdr>
    </w:div>
    <w:div w:id="679551565">
      <w:bodyDiv w:val="1"/>
      <w:marLeft w:val="0"/>
      <w:marRight w:val="0"/>
      <w:marTop w:val="0"/>
      <w:marBottom w:val="0"/>
      <w:divBdr>
        <w:top w:val="none" w:sz="0" w:space="0" w:color="auto"/>
        <w:left w:val="none" w:sz="0" w:space="0" w:color="auto"/>
        <w:bottom w:val="none" w:sz="0" w:space="0" w:color="auto"/>
        <w:right w:val="none" w:sz="0" w:space="0" w:color="auto"/>
      </w:divBdr>
    </w:div>
    <w:div w:id="865606172">
      <w:bodyDiv w:val="1"/>
      <w:marLeft w:val="0"/>
      <w:marRight w:val="0"/>
      <w:marTop w:val="0"/>
      <w:marBottom w:val="0"/>
      <w:divBdr>
        <w:top w:val="none" w:sz="0" w:space="0" w:color="auto"/>
        <w:left w:val="none" w:sz="0" w:space="0" w:color="auto"/>
        <w:bottom w:val="none" w:sz="0" w:space="0" w:color="auto"/>
        <w:right w:val="none" w:sz="0" w:space="0" w:color="auto"/>
      </w:divBdr>
    </w:div>
    <w:div w:id="17602559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3" Type="http://schemas.openxmlformats.org/officeDocument/2006/relationships/settings" Target="settings.xml"/><Relationship Id="rId21" Type="http://schemas.openxmlformats.org/officeDocument/2006/relationships/image" Target="media/image15.png"/><Relationship Id="rId7" Type="http://schemas.openxmlformats.org/officeDocument/2006/relationships/image" Target="media/image1.jpeg"/><Relationship Id="rId12" Type="http://schemas.openxmlformats.org/officeDocument/2006/relationships/image" Target="media/image6.png"/><Relationship Id="rId17" Type="http://schemas.openxmlformats.org/officeDocument/2006/relationships/image" Target="media/image11.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fontTable" Target="fontTable.xml"/><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9</Pages>
  <Words>436</Words>
  <Characters>2488</Characters>
  <Application>Microsoft Office Word</Application>
  <DocSecurity>0</DocSecurity>
  <Lines>20</Lines>
  <Paragraphs>5</Paragraphs>
  <ScaleCrop>false</ScaleCrop>
  <Company>YNDS</Company>
  <LinksUpToDate>false</LinksUpToDate>
  <CharactersWithSpaces>2919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NTKO</dc:creator>
  <cp:lastModifiedBy>NTKO</cp:lastModifiedBy>
  <cp:revision>2</cp:revision>
  <dcterms:created xsi:type="dcterms:W3CDTF">2017-12-01T01:22:00Z</dcterms:created>
  <dcterms:modified xsi:type="dcterms:W3CDTF">2017-12-01T01:22:00Z</dcterms:modified>
</cp:coreProperties>
</file>