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59D" w:rsidRPr="004E159D" w:rsidRDefault="004E159D" w:rsidP="004E159D">
      <w:pPr>
        <w:widowControl/>
        <w:shd w:val="clear" w:color="auto" w:fill="FFFFFF"/>
        <w:jc w:val="center"/>
        <w:rPr>
          <w:rFonts w:ascii="Microsoft Yahei" w:eastAsia="宋体" w:hAnsi="Microsoft Yahei" w:cs="宋体"/>
          <w:b/>
          <w:bCs/>
          <w:color w:val="333333"/>
          <w:kern w:val="0"/>
          <w:sz w:val="27"/>
          <w:szCs w:val="27"/>
        </w:rPr>
      </w:pPr>
      <w:bookmarkStart w:id="0" w:name="_GoBack"/>
      <w:r w:rsidRPr="004E159D">
        <w:rPr>
          <w:rFonts w:ascii="Microsoft Yahei" w:eastAsia="宋体" w:hAnsi="Microsoft Yahei" w:cs="宋体"/>
          <w:b/>
          <w:bCs/>
          <w:color w:val="333333"/>
          <w:kern w:val="0"/>
          <w:sz w:val="27"/>
          <w:szCs w:val="27"/>
        </w:rPr>
        <w:t>关于进一步规范地方政府举债融资行为的通知</w:t>
      </w:r>
      <w:r w:rsidRPr="004E159D">
        <w:rPr>
          <w:rFonts w:ascii="Microsoft Yahei" w:eastAsia="宋体" w:hAnsi="Microsoft Yahei" w:cs="宋体"/>
          <w:b/>
          <w:bCs/>
          <w:color w:val="333333"/>
          <w:kern w:val="0"/>
          <w:sz w:val="27"/>
          <w:szCs w:val="27"/>
        </w:rPr>
        <w:t>(</w:t>
      </w:r>
      <w:r w:rsidRPr="004E159D">
        <w:rPr>
          <w:rFonts w:ascii="Microsoft Yahei" w:eastAsia="宋体" w:hAnsi="Microsoft Yahei" w:cs="宋体"/>
          <w:b/>
          <w:bCs/>
          <w:color w:val="333333"/>
          <w:kern w:val="0"/>
          <w:sz w:val="27"/>
          <w:szCs w:val="27"/>
        </w:rPr>
        <w:t>财预〔</w:t>
      </w:r>
      <w:r w:rsidRPr="004E159D">
        <w:rPr>
          <w:rFonts w:ascii="Microsoft Yahei" w:eastAsia="宋体" w:hAnsi="Microsoft Yahei" w:cs="宋体"/>
          <w:b/>
          <w:bCs/>
          <w:color w:val="333333"/>
          <w:kern w:val="0"/>
          <w:sz w:val="27"/>
          <w:szCs w:val="27"/>
        </w:rPr>
        <w:t>2017</w:t>
      </w:r>
      <w:r w:rsidRPr="004E159D">
        <w:rPr>
          <w:rFonts w:ascii="Microsoft Yahei" w:eastAsia="宋体" w:hAnsi="Microsoft Yahei" w:cs="宋体"/>
          <w:b/>
          <w:bCs/>
          <w:color w:val="333333"/>
          <w:kern w:val="0"/>
          <w:sz w:val="27"/>
          <w:szCs w:val="27"/>
        </w:rPr>
        <w:t>〕</w:t>
      </w:r>
      <w:r w:rsidRPr="004E159D">
        <w:rPr>
          <w:rFonts w:ascii="Microsoft Yahei" w:eastAsia="宋体" w:hAnsi="Microsoft Yahei" w:cs="宋体"/>
          <w:b/>
          <w:bCs/>
          <w:color w:val="333333"/>
          <w:kern w:val="0"/>
          <w:sz w:val="27"/>
          <w:szCs w:val="27"/>
        </w:rPr>
        <w:t>50</w:t>
      </w:r>
      <w:r w:rsidRPr="004E159D">
        <w:rPr>
          <w:rFonts w:ascii="Microsoft Yahei" w:eastAsia="宋体" w:hAnsi="Microsoft Yahei" w:cs="宋体"/>
          <w:b/>
          <w:bCs/>
          <w:color w:val="333333"/>
          <w:kern w:val="0"/>
          <w:sz w:val="27"/>
          <w:szCs w:val="27"/>
        </w:rPr>
        <w:t>号</w:t>
      </w:r>
      <w:r w:rsidRPr="004E159D">
        <w:rPr>
          <w:rFonts w:ascii="Microsoft Yahei" w:eastAsia="宋体" w:hAnsi="Microsoft Yahei" w:cs="宋体"/>
          <w:b/>
          <w:bCs/>
          <w:color w:val="333333"/>
          <w:kern w:val="0"/>
          <w:sz w:val="27"/>
          <w:szCs w:val="27"/>
        </w:rPr>
        <w:t>)</w:t>
      </w:r>
    </w:p>
    <w:bookmarkEnd w:id="0"/>
    <w:p w:rsidR="004E159D" w:rsidRPr="004E159D" w:rsidRDefault="004E159D" w:rsidP="004E159D">
      <w:pPr>
        <w:widowControl/>
        <w:shd w:val="clear" w:color="auto" w:fill="FFFFFF"/>
        <w:jc w:val="center"/>
        <w:rPr>
          <w:rFonts w:ascii="Microsoft Yahei" w:eastAsia="宋体" w:hAnsi="Microsoft Yahei" w:cs="宋体"/>
          <w:color w:val="999999"/>
          <w:kern w:val="0"/>
          <w:sz w:val="18"/>
          <w:szCs w:val="18"/>
        </w:rPr>
      </w:pPr>
      <w:r w:rsidRPr="004E159D">
        <w:rPr>
          <w:rFonts w:ascii="Microsoft Yahei" w:eastAsia="宋体" w:hAnsi="Microsoft Yahei" w:cs="宋体"/>
          <w:color w:val="999999"/>
          <w:kern w:val="0"/>
          <w:sz w:val="18"/>
          <w:szCs w:val="18"/>
        </w:rPr>
        <w:t>发布日期：</w:t>
      </w:r>
      <w:r w:rsidRPr="004E159D">
        <w:rPr>
          <w:rFonts w:ascii="Microsoft Yahei" w:eastAsia="宋体" w:hAnsi="Microsoft Yahei" w:cs="宋体"/>
          <w:color w:val="999999"/>
          <w:kern w:val="0"/>
          <w:sz w:val="18"/>
          <w:szCs w:val="18"/>
        </w:rPr>
        <w:t xml:space="preserve">2017-05-08 </w:t>
      </w:r>
    </w:p>
    <w:p w:rsidR="004E159D" w:rsidRPr="004E159D" w:rsidRDefault="004E159D" w:rsidP="004E159D">
      <w:pPr>
        <w:widowControl/>
        <w:shd w:val="clear" w:color="auto" w:fill="FFFFFF"/>
        <w:jc w:val="center"/>
        <w:rPr>
          <w:rFonts w:ascii="Microsoft Yahei" w:eastAsia="宋体" w:hAnsi="Microsoft Yahei" w:cs="宋体"/>
          <w:color w:val="999999"/>
          <w:kern w:val="0"/>
          <w:sz w:val="18"/>
          <w:szCs w:val="18"/>
        </w:rPr>
      </w:pPr>
      <w:r w:rsidRPr="004E159D">
        <w:rPr>
          <w:rFonts w:ascii="Microsoft Yahei" w:eastAsia="宋体" w:hAnsi="Microsoft Yahei" w:cs="宋体"/>
          <w:color w:val="999999"/>
          <w:kern w:val="0"/>
          <w:sz w:val="18"/>
          <w:szCs w:val="18"/>
        </w:rPr>
        <w:t>点击：</w:t>
      </w:r>
      <w:r w:rsidRPr="004E159D">
        <w:rPr>
          <w:rFonts w:ascii="Microsoft Yahei" w:eastAsia="宋体" w:hAnsi="Microsoft Yahei" w:cs="宋体"/>
          <w:color w:val="999999"/>
          <w:kern w:val="0"/>
          <w:sz w:val="18"/>
          <w:szCs w:val="18"/>
        </w:rPr>
        <w:t xml:space="preserve"> </w:t>
      </w:r>
      <w:r w:rsidRPr="004E159D">
        <w:rPr>
          <w:rFonts w:ascii="Microsoft Yahei" w:eastAsia="宋体" w:hAnsi="Microsoft Yahei" w:cs="宋体"/>
          <w:color w:val="999999"/>
          <w:kern w:val="0"/>
          <w:sz w:val="18"/>
          <w:szCs w:val="18"/>
        </w:rPr>
        <w:pict/>
      </w:r>
      <w:r w:rsidRPr="004E159D">
        <w:rPr>
          <w:rFonts w:ascii="Microsoft Yahei" w:eastAsia="宋体" w:hAnsi="Microsoft Yahei" w:cs="宋体"/>
          <w:color w:val="999999"/>
          <w:kern w:val="0"/>
          <w:sz w:val="18"/>
          <w:szCs w:val="18"/>
        </w:rPr>
        <w:t>6865</w:t>
      </w:r>
      <w:r w:rsidRPr="004E159D">
        <w:rPr>
          <w:rFonts w:ascii="Microsoft Yahei" w:eastAsia="宋体" w:hAnsi="Microsoft Yahei" w:cs="宋体"/>
          <w:color w:val="999999"/>
          <w:kern w:val="0"/>
          <w:sz w:val="18"/>
          <w:szCs w:val="18"/>
        </w:rPr>
        <w:t>次</w:t>
      </w:r>
    </w:p>
    <w:p w:rsidR="004E159D" w:rsidRPr="004E159D" w:rsidRDefault="004E159D" w:rsidP="004E159D">
      <w:pPr>
        <w:widowControl/>
        <w:shd w:val="clear" w:color="auto" w:fill="FFFFFF"/>
        <w:spacing w:before="225" w:line="450" w:lineRule="atLeast"/>
        <w:jc w:val="left"/>
        <w:rPr>
          <w:rFonts w:ascii="宋体" w:eastAsia="宋体" w:hAnsi="宋体" w:cs="宋体"/>
          <w:color w:val="333333"/>
          <w:kern w:val="0"/>
          <w:sz w:val="24"/>
          <w:szCs w:val="24"/>
        </w:rPr>
      </w:pPr>
      <w:r w:rsidRPr="004E159D">
        <w:rPr>
          <w:rFonts w:ascii="宋体" w:eastAsia="宋体" w:hAnsi="宋体" w:cs="宋体" w:hint="eastAsia"/>
          <w:color w:val="333333"/>
          <w:kern w:val="0"/>
          <w:sz w:val="24"/>
          <w:szCs w:val="24"/>
        </w:rPr>
        <w:t>各省、自治区、直辖市、计划单列市财政厅（局）、发展改革委、司法厅（局），中国人民银行上海总部、各分行、营业管理部、省会（首府）城市中心支行、副省级城市中心支行，各银监局、证监局：</w:t>
      </w:r>
    </w:p>
    <w:p w:rsidR="004E159D" w:rsidRPr="004E159D" w:rsidRDefault="004E159D" w:rsidP="004E159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4E159D">
        <w:rPr>
          <w:rFonts w:ascii="宋体" w:eastAsia="宋体" w:hAnsi="宋体" w:cs="宋体" w:hint="eastAsia"/>
          <w:color w:val="333333"/>
          <w:kern w:val="0"/>
          <w:sz w:val="24"/>
          <w:szCs w:val="24"/>
        </w:rPr>
        <w:t>2014年修订的预算法和《国务院关于加强地方政府性债务管理的意见》（国发〔2014〕43号）实施以来，地方各级政府加快建立规范的举债融资机制，积极发挥政府规范举债对经济社会发展的支持作用，防范化解财政金融风险，取得了阶段性成效。但个别地区违法违规举债担保时有发生，局部风险不容忽视。为贯彻落实党中央、国务院决策部署，牢牢守住不发生区域性系统性风险的底线，现就进一步规范地方政府举债融资行为有关事项通知如下：</w:t>
      </w:r>
    </w:p>
    <w:p w:rsidR="004E159D" w:rsidRPr="004E159D" w:rsidRDefault="004E159D" w:rsidP="004E159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4E159D">
        <w:rPr>
          <w:rFonts w:ascii="宋体" w:eastAsia="宋体" w:hAnsi="宋体" w:cs="宋体" w:hint="eastAsia"/>
          <w:b/>
          <w:bCs/>
          <w:color w:val="333333"/>
          <w:kern w:val="0"/>
          <w:sz w:val="24"/>
          <w:szCs w:val="24"/>
        </w:rPr>
        <w:t>一、全面组织开展地方政府融资担保清理整改工作</w:t>
      </w:r>
    </w:p>
    <w:p w:rsidR="004E159D" w:rsidRPr="004E159D" w:rsidRDefault="004E159D" w:rsidP="004E159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4E159D">
        <w:rPr>
          <w:rFonts w:ascii="宋体" w:eastAsia="宋体" w:hAnsi="宋体" w:cs="宋体" w:hint="eastAsia"/>
          <w:color w:val="333333"/>
          <w:kern w:val="0"/>
          <w:sz w:val="24"/>
          <w:szCs w:val="24"/>
        </w:rPr>
        <w:t>各省级政府要认真落实国务院办公厅印发的《地方政府性债务风险应急处置预案》（国办函〔2016〕88号）要求，抓紧设立政府性债务管理领导小组，指导督促本级各部门和市县政府进一步完善风险防范机制，结合2016年开展的融资平台公司债务等统计情况，尽快组织一次地方政府及其部门融资担保行为摸底排查，督促相关部门、市县政府加强与社会资本方的平等协商，依法完善合同条款，分类妥善处置，全面改正地方政府不规范的融资担保行为。上述工作应当于2017年7月31日前清理整改到位，对逾期不改正或改正不到位的相关部门、市县政府，省级政府性债务管理领导小组应当提请省级政府依法依规追究相关责任人的责任。财政部驻各地财政监察专员办事处要密切跟踪地方工作进展，发现问题及时报告。</w:t>
      </w:r>
    </w:p>
    <w:p w:rsidR="004E159D" w:rsidRPr="004E159D" w:rsidRDefault="004E159D" w:rsidP="004E159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4E159D">
        <w:rPr>
          <w:rFonts w:ascii="宋体" w:eastAsia="宋体" w:hAnsi="宋体" w:cs="宋体" w:hint="eastAsia"/>
          <w:b/>
          <w:bCs/>
          <w:color w:val="333333"/>
          <w:kern w:val="0"/>
          <w:sz w:val="24"/>
          <w:szCs w:val="24"/>
        </w:rPr>
        <w:t>二、切实加强融资平台公司融资管理</w:t>
      </w:r>
    </w:p>
    <w:p w:rsidR="004E159D" w:rsidRPr="004E159D" w:rsidRDefault="004E159D" w:rsidP="004E159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4E159D">
        <w:rPr>
          <w:rFonts w:ascii="宋体" w:eastAsia="宋体" w:hAnsi="宋体" w:cs="宋体" w:hint="eastAsia"/>
          <w:color w:val="333333"/>
          <w:kern w:val="0"/>
          <w:sz w:val="24"/>
          <w:szCs w:val="24"/>
        </w:rPr>
        <w:t>加快政府职能转变，处理好政府和市场的关系，进一步规范融资平台公司融资行为管理，推动融资平台公司尽快转型为市场化运营的国有企业、依法合规开展市场化融资，地方政府及其所属部门不得干预融资平台公司日常运营和市场化融资。地方政府不得将公益性资产、储备土地注入融资平台公司，不得承诺将储备土地预期出让收入作为融资平台公司偿债资金来源，不得利用政府</w:t>
      </w:r>
      <w:r w:rsidRPr="004E159D">
        <w:rPr>
          <w:rFonts w:ascii="宋体" w:eastAsia="宋体" w:hAnsi="宋体" w:cs="宋体" w:hint="eastAsia"/>
          <w:color w:val="333333"/>
          <w:kern w:val="0"/>
          <w:sz w:val="24"/>
          <w:szCs w:val="24"/>
        </w:rPr>
        <w:lastRenderedPageBreak/>
        <w:t>性资源干预金融机构正常经营行为。金融机构应当依法合规支持融资平台公司市场化融资，服务实体经济发展。进一步健全信息披露机制，融资平台公司在境内外举债融资时，应当向债权人主动书面声明不承担政府融资职能，并明确自2015年1月1日起其新增债务依法不属于地方政府债务。金融机构应当严格规范融资管理，切实加强风险识别和防范，落实企业举债准入条件，按商业化原则履行相关程序，审慎评估举债人财务能力和还款来源。金融机构为融资平台公司等企业提供融资时，不得要求或接受地方政府及其所属部门以担保函、承诺函、安慰函等任何形式提供担保。对地方政府违法违规举债担保形成的债务，按照《国务院办公厅关于印发地方政府性债务风险应急处置预案的通知》（国办函〔2016〕88号）、《财政部关于印发〈地方政府性债务风险分类处置指南〉的通知》（财预〔2016〕152号）依法妥善处理。</w:t>
      </w:r>
    </w:p>
    <w:p w:rsidR="004E159D" w:rsidRPr="004E159D" w:rsidRDefault="004E159D" w:rsidP="004E159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4E159D">
        <w:rPr>
          <w:rFonts w:ascii="宋体" w:eastAsia="宋体" w:hAnsi="宋体" w:cs="宋体" w:hint="eastAsia"/>
          <w:b/>
          <w:bCs/>
          <w:color w:val="333333"/>
          <w:kern w:val="0"/>
          <w:sz w:val="24"/>
          <w:szCs w:val="24"/>
        </w:rPr>
        <w:t>三、规范政府与社会资本方的合作行为</w:t>
      </w:r>
    </w:p>
    <w:p w:rsidR="004E159D" w:rsidRPr="004E159D" w:rsidRDefault="004E159D" w:rsidP="004E159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4E159D">
        <w:rPr>
          <w:rFonts w:ascii="宋体" w:eastAsia="宋体" w:hAnsi="宋体" w:cs="宋体" w:hint="eastAsia"/>
          <w:color w:val="333333"/>
          <w:kern w:val="0"/>
          <w:sz w:val="24"/>
          <w:szCs w:val="24"/>
        </w:rPr>
        <w:t>地方政府应当规范政府和社会资本合作（PPP）。允许地方政府以单独出资或与社会资本共同出资方式设立各类投资基金，依法实行规范的市场化运作，按照利益共享、风险共担的原则，引导社会资本投资经济社会发展的重点领域和薄弱环节，政府可适当让利。地方政府不得以借贷资金出资设立各类投资基金，严禁地方政府利用PPP、政府出资的各类投资基金等方式违法违规变相举债，除国务院另有规定外，地方政府及其所属部门参与PPP项目、设立政府出资的各类投资基金时，不得以任何方式承诺回购社会资本方的投资本金，不得以任何方式承担社会资本方的投资本金损失，不得以任何方式向社会资本方承诺最低收益，不得对有限合伙制基金等任何股权投资方式额外附加条款变相举债。</w:t>
      </w:r>
    </w:p>
    <w:p w:rsidR="004E159D" w:rsidRPr="004E159D" w:rsidRDefault="004E159D" w:rsidP="004E159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4E159D">
        <w:rPr>
          <w:rFonts w:ascii="宋体" w:eastAsia="宋体" w:hAnsi="宋体" w:cs="宋体" w:hint="eastAsia"/>
          <w:b/>
          <w:bCs/>
          <w:color w:val="333333"/>
          <w:kern w:val="0"/>
          <w:sz w:val="24"/>
          <w:szCs w:val="24"/>
        </w:rPr>
        <w:t>四、进一步健全规范的地方政府举债融资机制</w:t>
      </w:r>
    </w:p>
    <w:p w:rsidR="004E159D" w:rsidRPr="004E159D" w:rsidRDefault="004E159D" w:rsidP="004E159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4E159D">
        <w:rPr>
          <w:rFonts w:ascii="宋体" w:eastAsia="宋体" w:hAnsi="宋体" w:cs="宋体" w:hint="eastAsia"/>
          <w:color w:val="333333"/>
          <w:kern w:val="0"/>
          <w:sz w:val="24"/>
          <w:szCs w:val="24"/>
        </w:rPr>
        <w:t>全面贯彻落实依法治国战略，严格执行预算法和国发〔2014〕43号文件规定，健全规范的地方政府举债融资机制，地方政府举债一律采取在国务院批准的限额内发行地方政府债券方式，除此以外地方政府及其所属部门不得以任何方式举借债务。地方政府及其所属部门不得以文件、会议纪要、领导批示等任何形式，要求或决定企业为政府举债或变相为政府举债。允许地方政府结合财力可能设立或参股担保公司（含各类融资担保基金公司），构建市场化运作的融资担保体系，鼓励政府出资的担保公司依法依规提供融资担保服务，地方政</w:t>
      </w:r>
      <w:r w:rsidRPr="004E159D">
        <w:rPr>
          <w:rFonts w:ascii="宋体" w:eastAsia="宋体" w:hAnsi="宋体" w:cs="宋体" w:hint="eastAsia"/>
          <w:color w:val="333333"/>
          <w:kern w:val="0"/>
          <w:sz w:val="24"/>
          <w:szCs w:val="24"/>
        </w:rPr>
        <w:lastRenderedPageBreak/>
        <w:t>府依法在出资范围内对担保公司承担责任。除外国政府和国际经济组织贷款转贷外，地方政府及其所属部门不得为任何单位和个人的债务以任何方式提供担保，不得承诺为其他任何单位和个人的融资承担偿债责任。地方政府应当科学制定债券发行计划，根据实际需求合理控制节奏和规模，提高债券透明度和资金使用效益，建立信息共享机制。</w:t>
      </w:r>
    </w:p>
    <w:p w:rsidR="004E159D" w:rsidRPr="004E159D" w:rsidRDefault="004E159D" w:rsidP="004E159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4E159D">
        <w:rPr>
          <w:rFonts w:ascii="宋体" w:eastAsia="宋体" w:hAnsi="宋体" w:cs="宋体" w:hint="eastAsia"/>
          <w:b/>
          <w:bCs/>
          <w:color w:val="333333"/>
          <w:kern w:val="0"/>
          <w:sz w:val="24"/>
          <w:szCs w:val="24"/>
        </w:rPr>
        <w:t>五、建立跨部门联合监测和防控机制</w:t>
      </w:r>
    </w:p>
    <w:p w:rsidR="004E159D" w:rsidRPr="004E159D" w:rsidRDefault="004E159D" w:rsidP="004E159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4E159D">
        <w:rPr>
          <w:rFonts w:ascii="宋体" w:eastAsia="宋体" w:hAnsi="宋体" w:cs="宋体" w:hint="eastAsia"/>
          <w:color w:val="333333"/>
          <w:kern w:val="0"/>
          <w:sz w:val="24"/>
          <w:szCs w:val="24"/>
        </w:rPr>
        <w:t>完善统计监测机制，由财政部门会同发展改革、人民银行、银监、证监等部门建设大数据监测平台，统计监测政府中长期支出事项以及融资平台公司举借或发行的银行贷款、资产管理产品、企业债券、公司债券、非金融企业债务融资工具等情况，加强部门信息共享和数据校验，定期通报监测结果。开展跨部门联合监管，建立财政、发展改革、司法行政机关、人民银行、银监、证监等部门以及注册会计师协会、资产评估协会、律师协会等行业自律组织参加的监管机制，对地方政府及其所属部门、融资平台公司、金融机构、中介机构、法律服务机构等的违法违规行为加强跨部门联合惩戒，形成监管合力。对地方政府及其所属部门违法违规举债或担保的，依法依规追究负有直接责任的主管人员和其他直接责任人员的责任；对融资平台公司从事或参与违法违规融资活动的，依法依规追究企业及其相关负责人责任；对金融机构违法违规向地方政府提供融资、要求或接受地方政府提供担保承诺的，依法依规追究金融机构及其相关负责人和授信审批人员责任；对中介机构、法律服务机构违法违规为融资平台公司出具审计报告、资产评估报告、信用评级报告、法律意见书等的，依法依规追究中介机构、法律服务机构及相关从业人员的责任。</w:t>
      </w:r>
    </w:p>
    <w:p w:rsidR="004E159D" w:rsidRPr="004E159D" w:rsidRDefault="004E159D" w:rsidP="004E159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4E159D">
        <w:rPr>
          <w:rFonts w:ascii="宋体" w:eastAsia="宋体" w:hAnsi="宋体" w:cs="宋体" w:hint="eastAsia"/>
          <w:b/>
          <w:bCs/>
          <w:color w:val="333333"/>
          <w:kern w:val="0"/>
          <w:sz w:val="24"/>
          <w:szCs w:val="24"/>
        </w:rPr>
        <w:t>六、大力推进信息公开</w:t>
      </w:r>
    </w:p>
    <w:p w:rsidR="004E159D" w:rsidRPr="004E159D" w:rsidRDefault="004E159D" w:rsidP="004E159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4E159D">
        <w:rPr>
          <w:rFonts w:ascii="宋体" w:eastAsia="宋体" w:hAnsi="宋体" w:cs="宋体" w:hint="eastAsia"/>
          <w:color w:val="333333"/>
          <w:kern w:val="0"/>
          <w:sz w:val="24"/>
          <w:szCs w:val="24"/>
        </w:rPr>
        <w:t>地方各级政府要贯彻落实中共中央办公厅、国务院办公厅《关于全面推进政务公开工作的意见》等规定和要求，全面推进地方政府及其所属部门举债融资行为的决策、执行、管理、结果等公开，严格公开责任追究，回应社会关切，主动接受社会监督。继续完善地方政府债务信息公开制度，县级以上地方各级政府应当重点公开本地区政府债务限额和余额,以及本级政府债务的规模、种类、利率、期限、还本付息、用途等内容。省级财政部门应当参考国债发行做法，提前公布地方政府债务发行计划。推进政府购买服务公开，地方政府及其所属部门应当重点公开政府购买服务决策主体、购买主体、承接主体、服务</w:t>
      </w:r>
      <w:r w:rsidRPr="004E159D">
        <w:rPr>
          <w:rFonts w:ascii="宋体" w:eastAsia="宋体" w:hAnsi="宋体" w:cs="宋体" w:hint="eastAsia"/>
          <w:color w:val="333333"/>
          <w:kern w:val="0"/>
          <w:sz w:val="24"/>
          <w:szCs w:val="24"/>
        </w:rPr>
        <w:lastRenderedPageBreak/>
        <w:t>内容、合同资金规模、分年财政资金安排、合同期限、绩效评价等内容。推进政府和社会资本合作（PPP）项目信息公开，地方政府及其所属部门应当重点公开政府和社会资本合作（PPP）项目决策主体、政府方和社会资本方信息、合作项目内容和财政承受能力论证、社会资本方采购信息、项目回报机制、合同期限、绩效评价等内容。推进融资平台公司名录公开。</w:t>
      </w:r>
    </w:p>
    <w:p w:rsidR="004E159D" w:rsidRPr="004E159D" w:rsidRDefault="004E159D" w:rsidP="004E159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4E159D">
        <w:rPr>
          <w:rFonts w:ascii="宋体" w:eastAsia="宋体" w:hAnsi="宋体" w:cs="宋体" w:hint="eastAsia"/>
          <w:color w:val="333333"/>
          <w:kern w:val="0"/>
          <w:sz w:val="24"/>
          <w:szCs w:val="24"/>
        </w:rPr>
        <w:t>各地区要充分认识规范地方政府举债融资行为的重要性，把防范风险放在更加重要的位置，省级政府性债务管理领导小组要切实担负起地方政府债务管理责任，进一步健全制度和机制，自觉维护总体国家安全，牢牢守住不发生区域性系统性风险的底线。各省（自治区、直辖市、计划单列市）政府性债务管理领导小组办公室应当汇总本地区举债融资行为清理整改工作情况，报省级政府同意后，于2017年8月31日前反馈财政部，抄送发展改革委、人民银行、银监会、证监会。</w:t>
      </w:r>
    </w:p>
    <w:p w:rsidR="004E159D" w:rsidRPr="004E159D" w:rsidRDefault="004E159D" w:rsidP="004E159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4E159D">
        <w:rPr>
          <w:rFonts w:ascii="宋体" w:eastAsia="宋体" w:hAnsi="宋体" w:cs="宋体" w:hint="eastAsia"/>
          <w:color w:val="333333"/>
          <w:kern w:val="0"/>
          <w:sz w:val="24"/>
          <w:szCs w:val="24"/>
        </w:rPr>
        <w:t>特此通知。</w:t>
      </w:r>
    </w:p>
    <w:p w:rsidR="004E159D" w:rsidRPr="004E159D" w:rsidRDefault="004E159D" w:rsidP="004E159D">
      <w:pPr>
        <w:widowControl/>
        <w:shd w:val="clear" w:color="auto" w:fill="FFFFFF"/>
        <w:spacing w:before="225" w:line="450" w:lineRule="atLeast"/>
        <w:ind w:firstLine="480"/>
        <w:jc w:val="right"/>
        <w:rPr>
          <w:rFonts w:ascii="宋体" w:eastAsia="宋体" w:hAnsi="宋体" w:cs="宋体" w:hint="eastAsia"/>
          <w:color w:val="333333"/>
          <w:kern w:val="0"/>
          <w:sz w:val="24"/>
          <w:szCs w:val="24"/>
        </w:rPr>
      </w:pPr>
      <w:r w:rsidRPr="004E159D">
        <w:rPr>
          <w:rFonts w:ascii="宋体" w:eastAsia="宋体" w:hAnsi="宋体" w:cs="宋体" w:hint="eastAsia"/>
          <w:color w:val="333333"/>
          <w:kern w:val="0"/>
          <w:sz w:val="24"/>
          <w:szCs w:val="24"/>
        </w:rPr>
        <w:t>财政部 发展改革委 司法部 人民银行 银监会 证监会</w:t>
      </w:r>
    </w:p>
    <w:p w:rsidR="004E159D" w:rsidRPr="004E159D" w:rsidRDefault="004E159D" w:rsidP="004E159D">
      <w:pPr>
        <w:widowControl/>
        <w:shd w:val="clear" w:color="auto" w:fill="FFFFFF"/>
        <w:spacing w:before="225" w:line="450" w:lineRule="atLeast"/>
        <w:ind w:firstLine="480"/>
        <w:jc w:val="right"/>
        <w:rPr>
          <w:rFonts w:ascii="宋体" w:eastAsia="宋体" w:hAnsi="宋体" w:cs="宋体" w:hint="eastAsia"/>
          <w:color w:val="333333"/>
          <w:kern w:val="0"/>
          <w:sz w:val="24"/>
          <w:szCs w:val="24"/>
        </w:rPr>
      </w:pPr>
      <w:r w:rsidRPr="004E159D">
        <w:rPr>
          <w:rFonts w:ascii="宋体" w:eastAsia="宋体" w:hAnsi="宋体" w:cs="宋体" w:hint="eastAsia"/>
          <w:color w:val="333333"/>
          <w:kern w:val="0"/>
          <w:sz w:val="24"/>
          <w:szCs w:val="24"/>
        </w:rPr>
        <w:t>2017年4月26日</w:t>
      </w:r>
    </w:p>
    <w:p w:rsidR="00DA3564" w:rsidRDefault="00DA3564"/>
    <w:sectPr w:rsidR="00DA3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D5"/>
    <w:rsid w:val="004E159D"/>
    <w:rsid w:val="00C65BD5"/>
    <w:rsid w:val="00DA3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C5B39-FAA6-4F1A-A75D-A17368C0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z-time">
    <w:name w:val="jz-time"/>
    <w:basedOn w:val="a0"/>
    <w:rsid w:val="004E1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728956">
      <w:bodyDiv w:val="1"/>
      <w:marLeft w:val="0"/>
      <w:marRight w:val="0"/>
      <w:marTop w:val="0"/>
      <w:marBottom w:val="0"/>
      <w:divBdr>
        <w:top w:val="none" w:sz="0" w:space="0" w:color="auto"/>
        <w:left w:val="none" w:sz="0" w:space="0" w:color="auto"/>
        <w:bottom w:val="none" w:sz="0" w:space="0" w:color="auto"/>
        <w:right w:val="none" w:sz="0" w:space="0" w:color="auto"/>
      </w:divBdr>
      <w:divsChild>
        <w:div w:id="1957903513">
          <w:marLeft w:val="20"/>
          <w:marRight w:val="0"/>
          <w:marTop w:val="300"/>
          <w:marBottom w:val="1200"/>
          <w:divBdr>
            <w:top w:val="single" w:sz="6" w:space="0" w:color="E0E0E0"/>
            <w:left w:val="single" w:sz="6" w:space="0" w:color="E0E0E0"/>
            <w:bottom w:val="single" w:sz="6" w:space="0" w:color="E0E0E0"/>
            <w:right w:val="single" w:sz="6" w:space="0" w:color="E0E0E0"/>
          </w:divBdr>
          <w:divsChild>
            <w:div w:id="237330665">
              <w:marLeft w:val="0"/>
              <w:marRight w:val="0"/>
              <w:marTop w:val="0"/>
              <w:marBottom w:val="0"/>
              <w:divBdr>
                <w:top w:val="none" w:sz="0" w:space="0" w:color="auto"/>
                <w:left w:val="none" w:sz="0" w:space="0" w:color="auto"/>
                <w:bottom w:val="none" w:sz="0" w:space="0" w:color="auto"/>
                <w:right w:val="none" w:sz="0" w:space="0" w:color="auto"/>
              </w:divBdr>
              <w:divsChild>
                <w:div w:id="918094970">
                  <w:marLeft w:val="0"/>
                  <w:marRight w:val="0"/>
                  <w:marTop w:val="0"/>
                  <w:marBottom w:val="0"/>
                  <w:divBdr>
                    <w:top w:val="none" w:sz="0" w:space="0" w:color="auto"/>
                    <w:left w:val="none" w:sz="0" w:space="0" w:color="auto"/>
                    <w:bottom w:val="single" w:sz="6" w:space="0" w:color="E0E0E0"/>
                    <w:right w:val="none" w:sz="0" w:space="0" w:color="auto"/>
                  </w:divBdr>
                  <w:divsChild>
                    <w:div w:id="183129829">
                      <w:marLeft w:val="0"/>
                      <w:marRight w:val="0"/>
                      <w:marTop w:val="0"/>
                      <w:marBottom w:val="0"/>
                      <w:divBdr>
                        <w:top w:val="none" w:sz="0" w:space="0" w:color="auto"/>
                        <w:left w:val="none" w:sz="0" w:space="0" w:color="auto"/>
                        <w:bottom w:val="none" w:sz="0" w:space="0" w:color="auto"/>
                        <w:right w:val="none" w:sz="0" w:space="0" w:color="auto"/>
                      </w:divBdr>
                      <w:divsChild>
                        <w:div w:id="888222914">
                          <w:marLeft w:val="0"/>
                          <w:marRight w:val="0"/>
                          <w:marTop w:val="300"/>
                          <w:marBottom w:val="300"/>
                          <w:divBdr>
                            <w:top w:val="none" w:sz="0" w:space="0" w:color="auto"/>
                            <w:left w:val="none" w:sz="0" w:space="0" w:color="auto"/>
                            <w:bottom w:val="none" w:sz="0" w:space="0" w:color="auto"/>
                            <w:right w:val="none" w:sz="0" w:space="0" w:color="auto"/>
                          </w:divBdr>
                          <w:divsChild>
                            <w:div w:id="1991591570">
                              <w:marLeft w:val="0"/>
                              <w:marRight w:val="0"/>
                              <w:marTop w:val="0"/>
                              <w:marBottom w:val="0"/>
                              <w:divBdr>
                                <w:top w:val="none" w:sz="0" w:space="0" w:color="auto"/>
                                <w:left w:val="none" w:sz="0" w:space="0" w:color="auto"/>
                                <w:bottom w:val="none" w:sz="0" w:space="0" w:color="auto"/>
                                <w:right w:val="none" w:sz="0" w:space="0" w:color="auto"/>
                              </w:divBdr>
                            </w:div>
                            <w:div w:id="17489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2882">
                  <w:marLeft w:val="0"/>
                  <w:marRight w:val="0"/>
                  <w:marTop w:val="0"/>
                  <w:marBottom w:val="0"/>
                  <w:divBdr>
                    <w:top w:val="none" w:sz="0" w:space="0" w:color="auto"/>
                    <w:left w:val="none" w:sz="0" w:space="0" w:color="auto"/>
                    <w:bottom w:val="none" w:sz="0" w:space="0" w:color="auto"/>
                    <w:right w:val="none" w:sz="0" w:space="0" w:color="auto"/>
                  </w:divBdr>
                  <w:divsChild>
                    <w:div w:id="14581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杨瑞波</dc:creator>
  <cp:keywords/>
  <dc:description/>
  <cp:lastModifiedBy>杨瑞波</cp:lastModifiedBy>
  <cp:revision>2</cp:revision>
  <dcterms:created xsi:type="dcterms:W3CDTF">2017-09-15T06:44:00Z</dcterms:created>
  <dcterms:modified xsi:type="dcterms:W3CDTF">2017-09-15T06:44:00Z</dcterms:modified>
</cp:coreProperties>
</file>