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Default ContentType="image/png" Extension="pn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8"/>
        <w:tblW w:w="8306" w:type="dxa"/>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blCellSpacing w:w="0" w:type="dxa"/>
          <w:jc w:val="center"/>
        </w:trPr>
        <w:tc>
          <w:tcPr>
            <w:tcW w:w="8306" w:type="dxa"/>
            <w:vAlign w:val="center"/>
          </w:tcPr>
          <w:tbl>
            <w:tblPr>
              <w:tblStyle w:val="8"/>
              <w:tblW w:w="8306" w:type="dxa"/>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555" w:hRule="atLeast"/>
                <w:tblCellSpacing w:w="0" w:type="dxa"/>
              </w:trPr>
              <w:tc>
                <w:tcPr>
                  <w:tcW w:w="8306" w:type="dxa"/>
                  <w:vAlign w:val="center"/>
                </w:tcPr>
                <w:p>
                  <w:pPr>
                    <w:widowControl/>
                    <w:spacing w:before="272" w:after="204" w:line="432" w:lineRule="auto"/>
                    <w:jc w:val="center"/>
                    <w:rPr>
                      <w:rFonts w:ascii="Arial" w:hAnsi="Arial" w:eastAsia="宋体" w:cs="Arial"/>
                      <w:b/>
                      <w:bCs/>
                      <w:color w:val="185895"/>
                      <w:kern w:val="0"/>
                      <w:sz w:val="33"/>
                      <w:szCs w:val="33"/>
                    </w:rPr>
                  </w:pPr>
                  <w:r>
                    <w:rPr>
                      <w:rFonts w:ascii="Arial" w:hAnsi="Arial" w:eastAsia="宋体" w:cs="Arial"/>
                      <w:b/>
                      <w:bCs/>
                      <w:color w:val="185895"/>
                      <w:kern w:val="0"/>
                      <w:sz w:val="33"/>
                      <w:szCs w:val="33"/>
                    </w:rPr>
                    <w:t xml:space="preserve">财政部关于印发《政府和社会资本合作项目财政承受能力论证指引》的通知 </w:t>
                  </w:r>
                </w:p>
              </w:tc>
            </w:tr>
          </w:tbl>
          <w:p>
            <w:pPr>
              <w:widowControl/>
              <w:spacing w:line="432" w:lineRule="auto"/>
              <w:jc w:val="left"/>
              <w:rPr>
                <w:rFonts w:ascii="Arial" w:hAnsi="Arial" w:eastAsia="宋体" w:cs="Arial"/>
                <w:vanish/>
                <w:kern w:val="0"/>
                <w:sz w:val="16"/>
                <w:szCs w:val="16"/>
              </w:rPr>
            </w:pPr>
          </w:p>
          <w:tbl>
            <w:tblPr>
              <w:tblStyle w:val="8"/>
              <w:tblW w:w="8306" w:type="dxa"/>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15" w:hRule="atLeast"/>
                <w:tblCellSpacing w:w="0" w:type="dxa"/>
              </w:trPr>
              <w:tc>
                <w:tcPr>
                  <w:tcW w:w="8306" w:type="dxa"/>
                  <w:vAlign w:val="center"/>
                </w:tcPr>
                <w:p>
                  <w:pPr>
                    <w:widowControl/>
                    <w:spacing w:line="15" w:lineRule="atLeast"/>
                    <w:jc w:val="left"/>
                    <w:rPr>
                      <w:rFonts w:ascii="Arial" w:hAnsi="Arial" w:eastAsia="宋体" w:cs="Arial"/>
                      <w:kern w:val="0"/>
                      <w:sz w:val="16"/>
                      <w:szCs w:val="16"/>
                    </w:rPr>
                  </w:pPr>
                  <w:r>
                    <w:rPr>
                      <w:rFonts w:ascii="Arial" w:hAnsi="Arial" w:eastAsia="宋体" w:cs="Arial"/>
                      <w:kern w:val="0"/>
                      <w:sz w:val="16"/>
                      <w:szCs w:val="16"/>
                      <w:lang w:val="en-US" w:eastAsia="zh-CN" w:bidi="ar-SA"/>
                    </w:rPr>
                    <w:pict>
                      <v:rect id="Rectangle 1" o:spid="_x0000_s1026" style="height:0.7pt;width:475.45pt;rotation:0f;" o:ole="f" fillcolor="#99C2E2" filled="t" o:preferrelative="t" stroked="f" coordsize="21600,21600" o:hr="t" o:hrstd="t" o:hrnoshade="t" o:hrpct="0" o:hralign="center">
                        <v:imagedata gain="65536f" blacklevel="0f" gamma="0"/>
                        <o:lock v:ext="edit" position="f" selection="f" grouping="f" rotation="f" cropping="f" text="f" aspectratio="f"/>
                        <w10:wrap type="none"/>
                        <w10:anchorlock/>
                      </v:rect>
                    </w:pict>
                  </w:r>
                </w:p>
              </w:tc>
            </w:tr>
          </w:tbl>
          <w:p>
            <w:pPr>
              <w:widowControl/>
              <w:spacing w:line="432" w:lineRule="auto"/>
              <w:jc w:val="left"/>
              <w:rPr>
                <w:rFonts w:ascii="Arial" w:hAnsi="Arial" w:eastAsia="宋体" w:cs="Arial"/>
                <w:vanish/>
                <w:kern w:val="0"/>
                <w:sz w:val="16"/>
                <w:szCs w:val="16"/>
              </w:rPr>
            </w:pPr>
          </w:p>
          <w:tbl>
            <w:tblPr>
              <w:tblStyle w:val="8"/>
              <w:tblW w:w="8306" w:type="dxa"/>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blCellSpacing w:w="0" w:type="dxa"/>
              </w:trPr>
              <w:tc>
                <w:tcPr>
                  <w:tcW w:w="8306" w:type="dxa"/>
                  <w:vAlign w:val="center"/>
                </w:tcPr>
                <w:p>
                  <w:pPr>
                    <w:widowControl/>
                    <w:spacing w:line="432" w:lineRule="auto"/>
                    <w:jc w:val="left"/>
                    <w:rPr>
                      <w:rFonts w:ascii="Arial" w:hAnsi="Arial" w:eastAsia="宋体" w:cs="Arial"/>
                      <w:kern w:val="0"/>
                      <w:sz w:val="22"/>
                    </w:rPr>
                  </w:pPr>
                </w:p>
              </w:tc>
            </w:tr>
          </w:tbl>
          <w:p>
            <w:pPr>
              <w:widowControl/>
              <w:spacing w:line="432" w:lineRule="auto"/>
              <w:jc w:val="left"/>
              <w:rPr>
                <w:rFonts w:ascii="Arial" w:hAnsi="Arial" w:eastAsia="宋体" w:cs="Arial"/>
                <w:kern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blCellSpacing w:w="0" w:type="dxa"/>
          <w:jc w:val="center"/>
        </w:trPr>
        <w:tc>
          <w:tcPr>
            <w:tcW w:w="8306" w:type="dxa"/>
            <w:vAlign w:val="center"/>
          </w:tcPr>
          <w:tbl>
            <w:tblPr>
              <w:tblStyle w:val="8"/>
              <w:tblW w:w="8306" w:type="dxa"/>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left w:w="0" w:type="dxa"/>
                <w:right w:w="0"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left w:w="0" w:type="dxa"/>
                  <w:right w:w="0" w:type="dxa"/>
                </w:tblCellMar>
              </w:tblPrEx>
              <w:trPr>
                <w:trHeight w:val="1140" w:hRule="atLeast"/>
                <w:tblCellSpacing w:w="0" w:type="dxa"/>
              </w:trPr>
              <w:tc>
                <w:tcPr>
                  <w:tcW w:w="8306" w:type="dxa"/>
                  <w:shd w:val="clear" w:color="auto" w:fill="FFFFFF"/>
                  <w:vAlign w:val="top"/>
                </w:tcPr>
                <w:tbl>
                  <w:tblPr>
                    <w:tblStyle w:val="8"/>
                    <w:tblW w:w="7472" w:type="dxa"/>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
                  <w:tblGrid>
                    <w:gridCol w:w="74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blCellSpacing w:w="0" w:type="dxa"/>
                      <w:jc w:val="center"/>
                    </w:trPr>
                    <w:tc>
                      <w:tcPr>
                        <w:tcW w:w="7472" w:type="dxa"/>
                        <w:vAlign w:val="center"/>
                      </w:tcPr>
                      <w:p>
                        <w:pPr>
                          <w:widowControl/>
                          <w:spacing w:before="100" w:beforeAutospacing="1" w:after="100" w:afterAutospacing="1" w:line="432" w:lineRule="auto"/>
                          <w:jc w:val="center"/>
                          <w:rPr>
                            <w:rFonts w:ascii="Arial" w:hAnsi="Arial" w:eastAsia="宋体" w:cs="Arial"/>
                            <w:kern w:val="0"/>
                            <w:sz w:val="22"/>
                          </w:rPr>
                        </w:pPr>
                        <w:r>
                          <w:rPr>
                            <w:rFonts w:ascii="Arial" w:hAnsi="Arial" w:eastAsia="宋体" w:cs="Arial"/>
                            <w:kern w:val="0"/>
                            <w:sz w:val="22"/>
                          </w:rPr>
                          <w:t>财金〔2015〕21号 </w:t>
                        </w:r>
                      </w:p>
                      <w:p>
                        <w:pPr>
                          <w:widowControl/>
                          <w:spacing w:before="100" w:beforeAutospacing="1" w:after="100" w:afterAutospacing="1" w:line="432" w:lineRule="auto"/>
                          <w:jc w:val="left"/>
                          <w:rPr>
                            <w:rFonts w:ascii="Arial" w:hAnsi="Arial" w:eastAsia="宋体" w:cs="Arial"/>
                            <w:kern w:val="0"/>
                            <w:sz w:val="22"/>
                          </w:rPr>
                        </w:pPr>
                        <w:r>
                          <w:rPr>
                            <w:rFonts w:ascii="Arial" w:hAnsi="Arial" w:eastAsia="宋体" w:cs="Arial"/>
                            <w:kern w:val="0"/>
                            <w:sz w:val="22"/>
                          </w:rPr>
                          <w:t>　　  </w:t>
                        </w:r>
                      </w:p>
                      <w:p>
                        <w:pPr>
                          <w:widowControl/>
                          <w:spacing w:before="100" w:beforeAutospacing="1" w:after="100" w:afterAutospacing="1" w:line="432" w:lineRule="auto"/>
                          <w:jc w:val="left"/>
                          <w:rPr>
                            <w:rFonts w:hAnsi="Arial" w:cs="Arial"/>
                            <w:kern w:val="0"/>
                            <w:sz w:val="30"/>
                            <w:szCs w:val="30"/>
                          </w:rPr>
                        </w:pPr>
                        <w:r>
                          <w:rPr>
                            <w:rFonts w:ascii="Arial" w:hAnsi="Arial" w:eastAsia="宋体" w:cs="Arial"/>
                            <w:kern w:val="0"/>
                            <w:sz w:val="22"/>
                          </w:rPr>
                          <w:t>　　</w:t>
                        </w:r>
                        <w:r>
                          <w:rPr>
                            <w:rFonts w:hint="eastAsia" w:hAnsi="Arial" w:cs="Arial"/>
                            <w:kern w:val="0"/>
                            <w:sz w:val="30"/>
                            <w:szCs w:val="30"/>
                          </w:rPr>
                          <w:t>根据《国务院关于创新重点领域投融资机制 鼓励社会投资的指导意见》（国发〔2014〕60号）、《财政部关于                                                                                                           推广运用政府和社会资本合作模式有关问题的通知》（财金〔2014〕76号）和《财政部关于印发政府和社会资本合作模式操作指南（试行）的通知》（财金〔2014〕113号），为有序推进政府和社会资本合作（Public-Private Partnership，以下简称PPP）项目实施，保障政府切实履行合同义务，有效防范和控制财政风险，现印发《政府和社会资本合作项目财政承受能力论证指引》。请遵照执行。</w:t>
                        </w:r>
                        <w:r>
                          <w:rPr>
                            <w:rFonts w:hint="eastAsia" w:ascii="Arial" w:hAnsi="Arial" w:cs="Arial"/>
                            <w:kern w:val="0"/>
                            <w:sz w:val="30"/>
                            <w:szCs w:val="30"/>
                          </w:rPr>
                          <w:t> </w:t>
                        </w:r>
                      </w:p>
                      <w:p>
                        <w:pPr>
                          <w:widowControl/>
                          <w:spacing w:before="100" w:beforeAutospacing="1" w:after="100" w:afterAutospacing="1" w:line="432" w:lineRule="auto"/>
                          <w:jc w:val="left"/>
                          <w:rPr>
                            <w:rFonts w:hAnsi="Arial" w:cs="Arial"/>
                            <w:kern w:val="0"/>
                            <w:sz w:val="30"/>
                            <w:szCs w:val="30"/>
                          </w:rPr>
                        </w:pPr>
                        <w:r>
                          <w:rPr>
                            <w:rFonts w:hint="eastAsia" w:hAnsi="Arial" w:cs="Arial"/>
                            <w:kern w:val="0"/>
                            <w:sz w:val="30"/>
                            <w:szCs w:val="30"/>
                          </w:rPr>
                          <w:t>　　</w:t>
                        </w:r>
                        <w:r>
                          <w:rPr>
                            <w:rFonts w:hint="eastAsia" w:ascii="Arial" w:hAnsi="Arial" w:cs="Arial"/>
                            <w:kern w:val="0"/>
                            <w:sz w:val="30"/>
                            <w:szCs w:val="30"/>
                          </w:rPr>
                          <w:t>  </w:t>
                        </w:r>
                      </w:p>
                      <w:p>
                        <w:pPr>
                          <w:widowControl/>
                          <w:spacing w:before="100" w:beforeAutospacing="1" w:after="100" w:afterAutospacing="1" w:line="432" w:lineRule="auto"/>
                          <w:jc w:val="left"/>
                          <w:rPr>
                            <w:rFonts w:hAnsi="Arial" w:cs="Arial"/>
                            <w:kern w:val="0"/>
                            <w:sz w:val="30"/>
                            <w:szCs w:val="30"/>
                          </w:rPr>
                        </w:pPr>
                        <w:r>
                          <w:rPr>
                            <w:rFonts w:hint="eastAsia" w:hAnsi="Arial" w:cs="Arial"/>
                            <w:kern w:val="0"/>
                            <w:sz w:val="30"/>
                            <w:szCs w:val="30"/>
                          </w:rPr>
                          <w:t>　　</w:t>
                        </w:r>
                        <w:r>
                          <w:rPr>
                            <w:rFonts w:hint="eastAsia" w:ascii="Arial" w:hAnsi="Arial" w:cs="Arial"/>
                            <w:kern w:val="0"/>
                            <w:sz w:val="30"/>
                            <w:szCs w:val="30"/>
                          </w:rPr>
                          <w:t>  </w:t>
                        </w:r>
                      </w:p>
                      <w:p>
                        <w:pPr>
                          <w:widowControl/>
                          <w:spacing w:before="100" w:beforeAutospacing="1" w:after="100" w:afterAutospacing="1" w:line="432" w:lineRule="auto"/>
                          <w:jc w:val="right"/>
                          <w:rPr>
                            <w:rFonts w:hAnsi="Arial" w:cs="Arial"/>
                            <w:kern w:val="0"/>
                            <w:sz w:val="30"/>
                            <w:szCs w:val="30"/>
                          </w:rPr>
                        </w:pPr>
                        <w:r>
                          <w:rPr>
                            <w:rFonts w:hint="eastAsia" w:hAnsi="Arial" w:cs="Arial"/>
                            <w:kern w:val="0"/>
                            <w:sz w:val="30"/>
                            <w:szCs w:val="30"/>
                          </w:rPr>
                          <w:t>　　财政部</w:t>
                        </w:r>
                        <w:r>
                          <w:rPr>
                            <w:rFonts w:hint="eastAsia" w:ascii="Arial" w:hAnsi="Arial" w:cs="Arial"/>
                            <w:kern w:val="0"/>
                            <w:sz w:val="30"/>
                            <w:szCs w:val="30"/>
                          </w:rPr>
                          <w:t>   </w:t>
                        </w:r>
                        <w:r>
                          <w:rPr>
                            <w:rFonts w:hint="eastAsia" w:hAnsi="Arial" w:cs="Arial"/>
                            <w:kern w:val="0"/>
                            <w:sz w:val="30"/>
                            <w:szCs w:val="30"/>
                          </w:rPr>
                          <w:t xml:space="preserve"> </w:t>
                        </w:r>
                        <w:r>
                          <w:rPr>
                            <w:rFonts w:hint="eastAsia" w:ascii="Arial" w:hAnsi="Arial" w:cs="Arial"/>
                            <w:kern w:val="0"/>
                            <w:sz w:val="30"/>
                            <w:szCs w:val="30"/>
                          </w:rPr>
                          <w:t>  </w:t>
                        </w:r>
                      </w:p>
                      <w:p>
                        <w:pPr>
                          <w:widowControl/>
                          <w:spacing w:before="100" w:beforeAutospacing="1" w:after="100" w:afterAutospacing="1" w:line="432" w:lineRule="auto"/>
                          <w:jc w:val="right"/>
                          <w:rPr>
                            <w:rFonts w:hAnsi="Arial" w:cs="Arial"/>
                            <w:kern w:val="0"/>
                            <w:sz w:val="30"/>
                            <w:szCs w:val="30"/>
                          </w:rPr>
                        </w:pPr>
                        <w:r>
                          <w:rPr>
                            <w:rFonts w:hint="eastAsia" w:hAnsi="Arial" w:cs="Arial"/>
                            <w:kern w:val="0"/>
                            <w:sz w:val="30"/>
                            <w:szCs w:val="30"/>
                          </w:rPr>
                          <w:t>　　2015年4月7日</w:t>
                        </w:r>
                      </w:p>
                      <w:p>
                        <w:pPr>
                          <w:widowControl/>
                          <w:spacing w:before="100" w:beforeAutospacing="1" w:after="100" w:afterAutospacing="1" w:line="432" w:lineRule="auto"/>
                          <w:jc w:val="right"/>
                          <w:rPr>
                            <w:rFonts w:hAnsi="Arial" w:cs="Arial"/>
                            <w:kern w:val="0"/>
                            <w:sz w:val="30"/>
                            <w:szCs w:val="30"/>
                          </w:rPr>
                        </w:pPr>
                        <w:r>
                          <w:rPr>
                            <w:rFonts w:hint="eastAsia" w:hAnsi="Arial" w:cs="Arial"/>
                            <w:kern w:val="0"/>
                            <w:sz w:val="30"/>
                            <w:szCs w:val="30"/>
                          </w:rPr>
                          <w:t>　　</w:t>
                        </w:r>
                        <w:r>
                          <w:rPr>
                            <w:rFonts w:hint="eastAsia" w:hAnsi="Arial" w:cs="Arial"/>
                            <w:b/>
                            <w:bCs/>
                            <w:kern w:val="0"/>
                            <w:sz w:val="30"/>
                            <w:szCs w:val="30"/>
                          </w:rPr>
                          <w:t>政府和社会资本合作项目财政承受能力论证指引</w:t>
                        </w:r>
                        <w:r>
                          <w:rPr>
                            <w:rFonts w:hint="eastAsia" w:ascii="Arial" w:hAnsi="Arial" w:cs="Arial"/>
                            <w:b/>
                            <w:bCs/>
                            <w:kern w:val="0"/>
                            <w:sz w:val="30"/>
                            <w:szCs w:val="30"/>
                          </w:rPr>
                          <w:t> </w:t>
                        </w:r>
                      </w:p>
                      <w:p>
                        <w:pPr>
                          <w:widowControl/>
                          <w:spacing w:before="100" w:beforeAutospacing="1" w:after="100" w:afterAutospacing="1" w:line="432" w:lineRule="auto"/>
                          <w:jc w:val="center"/>
                          <w:rPr>
                            <w:rFonts w:hAnsi="Arial" w:cs="Arial"/>
                            <w:kern w:val="0"/>
                            <w:sz w:val="30"/>
                            <w:szCs w:val="30"/>
                          </w:rPr>
                        </w:pPr>
                        <w:r>
                          <w:rPr>
                            <w:rFonts w:hint="eastAsia" w:ascii="Arial" w:hAnsi="Arial" w:cs="Arial"/>
                            <w:kern w:val="0"/>
                            <w:sz w:val="30"/>
                            <w:szCs w:val="30"/>
                          </w:rPr>
                          <w:t> </w:t>
                        </w:r>
                      </w:p>
                      <w:p>
                        <w:pPr>
                          <w:widowControl/>
                          <w:spacing w:before="100" w:beforeAutospacing="1" w:after="100" w:afterAutospacing="1" w:line="432" w:lineRule="auto"/>
                          <w:jc w:val="center"/>
                          <w:rPr>
                            <w:rFonts w:hAnsi="Arial" w:cs="Arial"/>
                            <w:kern w:val="0"/>
                            <w:sz w:val="30"/>
                            <w:szCs w:val="30"/>
                          </w:rPr>
                        </w:pPr>
                        <w:r>
                          <w:rPr>
                            <w:rFonts w:hint="eastAsia" w:hAnsi="Arial" w:cs="Arial"/>
                            <w:b/>
                            <w:bCs/>
                            <w:kern w:val="0"/>
                            <w:sz w:val="30"/>
                            <w:szCs w:val="30"/>
                          </w:rPr>
                          <w:t>第一章</w:t>
                        </w:r>
                        <w:r>
                          <w:rPr>
                            <w:rFonts w:hint="eastAsia" w:ascii="Arial" w:hAnsi="Arial" w:cs="Arial"/>
                            <w:b/>
                            <w:bCs/>
                            <w:kern w:val="0"/>
                            <w:sz w:val="30"/>
                            <w:szCs w:val="30"/>
                          </w:rPr>
                          <w:t> </w:t>
                        </w:r>
                        <w:r>
                          <w:rPr>
                            <w:rFonts w:hint="eastAsia" w:hAnsi="Arial" w:cs="Arial"/>
                            <w:b/>
                            <w:bCs/>
                            <w:kern w:val="0"/>
                            <w:sz w:val="30"/>
                            <w:szCs w:val="30"/>
                          </w:rPr>
                          <w:t xml:space="preserve"> </w:t>
                        </w:r>
                        <w:r>
                          <w:rPr>
                            <w:rFonts w:hint="eastAsia" w:ascii="Arial" w:hAnsi="Arial" w:cs="Arial"/>
                            <w:b/>
                            <w:bCs/>
                            <w:kern w:val="0"/>
                            <w:sz w:val="30"/>
                            <w:szCs w:val="30"/>
                          </w:rPr>
                          <w:t> </w:t>
                        </w:r>
                        <w:r>
                          <w:rPr>
                            <w:rFonts w:hint="eastAsia" w:hAnsi="Arial" w:cs="Arial"/>
                            <w:b/>
                            <w:bCs/>
                            <w:kern w:val="0"/>
                            <w:sz w:val="30"/>
                            <w:szCs w:val="30"/>
                          </w:rPr>
                          <w:t>总则</w:t>
                        </w:r>
                        <w:r>
                          <w:rPr>
                            <w:rFonts w:hint="eastAsia" w:ascii="Arial" w:hAnsi="Arial" w:cs="Arial"/>
                            <w:kern w:val="0"/>
                            <w:sz w:val="30"/>
                            <w:szCs w:val="30"/>
                          </w:rPr>
                          <w:t>  </w:t>
                        </w:r>
                      </w:p>
                      <w:p>
                        <w:pPr>
                          <w:widowControl/>
                          <w:spacing w:before="100" w:beforeAutospacing="1" w:after="100" w:afterAutospacing="1" w:line="432" w:lineRule="auto"/>
                          <w:jc w:val="left"/>
                          <w:rPr>
                            <w:rFonts w:hAnsi="Arial" w:cs="Arial"/>
                            <w:kern w:val="0"/>
                            <w:sz w:val="30"/>
                            <w:szCs w:val="30"/>
                          </w:rPr>
                        </w:pPr>
                        <w:r>
                          <w:rPr>
                            <w:rFonts w:hint="eastAsia" w:hAnsi="Arial" w:cs="Arial"/>
                            <w:kern w:val="0"/>
                            <w:sz w:val="30"/>
                            <w:szCs w:val="30"/>
                          </w:rPr>
                          <w:t>　　第一条 根据《中华人民共和国预算法》、《国务院关于加强地方政府性债务管理的意见》（国发〔2014〕43号）、《国务院关于深化预算管理制度改革的决定》（国发〔2014〕45号）、《国务院关于创新重点领域投融资机制 鼓励社会投资的指导意见》（国发〔2014〕60号）、《财政部关于推广运用政府和社会资本合作模式有关问题的通知》（财金〔2014〕76号）和《财政部关于印发政府和社会资本合作模式操作指南（试行）的通知》（财金〔2014〕113号）等有关规定，制定本指引。</w:t>
                        </w:r>
                        <w:r>
                          <w:rPr>
                            <w:rFonts w:hint="eastAsia" w:ascii="Arial" w:hAnsi="Arial" w:cs="Arial"/>
                            <w:kern w:val="0"/>
                            <w:sz w:val="30"/>
                            <w:szCs w:val="30"/>
                          </w:rPr>
                          <w:t> </w:t>
                        </w:r>
                      </w:p>
                      <w:p>
                        <w:pPr>
                          <w:widowControl/>
                          <w:spacing w:before="100" w:beforeAutospacing="1" w:after="100" w:afterAutospacing="1" w:line="432" w:lineRule="auto"/>
                          <w:jc w:val="left"/>
                          <w:rPr>
                            <w:rFonts w:hAnsi="Arial" w:cs="Arial"/>
                            <w:kern w:val="0"/>
                            <w:sz w:val="30"/>
                            <w:szCs w:val="30"/>
                          </w:rPr>
                        </w:pPr>
                        <w:r>
                          <w:rPr>
                            <w:rFonts w:hint="eastAsia" w:hAnsi="Arial" w:cs="Arial"/>
                            <w:kern w:val="0"/>
                            <w:sz w:val="30"/>
                            <w:szCs w:val="30"/>
                          </w:rPr>
                          <w:t>　　第二条 本指引所称财政承受能力论证是指识别、测算政府和社会资本合作（Public-Private Partnership，以下简称PPP）项目的各项财政支出责任，科学评估项目实施对当前及今后年度财政支出的影响，为PPP项目财政管理提供依据。</w:t>
                        </w:r>
                        <w:r>
                          <w:rPr>
                            <w:rFonts w:hint="eastAsia" w:ascii="Arial" w:hAnsi="Arial" w:cs="Arial"/>
                            <w:kern w:val="0"/>
                            <w:sz w:val="30"/>
                            <w:szCs w:val="30"/>
                          </w:rPr>
                          <w:t> </w:t>
                        </w:r>
                      </w:p>
                      <w:p>
                        <w:pPr>
                          <w:widowControl/>
                          <w:spacing w:before="100" w:beforeAutospacing="1" w:after="100" w:afterAutospacing="1" w:line="432" w:lineRule="auto"/>
                          <w:jc w:val="left"/>
                          <w:rPr>
                            <w:rFonts w:hAnsi="Arial" w:cs="Arial"/>
                            <w:kern w:val="0"/>
                            <w:sz w:val="30"/>
                            <w:szCs w:val="30"/>
                          </w:rPr>
                        </w:pPr>
                        <w:r>
                          <w:rPr>
                            <w:rFonts w:hint="eastAsia" w:hAnsi="Arial" w:cs="Arial"/>
                            <w:kern w:val="0"/>
                            <w:sz w:val="30"/>
                            <w:szCs w:val="30"/>
                          </w:rPr>
                          <w:t>　　第三条 开展PPP项目财政承受能力论证，是政府履行合同义务的重要保障，有利于规范PPP项目财政支出管理，有序推进项目实施，有效防范和控制财政风险，实现PPP可持续发展。</w:t>
                        </w:r>
                        <w:r>
                          <w:rPr>
                            <w:rFonts w:hint="eastAsia" w:ascii="Arial" w:hAnsi="Arial" w:cs="Arial"/>
                            <w:kern w:val="0"/>
                            <w:sz w:val="30"/>
                            <w:szCs w:val="30"/>
                          </w:rPr>
                          <w:t> </w:t>
                        </w:r>
                      </w:p>
                      <w:p>
                        <w:pPr>
                          <w:widowControl/>
                          <w:spacing w:before="100" w:beforeAutospacing="1" w:after="100" w:afterAutospacing="1" w:line="432" w:lineRule="auto"/>
                          <w:jc w:val="left"/>
                          <w:rPr>
                            <w:rFonts w:hAnsi="Arial" w:cs="Arial"/>
                            <w:kern w:val="0"/>
                            <w:sz w:val="30"/>
                            <w:szCs w:val="30"/>
                          </w:rPr>
                        </w:pPr>
                        <w:r>
                          <w:rPr>
                            <w:rFonts w:hint="eastAsia" w:hAnsi="Arial" w:cs="Arial"/>
                            <w:kern w:val="0"/>
                            <w:sz w:val="30"/>
                            <w:szCs w:val="30"/>
                          </w:rPr>
                          <w:t>　　第四条 财政承受能力论证采用定量和定性分析方法，坚持合理预测、公开透明、从严把关，统筹处理好当期与长远关系，严格控制PPP项目财政支出规模。</w:t>
                        </w:r>
                        <w:r>
                          <w:rPr>
                            <w:rFonts w:hint="eastAsia" w:ascii="Arial" w:hAnsi="Arial" w:cs="Arial"/>
                            <w:kern w:val="0"/>
                            <w:sz w:val="30"/>
                            <w:szCs w:val="30"/>
                          </w:rPr>
                          <w:t> </w:t>
                        </w:r>
                      </w:p>
                      <w:p>
                        <w:pPr>
                          <w:widowControl/>
                          <w:spacing w:before="100" w:beforeAutospacing="1" w:after="100" w:afterAutospacing="1" w:line="432" w:lineRule="auto"/>
                          <w:jc w:val="left"/>
                          <w:rPr>
                            <w:rFonts w:hAnsi="Arial" w:cs="Arial"/>
                            <w:kern w:val="0"/>
                            <w:sz w:val="30"/>
                            <w:szCs w:val="30"/>
                          </w:rPr>
                        </w:pPr>
                        <w:r>
                          <w:rPr>
                            <w:rFonts w:hint="eastAsia" w:hAnsi="Arial" w:cs="Arial"/>
                            <w:kern w:val="0"/>
                            <w:sz w:val="30"/>
                            <w:szCs w:val="30"/>
                          </w:rPr>
                          <w:t>　　第五条 财政承受能力论证的结论分为“通过论证”和“未通过论证”。“通过论证”的项目，各级财政部门应当在编制年度预算和中期财政规划时，将项目财政支出责任纳入预算统筹安排。“未通过论证”的项目，则不宜采用PPP模式。</w:t>
                        </w:r>
                        <w:r>
                          <w:rPr>
                            <w:rFonts w:hint="eastAsia" w:ascii="Arial" w:hAnsi="Arial" w:cs="Arial"/>
                            <w:kern w:val="0"/>
                            <w:sz w:val="30"/>
                            <w:szCs w:val="30"/>
                          </w:rPr>
                          <w:t> </w:t>
                        </w:r>
                      </w:p>
                      <w:p>
                        <w:pPr>
                          <w:widowControl/>
                          <w:spacing w:before="100" w:beforeAutospacing="1" w:after="100" w:afterAutospacing="1" w:line="432" w:lineRule="auto"/>
                          <w:jc w:val="left"/>
                          <w:rPr>
                            <w:rFonts w:hAnsi="Arial" w:cs="Arial"/>
                            <w:kern w:val="0"/>
                            <w:sz w:val="30"/>
                            <w:szCs w:val="30"/>
                          </w:rPr>
                        </w:pPr>
                        <w:r>
                          <w:rPr>
                            <w:rFonts w:hint="eastAsia" w:hAnsi="Arial" w:cs="Arial"/>
                            <w:kern w:val="0"/>
                            <w:sz w:val="30"/>
                            <w:szCs w:val="30"/>
                          </w:rPr>
                          <w:t xml:space="preserve">　　第六条 </w:t>
                        </w:r>
                        <w:r>
                          <w:rPr>
                            <w:rFonts w:hint="eastAsia" w:hAnsi="Arial" w:cs="Arial"/>
                            <w:color w:val="FF0000"/>
                            <w:kern w:val="0"/>
                            <w:sz w:val="30"/>
                            <w:szCs w:val="30"/>
                            <w:u w:val="thick"/>
                          </w:rPr>
                          <w:t>各级财政部门</w:t>
                        </w:r>
                        <w:r>
                          <w:rPr>
                            <w:rFonts w:hint="eastAsia" w:hAnsi="Arial" w:cs="Arial"/>
                            <w:color w:val="FF0000"/>
                            <w:kern w:val="0"/>
                            <w:sz w:val="30"/>
                            <w:szCs w:val="30"/>
                          </w:rPr>
                          <w:t>（或PPP中心）负责组织开展行政区域内PPP项目财政承受能力论证工作。</w:t>
                        </w:r>
                        <w:r>
                          <w:rPr>
                            <w:rFonts w:hint="eastAsia" w:hAnsi="Arial" w:cs="Arial"/>
                            <w:kern w:val="0"/>
                            <w:sz w:val="30"/>
                            <w:szCs w:val="30"/>
                          </w:rPr>
                          <w:t>省级财政部门负责汇总统计行政区域内的全部PPP项目财政支出责任，对财政预算编制、执行情况实施监</w:t>
                        </w:r>
                        <w:bookmarkStart w:id="0" w:name="_GoBack"/>
                        <w:bookmarkEnd w:id="0"/>
                        <w:r>
                          <w:rPr>
                            <w:rFonts w:hint="eastAsia" w:hAnsi="Arial" w:cs="Arial"/>
                            <w:kern w:val="0"/>
                            <w:sz w:val="30"/>
                            <w:szCs w:val="30"/>
                          </w:rPr>
                          <w:t>督管理。</w:t>
                        </w:r>
                        <w:r>
                          <w:rPr>
                            <w:rFonts w:hint="eastAsia" w:ascii="Arial" w:hAnsi="Arial" w:cs="Arial"/>
                            <w:kern w:val="0"/>
                            <w:sz w:val="30"/>
                            <w:szCs w:val="30"/>
                          </w:rPr>
                          <w:t> </w:t>
                        </w:r>
                      </w:p>
                      <w:p>
                        <w:pPr>
                          <w:widowControl/>
                          <w:spacing w:before="100" w:beforeAutospacing="1" w:after="100" w:afterAutospacing="1" w:line="432" w:lineRule="auto"/>
                          <w:jc w:val="both"/>
                          <w:rPr>
                            <w:rFonts w:hAnsi="Arial" w:cs="Arial"/>
                            <w:kern w:val="0"/>
                            <w:sz w:val="30"/>
                            <w:szCs w:val="30"/>
                          </w:rPr>
                        </w:pPr>
                        <w:r>
                          <w:rPr>
                            <w:rFonts w:hint="eastAsia" w:hAnsi="Arial" w:cs="Arial"/>
                            <w:kern w:val="0"/>
                            <w:sz w:val="30"/>
                            <w:szCs w:val="30"/>
                          </w:rPr>
                          <w:t>　　第七条 财政部门（或PPP中心）应当会同行业主管部门，共同开展PPP项目财政承受能力论证工作。必要时可通过政府采购方式聘请专业中介机构协助。</w:t>
                        </w:r>
                        <w:r>
                          <w:rPr>
                            <w:rFonts w:hint="eastAsia" w:ascii="Arial" w:hAnsi="Arial" w:cs="Arial"/>
                            <w:kern w:val="0"/>
                            <w:sz w:val="30"/>
                            <w:szCs w:val="30"/>
                          </w:rPr>
                          <w:t> </w:t>
                        </w:r>
                      </w:p>
                      <w:p>
                        <w:pPr>
                          <w:widowControl/>
                          <w:spacing w:before="100" w:beforeAutospacing="1" w:after="100" w:afterAutospacing="1" w:line="432" w:lineRule="auto"/>
                          <w:jc w:val="both"/>
                          <w:rPr>
                            <w:rFonts w:hAnsi="Arial" w:cs="Arial"/>
                            <w:kern w:val="0"/>
                            <w:sz w:val="30"/>
                            <w:szCs w:val="30"/>
                          </w:rPr>
                        </w:pPr>
                        <w:r>
                          <w:rPr>
                            <w:rFonts w:hint="eastAsia" w:hAnsi="Arial" w:cs="Arial"/>
                            <w:kern w:val="0"/>
                            <w:sz w:val="30"/>
                            <w:szCs w:val="30"/>
                          </w:rPr>
                          <w:t>　　第八条 各级财政部门（或PPP中心）要以财政承受能力论证结论为依据，会同有关部门统筹做好项目规划、设计、采购、建设、运营、维护等全生命周期管理工作。</w:t>
                        </w:r>
                        <w:r>
                          <w:rPr>
                            <w:rFonts w:hint="eastAsia" w:ascii="Arial" w:hAnsi="Arial" w:cs="Arial"/>
                            <w:kern w:val="0"/>
                            <w:sz w:val="30"/>
                            <w:szCs w:val="30"/>
                          </w:rPr>
                          <w:t> </w:t>
                        </w:r>
                      </w:p>
                      <w:p>
                        <w:pPr>
                          <w:widowControl/>
                          <w:spacing w:before="100" w:beforeAutospacing="1" w:after="100" w:afterAutospacing="1" w:line="432" w:lineRule="auto"/>
                          <w:jc w:val="center"/>
                          <w:rPr>
                            <w:rFonts w:hAnsi="Arial" w:cs="Arial"/>
                            <w:kern w:val="0"/>
                            <w:sz w:val="30"/>
                            <w:szCs w:val="30"/>
                          </w:rPr>
                        </w:pPr>
                        <w:r>
                          <w:rPr>
                            <w:rFonts w:hint="eastAsia" w:ascii="Arial" w:hAnsi="Arial" w:cs="Arial"/>
                            <w:kern w:val="0"/>
                            <w:sz w:val="30"/>
                            <w:szCs w:val="30"/>
                          </w:rPr>
                          <w:t> </w:t>
                        </w:r>
                      </w:p>
                      <w:p>
                        <w:pPr>
                          <w:widowControl/>
                          <w:spacing w:before="100" w:beforeAutospacing="1" w:after="100" w:afterAutospacing="1" w:line="432" w:lineRule="auto"/>
                          <w:jc w:val="center"/>
                          <w:rPr>
                            <w:rFonts w:hAnsi="Arial" w:cs="Arial"/>
                            <w:kern w:val="0"/>
                            <w:sz w:val="30"/>
                            <w:szCs w:val="30"/>
                          </w:rPr>
                        </w:pPr>
                        <w:r>
                          <w:rPr>
                            <w:rFonts w:hint="eastAsia" w:hAnsi="Arial" w:cs="Arial"/>
                            <w:b/>
                            <w:bCs/>
                            <w:kern w:val="0"/>
                            <w:sz w:val="30"/>
                            <w:szCs w:val="30"/>
                          </w:rPr>
                          <w:t>第二章 责任识别</w:t>
                        </w:r>
                        <w:r>
                          <w:rPr>
                            <w:rFonts w:hint="eastAsia" w:ascii="Arial" w:hAnsi="Arial" w:cs="Arial"/>
                            <w:kern w:val="0"/>
                            <w:sz w:val="30"/>
                            <w:szCs w:val="30"/>
                          </w:rPr>
                          <w:t>   </w:t>
                        </w:r>
                      </w:p>
                      <w:p>
                        <w:pPr>
                          <w:widowControl/>
                          <w:spacing w:before="100" w:beforeAutospacing="1" w:after="100" w:afterAutospacing="1" w:line="432" w:lineRule="auto"/>
                          <w:jc w:val="left"/>
                          <w:rPr>
                            <w:rFonts w:hAnsi="Arial" w:cs="Arial"/>
                            <w:kern w:val="0"/>
                            <w:sz w:val="30"/>
                            <w:szCs w:val="30"/>
                          </w:rPr>
                        </w:pPr>
                        <w:r>
                          <w:rPr>
                            <w:rFonts w:hint="eastAsia" w:hAnsi="Arial" w:cs="Arial"/>
                            <w:kern w:val="0"/>
                            <w:sz w:val="30"/>
                            <w:szCs w:val="30"/>
                          </w:rPr>
                          <w:t>　　第九条 PPP项目全生命周期过程的财政支出责任，主要包括股权投资、运营补贴、风险承担、配套投入等。</w:t>
                        </w:r>
                        <w:r>
                          <w:rPr>
                            <w:rFonts w:hint="eastAsia" w:ascii="Arial" w:hAnsi="Arial" w:cs="Arial"/>
                            <w:kern w:val="0"/>
                            <w:sz w:val="30"/>
                            <w:szCs w:val="30"/>
                          </w:rPr>
                          <w:t> </w:t>
                        </w:r>
                      </w:p>
                      <w:p>
                        <w:pPr>
                          <w:widowControl/>
                          <w:spacing w:before="100" w:beforeAutospacing="1" w:after="100" w:afterAutospacing="1" w:line="432" w:lineRule="auto"/>
                          <w:jc w:val="left"/>
                          <w:rPr>
                            <w:rFonts w:hAnsi="Arial" w:cs="Arial"/>
                            <w:kern w:val="0"/>
                            <w:sz w:val="30"/>
                            <w:szCs w:val="30"/>
                          </w:rPr>
                        </w:pPr>
                        <w:r>
                          <w:rPr>
                            <w:rFonts w:hint="eastAsia" w:hAnsi="Arial" w:cs="Arial"/>
                            <w:kern w:val="0"/>
                            <w:sz w:val="30"/>
                            <w:szCs w:val="30"/>
                          </w:rPr>
                          <w:t>　　第十条 股权投资支出责任是指在政府与社会资本共同组建项目公司的情况下，政府承担的股权投资支出责任。如果社会资本单独组建项目公司，政府不承担股权投资支出责任。</w:t>
                        </w:r>
                        <w:r>
                          <w:rPr>
                            <w:rFonts w:hint="eastAsia" w:ascii="Arial" w:hAnsi="Arial" w:cs="Arial"/>
                            <w:kern w:val="0"/>
                            <w:sz w:val="30"/>
                            <w:szCs w:val="30"/>
                          </w:rPr>
                          <w:t> </w:t>
                        </w:r>
                      </w:p>
                      <w:p>
                        <w:pPr>
                          <w:widowControl/>
                          <w:spacing w:before="100" w:beforeAutospacing="1" w:after="100" w:afterAutospacing="1" w:line="432" w:lineRule="auto"/>
                          <w:jc w:val="left"/>
                          <w:rPr>
                            <w:rFonts w:hAnsi="Arial" w:cs="Arial"/>
                            <w:kern w:val="0"/>
                            <w:sz w:val="30"/>
                            <w:szCs w:val="30"/>
                          </w:rPr>
                        </w:pPr>
                        <w:r>
                          <w:rPr>
                            <w:rFonts w:hint="eastAsia" w:hAnsi="Arial" w:cs="Arial"/>
                            <w:kern w:val="0"/>
                            <w:sz w:val="30"/>
                            <w:szCs w:val="30"/>
                          </w:rPr>
                          <w:t>　　第十一条 运营补贴支出责任是指在项目运营期间，政府承担的直接付费责任。不同付费模式下，政府承担的运营补贴支出责任不同。政府付费模式下，政府承担全部运营补贴支出责任；可行性缺口补助模式下，政府承担部分运营补贴支出责任；使用者付费模式下，政府不承担运营补贴支出责任。</w:t>
                        </w:r>
                        <w:r>
                          <w:rPr>
                            <w:rFonts w:hint="eastAsia" w:ascii="Arial" w:hAnsi="Arial" w:cs="Arial"/>
                            <w:kern w:val="0"/>
                            <w:sz w:val="30"/>
                            <w:szCs w:val="30"/>
                          </w:rPr>
                          <w:t> </w:t>
                        </w:r>
                      </w:p>
                      <w:p>
                        <w:pPr>
                          <w:widowControl/>
                          <w:spacing w:before="100" w:beforeAutospacing="1" w:after="100" w:afterAutospacing="1" w:line="432" w:lineRule="auto"/>
                          <w:jc w:val="left"/>
                          <w:rPr>
                            <w:rFonts w:hAnsi="Arial" w:cs="Arial"/>
                            <w:kern w:val="0"/>
                            <w:sz w:val="30"/>
                            <w:szCs w:val="30"/>
                          </w:rPr>
                        </w:pPr>
                        <w:r>
                          <w:rPr>
                            <w:rFonts w:hint="eastAsia" w:hAnsi="Arial" w:cs="Arial"/>
                            <w:kern w:val="0"/>
                            <w:sz w:val="30"/>
                            <w:szCs w:val="30"/>
                          </w:rPr>
                          <w:t>　　第十二条 风险承担支出责任是指项目实施方案中政府承担风险带来的财政或有支出责任。通常由政府承担的法律风险、政策风险、最低需求风险以及因政府方原因导致项目合同终止等突发情况，会产生财政或有支出责任。</w:t>
                        </w:r>
                        <w:r>
                          <w:rPr>
                            <w:rFonts w:hint="eastAsia" w:ascii="Arial" w:hAnsi="Arial" w:cs="Arial"/>
                            <w:kern w:val="0"/>
                            <w:sz w:val="30"/>
                            <w:szCs w:val="30"/>
                          </w:rPr>
                          <w:t> </w:t>
                        </w:r>
                      </w:p>
                      <w:p>
                        <w:pPr>
                          <w:widowControl/>
                          <w:spacing w:before="100" w:beforeAutospacing="1" w:after="100" w:afterAutospacing="1" w:line="432" w:lineRule="auto"/>
                          <w:jc w:val="left"/>
                          <w:rPr>
                            <w:rFonts w:hAnsi="Arial" w:cs="Arial"/>
                            <w:kern w:val="0"/>
                            <w:sz w:val="30"/>
                            <w:szCs w:val="30"/>
                          </w:rPr>
                        </w:pPr>
                        <w:r>
                          <w:rPr>
                            <w:rFonts w:hint="eastAsia" w:hAnsi="Arial" w:cs="Arial"/>
                            <w:kern w:val="0"/>
                            <w:sz w:val="30"/>
                            <w:szCs w:val="30"/>
                          </w:rPr>
                          <w:t xml:space="preserve">　　第十三条 配套投入支出责任是指政府提供的项目配套工程等其他投入责任，通常包括土地征收和整理、建设部分项目配套措施、完成项目与现有相关基础设施和公用事业的对接、投资补助、贷款贴息等。配套投入支出应依据项目实施方案合理确定。 </w:t>
                        </w:r>
                        <w:r>
                          <w:rPr>
                            <w:rFonts w:hint="eastAsia" w:ascii="Arial" w:hAnsi="Arial" w:cs="Arial"/>
                            <w:kern w:val="0"/>
                            <w:sz w:val="30"/>
                            <w:szCs w:val="30"/>
                          </w:rPr>
                          <w:t> </w:t>
                        </w:r>
                      </w:p>
                      <w:p>
                        <w:pPr>
                          <w:widowControl/>
                          <w:spacing w:before="100" w:beforeAutospacing="1" w:after="100" w:afterAutospacing="1" w:line="432" w:lineRule="auto"/>
                          <w:jc w:val="center"/>
                          <w:rPr>
                            <w:rFonts w:hAnsi="Arial" w:cs="Arial"/>
                            <w:kern w:val="0"/>
                            <w:sz w:val="30"/>
                            <w:szCs w:val="30"/>
                          </w:rPr>
                        </w:pPr>
                        <w:r>
                          <w:rPr>
                            <w:rFonts w:hint="eastAsia" w:ascii="Arial" w:hAnsi="Arial" w:cs="Arial"/>
                            <w:kern w:val="0"/>
                            <w:sz w:val="30"/>
                            <w:szCs w:val="30"/>
                          </w:rPr>
                          <w:t> </w:t>
                        </w:r>
                      </w:p>
                      <w:p>
                        <w:pPr>
                          <w:widowControl/>
                          <w:spacing w:before="100" w:beforeAutospacing="1" w:after="100" w:afterAutospacing="1" w:line="432" w:lineRule="auto"/>
                          <w:jc w:val="center"/>
                          <w:rPr>
                            <w:rFonts w:hAnsi="Arial" w:cs="Arial"/>
                            <w:kern w:val="0"/>
                            <w:sz w:val="30"/>
                            <w:szCs w:val="30"/>
                          </w:rPr>
                        </w:pPr>
                        <w:r>
                          <w:rPr>
                            <w:rFonts w:hint="eastAsia" w:hAnsi="Arial" w:cs="Arial"/>
                            <w:b/>
                            <w:bCs/>
                            <w:kern w:val="0"/>
                            <w:sz w:val="30"/>
                            <w:szCs w:val="30"/>
                          </w:rPr>
                          <w:t xml:space="preserve">第三章 </w:t>
                        </w:r>
                        <w:r>
                          <w:rPr>
                            <w:rFonts w:hint="eastAsia" w:ascii="Arial" w:hAnsi="Arial" w:cs="Arial"/>
                            <w:b/>
                            <w:bCs/>
                            <w:kern w:val="0"/>
                            <w:sz w:val="30"/>
                            <w:szCs w:val="30"/>
                          </w:rPr>
                          <w:t> </w:t>
                        </w:r>
                        <w:r>
                          <w:rPr>
                            <w:rFonts w:hint="eastAsia" w:hAnsi="Arial" w:cs="Arial"/>
                            <w:b/>
                            <w:bCs/>
                            <w:kern w:val="0"/>
                            <w:sz w:val="30"/>
                            <w:szCs w:val="30"/>
                          </w:rPr>
                          <w:t>支出测算</w:t>
                        </w:r>
                        <w:r>
                          <w:rPr>
                            <w:rFonts w:hint="eastAsia" w:ascii="Arial" w:hAnsi="Arial" w:cs="Arial"/>
                            <w:kern w:val="0"/>
                            <w:sz w:val="30"/>
                            <w:szCs w:val="30"/>
                          </w:rPr>
                          <w:t> </w:t>
                        </w:r>
                      </w:p>
                      <w:p>
                        <w:pPr>
                          <w:widowControl/>
                          <w:spacing w:before="100" w:beforeAutospacing="1" w:after="100" w:afterAutospacing="1" w:line="432" w:lineRule="auto"/>
                          <w:jc w:val="left"/>
                          <w:rPr>
                            <w:rFonts w:hAnsi="Arial" w:cs="Arial"/>
                            <w:kern w:val="0"/>
                            <w:sz w:val="30"/>
                            <w:szCs w:val="30"/>
                          </w:rPr>
                        </w:pPr>
                        <w:r>
                          <w:rPr>
                            <w:rFonts w:hint="eastAsia" w:hAnsi="Arial" w:cs="Arial"/>
                            <w:kern w:val="0"/>
                            <w:sz w:val="30"/>
                            <w:szCs w:val="30"/>
                          </w:rPr>
                          <w:t>　　第十四条 财政部门（或PPP中心）应当综合考虑各类支出责任的特点、情景和发生概率等因素，对项目全生命周期内财政支出责任分别进行测算。</w:t>
                        </w:r>
                        <w:r>
                          <w:rPr>
                            <w:rFonts w:hint="eastAsia" w:ascii="Arial" w:hAnsi="Arial" w:cs="Arial"/>
                            <w:kern w:val="0"/>
                            <w:sz w:val="30"/>
                            <w:szCs w:val="30"/>
                          </w:rPr>
                          <w:t> </w:t>
                        </w:r>
                      </w:p>
                      <w:p>
                        <w:pPr>
                          <w:widowControl/>
                          <w:spacing w:before="100" w:beforeAutospacing="1" w:after="100" w:afterAutospacing="1" w:line="432" w:lineRule="auto"/>
                          <w:jc w:val="left"/>
                          <w:rPr>
                            <w:rFonts w:hAnsi="Arial" w:cs="Arial"/>
                            <w:kern w:val="0"/>
                            <w:sz w:val="30"/>
                            <w:szCs w:val="30"/>
                          </w:rPr>
                        </w:pPr>
                        <w:r>
                          <w:rPr>
                            <w:rFonts w:hint="eastAsia" w:hAnsi="Arial" w:cs="Arial"/>
                            <w:kern w:val="0"/>
                            <w:sz w:val="30"/>
                            <w:szCs w:val="30"/>
                          </w:rPr>
                          <w:t>　　第十五条 股权投资支出应当依据项目资本金要求以及项目公司股权结构合理确定。股权投资支出责任中的土地等实物投入或无形资产投入，应依法进行评估，合理确定价值。计算公式为：</w:t>
                        </w:r>
                        <w:r>
                          <w:rPr>
                            <w:rFonts w:hint="eastAsia" w:ascii="Arial" w:hAnsi="Arial" w:cs="Arial"/>
                            <w:kern w:val="0"/>
                            <w:sz w:val="30"/>
                            <w:szCs w:val="30"/>
                          </w:rPr>
                          <w:t> </w:t>
                        </w:r>
                      </w:p>
                      <w:p>
                        <w:pPr>
                          <w:widowControl/>
                          <w:spacing w:before="100" w:beforeAutospacing="1" w:after="100" w:afterAutospacing="1" w:line="432" w:lineRule="auto"/>
                          <w:jc w:val="left"/>
                          <w:rPr>
                            <w:rFonts w:hAnsi="Arial" w:cs="Arial"/>
                            <w:kern w:val="0"/>
                            <w:sz w:val="30"/>
                            <w:szCs w:val="30"/>
                          </w:rPr>
                        </w:pPr>
                        <w:r>
                          <w:rPr>
                            <w:rFonts w:hint="eastAsia" w:hAnsi="Arial" w:cs="Arial"/>
                            <w:kern w:val="0"/>
                            <w:sz w:val="30"/>
                            <w:szCs w:val="30"/>
                          </w:rPr>
                          <w:t>　　股权投资支出=项目资本金</w:t>
                        </w:r>
                        <w:r>
                          <w:rPr>
                            <w:rFonts w:hint="eastAsia" w:ascii="仿宋_GB2312" w:hAnsi="Arial" w:eastAsia="仿宋_GB2312" w:cs="Arial"/>
                            <w:kern w:val="0"/>
                            <w:sz w:val="30"/>
                            <w:szCs w:val="30"/>
                            <w:lang w:val="en-US" w:eastAsia="zh-CN" w:bidi="ar-SA"/>
                          </w:rPr>
                          <w:pict>
                            <v:shape id="图片 2" o:spid="_x0000_s1027" type="#_x0000_t75" style="height:8.85pt;width:10.85pt;rotation:0f;" o:ole="f" fillcolor="#FFFFFF" filled="f" o:preferrelative="t" stroked="f" coordorigin="0,0" coordsize="21600,21600">
                              <v:fill on="f" color2="#FFFFFF" focus="0%"/>
                              <v:imagedata gain="65536f" blacklevel="0f" gamma="0" o:title="" r:id="rId5"/>
                              <o:lock v:ext="edit" position="f" selection="f" grouping="f" rotation="f" cropping="f" text="f" aspectratio="t"/>
                              <w10:wrap type="none"/>
                              <w10:anchorlock/>
                            </v:shape>
                          </w:pict>
                        </w:r>
                        <w:r>
                          <w:rPr>
                            <w:rFonts w:hint="eastAsia" w:hAnsi="Arial" w:cs="Arial"/>
                            <w:kern w:val="0"/>
                            <w:sz w:val="30"/>
                            <w:szCs w:val="30"/>
                          </w:rPr>
                          <w:t>政府占项目公司股权比例</w:t>
                        </w:r>
                        <w:r>
                          <w:rPr>
                            <w:rFonts w:hint="eastAsia" w:ascii="Arial" w:hAnsi="Arial" w:cs="Arial"/>
                            <w:kern w:val="0"/>
                            <w:sz w:val="30"/>
                            <w:szCs w:val="30"/>
                          </w:rPr>
                          <w:t> </w:t>
                        </w:r>
                      </w:p>
                      <w:p>
                        <w:pPr>
                          <w:widowControl/>
                          <w:spacing w:before="100" w:beforeAutospacing="1" w:after="100" w:afterAutospacing="1" w:line="432" w:lineRule="auto"/>
                          <w:jc w:val="left"/>
                          <w:rPr>
                            <w:rFonts w:hAnsi="Arial" w:cs="Arial"/>
                            <w:kern w:val="0"/>
                            <w:sz w:val="30"/>
                            <w:szCs w:val="30"/>
                          </w:rPr>
                        </w:pPr>
                        <w:r>
                          <w:rPr>
                            <w:rFonts w:hint="eastAsia" w:hAnsi="Arial" w:cs="Arial"/>
                            <w:kern w:val="0"/>
                            <w:sz w:val="30"/>
                            <w:szCs w:val="30"/>
                          </w:rPr>
                          <w:t>　　第十六条 运营补贴支出应当根据项目建设成本、运营成本及利润水平合理确定，并按照不同付费模式分别测算。</w:t>
                        </w:r>
                        <w:r>
                          <w:rPr>
                            <w:rFonts w:hint="eastAsia" w:ascii="Arial" w:hAnsi="Arial" w:cs="Arial"/>
                            <w:kern w:val="0"/>
                            <w:sz w:val="30"/>
                            <w:szCs w:val="30"/>
                          </w:rPr>
                          <w:t> </w:t>
                        </w:r>
                      </w:p>
                      <w:p>
                        <w:pPr>
                          <w:widowControl/>
                          <w:spacing w:before="100" w:beforeAutospacing="1" w:after="100" w:afterAutospacing="1" w:line="432" w:lineRule="auto"/>
                          <w:jc w:val="left"/>
                          <w:rPr>
                            <w:rFonts w:hAnsi="Arial" w:cs="Arial"/>
                            <w:kern w:val="0"/>
                            <w:sz w:val="30"/>
                            <w:szCs w:val="30"/>
                          </w:rPr>
                        </w:pPr>
                        <w:r>
                          <w:rPr>
                            <w:rFonts w:hint="eastAsia" w:hAnsi="Arial" w:cs="Arial"/>
                            <w:kern w:val="0"/>
                            <w:sz w:val="30"/>
                            <w:szCs w:val="30"/>
                          </w:rPr>
                          <w:t>　　对政府付费模式的项目，在项目运营补贴期间，政府承担全部直接付费责任。政府每年直接付费数额包括：社会资本方承担的年均建设成本（折算成各年度现值）、年度运营成本和合理利润。计算公式为：</w:t>
                        </w:r>
                        <w:r>
                          <w:rPr>
                            <w:rFonts w:hint="eastAsia" w:ascii="Arial" w:hAnsi="Arial" w:cs="Arial"/>
                            <w:kern w:val="0"/>
                            <w:sz w:val="30"/>
                            <w:szCs w:val="30"/>
                          </w:rPr>
                          <w:t> </w:t>
                        </w:r>
                      </w:p>
                      <w:p>
                        <w:pPr>
                          <w:widowControl/>
                          <w:spacing w:before="100" w:beforeAutospacing="1" w:after="100" w:afterAutospacing="1" w:line="432" w:lineRule="auto"/>
                          <w:jc w:val="left"/>
                          <w:rPr>
                            <w:rFonts w:hAnsi="Arial" w:cs="Arial"/>
                            <w:kern w:val="0"/>
                            <w:sz w:val="30"/>
                            <w:szCs w:val="30"/>
                          </w:rPr>
                        </w:pPr>
                        <w:r>
                          <w:rPr>
                            <w:rFonts w:hint="eastAsia" w:hAnsi="Arial" w:cs="Arial"/>
                            <w:kern w:val="0"/>
                            <w:sz w:val="30"/>
                            <w:szCs w:val="30"/>
                          </w:rPr>
                          <w:t xml:space="preserve">　　当年运营补贴支出数额= </w:t>
                        </w:r>
                        <w:r>
                          <w:rPr>
                            <w:rFonts w:hint="eastAsia" w:ascii="仿宋_GB2312" w:hAnsi="Arial" w:eastAsia="仿宋_GB2312" w:cs="Arial"/>
                            <w:kern w:val="0"/>
                            <w:sz w:val="30"/>
                            <w:szCs w:val="30"/>
                            <w:lang w:val="en-US" w:eastAsia="zh-CN" w:bidi="ar-SA"/>
                          </w:rPr>
                          <w:pict>
                            <v:shape id="图片 3" o:spid="_x0000_s1028" type="#_x0000_t75" style="height:21.75pt;width:226.85pt;rotation:0f;" o:ole="f" fillcolor="#FFFFFF" filled="f" o:preferrelative="t" stroked="f" coordorigin="0,0" coordsize="21600,21600">
                              <v:fill on="f" color2="#FFFFFF" focus="0%"/>
                              <v:imagedata gain="65536f" blacklevel="0f" gamma="0" o:title="" r:id="rId6"/>
                              <o:lock v:ext="edit" position="f" selection="f" grouping="f" rotation="f" cropping="f" text="f" aspectratio="t"/>
                              <w10:wrap type="none"/>
                              <w10:anchorlock/>
                            </v:shape>
                          </w:pict>
                        </w:r>
                        <w:r>
                          <w:rPr>
                            <w:rFonts w:hint="eastAsia" w:hAnsi="Arial" w:cs="Arial"/>
                            <w:kern w:val="0"/>
                            <w:sz w:val="30"/>
                            <w:szCs w:val="30"/>
                          </w:rPr>
                          <w:t>+年度运营成本</w:t>
                        </w:r>
                        <w:r>
                          <w:rPr>
                            <w:rFonts w:hint="eastAsia" w:ascii="仿宋_GB2312" w:hAnsi="Arial" w:eastAsia="仿宋_GB2312" w:cs="Arial"/>
                            <w:kern w:val="0"/>
                            <w:sz w:val="30"/>
                            <w:szCs w:val="30"/>
                            <w:lang w:val="en-US" w:eastAsia="zh-CN" w:bidi="ar-SA"/>
                          </w:rPr>
                          <w:pict>
                            <v:shape id="图片 4" o:spid="_x0000_s1029" type="#_x0000_t75" style="height:8.85pt;width:10.85pt;rotation:0f;" o:ole="f" fillcolor="#FFFFFF" filled="f" o:preferrelative="t" stroked="f" coordorigin="0,0" coordsize="21600,21600">
                              <v:fill on="f" color2="#FFFFFF" focus="0%"/>
                              <v:imagedata gain="65536f" blacklevel="0f" gamma="0" o:title="" r:id="rId5"/>
                              <o:lock v:ext="edit" position="f" selection="f" grouping="f" rotation="f" cropping="f" text="f" aspectratio="t"/>
                              <w10:wrap type="none"/>
                              <w10:anchorlock/>
                            </v:shape>
                          </w:pict>
                        </w:r>
                        <w:r>
                          <w:rPr>
                            <w:rFonts w:hint="eastAsia" w:hAnsi="Arial" w:cs="Arial"/>
                            <w:kern w:val="0"/>
                            <w:sz w:val="30"/>
                            <w:szCs w:val="30"/>
                          </w:rPr>
                          <w:t xml:space="preserve">（1+合理利润率） </w:t>
                        </w:r>
                        <w:r>
                          <w:rPr>
                            <w:rFonts w:hint="eastAsia" w:ascii="Arial" w:hAnsi="Arial" w:cs="Arial"/>
                            <w:kern w:val="0"/>
                            <w:sz w:val="30"/>
                            <w:szCs w:val="30"/>
                          </w:rPr>
                          <w:t> </w:t>
                        </w:r>
                      </w:p>
                      <w:p>
                        <w:pPr>
                          <w:widowControl/>
                          <w:spacing w:before="100" w:beforeAutospacing="1" w:after="100" w:afterAutospacing="1" w:line="432" w:lineRule="auto"/>
                          <w:jc w:val="left"/>
                          <w:rPr>
                            <w:rFonts w:hAnsi="Arial" w:cs="Arial"/>
                            <w:kern w:val="0"/>
                            <w:sz w:val="30"/>
                            <w:szCs w:val="30"/>
                          </w:rPr>
                        </w:pPr>
                        <w:r>
                          <w:rPr>
                            <w:rFonts w:hint="eastAsia" w:hAnsi="Arial" w:cs="Arial"/>
                            <w:kern w:val="0"/>
                            <w:sz w:val="30"/>
                            <w:szCs w:val="30"/>
                          </w:rPr>
                          <w:t>　　对可行性缺口补助模式的项目，在项目运营补贴期间，政府承担部分直接付费责任。政府每年直接付费数额包括：社会资本方承担的年均建设成本（折算成各年度现值）、年度运营成本和合理利润，再减去每年使用者付费的数额。计算公式为：</w:t>
                        </w:r>
                        <w:r>
                          <w:rPr>
                            <w:rFonts w:hint="eastAsia" w:ascii="Arial" w:hAnsi="Arial" w:cs="Arial"/>
                            <w:kern w:val="0"/>
                            <w:sz w:val="30"/>
                            <w:szCs w:val="30"/>
                          </w:rPr>
                          <w:t> </w:t>
                        </w:r>
                      </w:p>
                      <w:p>
                        <w:pPr>
                          <w:widowControl/>
                          <w:spacing w:before="100" w:beforeAutospacing="1" w:after="100" w:afterAutospacing="1" w:line="432" w:lineRule="auto"/>
                          <w:jc w:val="left"/>
                          <w:rPr>
                            <w:rFonts w:hAnsi="Arial" w:cs="Arial"/>
                            <w:kern w:val="0"/>
                            <w:sz w:val="30"/>
                            <w:szCs w:val="30"/>
                          </w:rPr>
                        </w:pPr>
                        <w:r>
                          <w:rPr>
                            <w:rFonts w:hint="eastAsia" w:hAnsi="Arial" w:cs="Arial"/>
                            <w:kern w:val="0"/>
                            <w:sz w:val="30"/>
                            <w:szCs w:val="30"/>
                          </w:rPr>
                          <w:t>　　当年运营补贴支出数额=</w:t>
                        </w:r>
                        <w:r>
                          <w:rPr>
                            <w:rFonts w:hint="eastAsia" w:ascii="仿宋_GB2312" w:hAnsi="Arial" w:eastAsia="仿宋_GB2312" w:cs="Arial"/>
                            <w:kern w:val="0"/>
                            <w:sz w:val="30"/>
                            <w:szCs w:val="30"/>
                            <w:lang w:val="en-US" w:eastAsia="zh-CN" w:bidi="ar-SA"/>
                          </w:rPr>
                          <w:pict>
                            <v:shape id="图片 5" o:spid="_x0000_s1030" type="#_x0000_t75" style="height:23.1pt;width:227.55pt;rotation:0f;" o:ole="f" fillcolor="#FFFFFF" filled="f" o:preferrelative="t" stroked="f" coordorigin="0,0" coordsize="21600,21600">
                              <v:fill on="f" color2="#FFFFFF" focus="0%"/>
                              <v:imagedata gain="65536f" blacklevel="0f" gamma="0" o:title="" r:id="rId7"/>
                              <o:lock v:ext="edit" position="f" selection="f" grouping="f" rotation="f" cropping="f" text="f" aspectratio="t"/>
                              <w10:wrap type="none"/>
                              <w10:anchorlock/>
                            </v:shape>
                          </w:pict>
                        </w:r>
                        <w:r>
                          <w:rPr>
                            <w:rFonts w:hint="eastAsia" w:hAnsi="Arial" w:cs="Arial"/>
                            <w:kern w:val="0"/>
                            <w:sz w:val="30"/>
                            <w:szCs w:val="30"/>
                          </w:rPr>
                          <w:t>+年度运营成本</w:t>
                        </w:r>
                        <w:r>
                          <w:rPr>
                            <w:rFonts w:hint="eastAsia" w:ascii="仿宋_GB2312" w:hAnsi="Arial" w:eastAsia="仿宋_GB2312" w:cs="Arial"/>
                            <w:kern w:val="0"/>
                            <w:sz w:val="30"/>
                            <w:szCs w:val="30"/>
                            <w:lang w:val="en-US" w:eastAsia="zh-CN" w:bidi="ar-SA"/>
                          </w:rPr>
                          <w:pict>
                            <v:shape id="图片 6" o:spid="_x0000_s1031" type="#_x0000_t75" style="height:8.85pt;width:10.85pt;rotation:0f;" o:ole="f" fillcolor="#FFFFFF" filled="f" o:preferrelative="t" stroked="f" coordorigin="0,0" coordsize="21600,21600">
                              <v:fill on="f" color2="#FFFFFF" focus="0%"/>
                              <v:imagedata gain="65536f" blacklevel="0f" gamma="0" o:title="" r:id="rId5"/>
                              <o:lock v:ext="edit" position="f" selection="f" grouping="f" rotation="f" cropping="f" text="f" aspectratio="t"/>
                              <w10:wrap type="none"/>
                              <w10:anchorlock/>
                            </v:shape>
                          </w:pict>
                        </w:r>
                        <w:r>
                          <w:rPr>
                            <w:rFonts w:hint="eastAsia" w:hAnsi="Arial" w:cs="Arial"/>
                            <w:kern w:val="0"/>
                            <w:sz w:val="30"/>
                            <w:szCs w:val="30"/>
                          </w:rPr>
                          <w:t>（1+合理利润率）</w:t>
                        </w:r>
                        <w:r>
                          <w:rPr>
                            <w:rFonts w:hint="eastAsia" w:ascii="仿宋_GB2312" w:hAnsi="Arial" w:eastAsia="仿宋_GB2312" w:cs="Arial"/>
                            <w:kern w:val="0"/>
                            <w:sz w:val="30"/>
                            <w:szCs w:val="30"/>
                            <w:lang w:val="en-US" w:eastAsia="zh-CN" w:bidi="ar-SA"/>
                          </w:rPr>
                          <w:pict>
                            <v:shape id="图片 7" o:spid="_x0000_s1032" type="#_x0000_t75" style="height:9.5pt;width:11.55pt;rotation:0f;" o:ole="f" fillcolor="#FFFFFF" filled="f" o:preferrelative="t" stroked="f" coordorigin="0,0" coordsize="21600,21600">
                              <v:fill on="f" color2="#FFFFFF" focus="0%"/>
                              <v:imagedata gain="65536f" blacklevel="0f" gamma="0" o:title="" r:id="rId8"/>
                              <o:lock v:ext="edit" position="f" selection="f" grouping="f" rotation="f" cropping="f" text="f" aspectratio="t"/>
                              <w10:wrap type="none"/>
                              <w10:anchorlock/>
                            </v:shape>
                          </w:pict>
                        </w:r>
                        <w:r>
                          <w:rPr>
                            <w:rFonts w:hint="eastAsia" w:hAnsi="Arial" w:cs="Arial"/>
                            <w:kern w:val="0"/>
                            <w:sz w:val="30"/>
                            <w:szCs w:val="30"/>
                          </w:rPr>
                          <w:t>当年使用者付费数额</w:t>
                        </w:r>
                        <w:r>
                          <w:rPr>
                            <w:rFonts w:hint="eastAsia" w:ascii="Arial" w:hAnsi="Arial" w:cs="Arial"/>
                            <w:kern w:val="0"/>
                            <w:sz w:val="30"/>
                            <w:szCs w:val="30"/>
                          </w:rPr>
                          <w:t> </w:t>
                        </w:r>
                      </w:p>
                      <w:p>
                        <w:pPr>
                          <w:widowControl/>
                          <w:spacing w:before="100" w:beforeAutospacing="1" w:after="100" w:afterAutospacing="1" w:line="432" w:lineRule="auto"/>
                          <w:jc w:val="left"/>
                          <w:rPr>
                            <w:rFonts w:hAnsi="Arial" w:cs="Arial"/>
                            <w:kern w:val="0"/>
                            <w:sz w:val="30"/>
                            <w:szCs w:val="30"/>
                          </w:rPr>
                        </w:pPr>
                        <w:r>
                          <w:rPr>
                            <w:rFonts w:hint="eastAsia" w:hAnsi="Arial" w:cs="Arial"/>
                            <w:kern w:val="0"/>
                            <w:sz w:val="30"/>
                            <w:szCs w:val="30"/>
                          </w:rPr>
                          <w:t>　　n代表折现年数。财政运营补贴周期指财政提供运营补贴的年数。</w:t>
                        </w:r>
                        <w:r>
                          <w:rPr>
                            <w:rFonts w:hint="eastAsia" w:ascii="Arial" w:hAnsi="Arial" w:cs="Arial"/>
                            <w:kern w:val="0"/>
                            <w:sz w:val="30"/>
                            <w:szCs w:val="30"/>
                          </w:rPr>
                          <w:t> </w:t>
                        </w:r>
                      </w:p>
                      <w:p>
                        <w:pPr>
                          <w:widowControl/>
                          <w:spacing w:before="100" w:beforeAutospacing="1" w:after="100" w:afterAutospacing="1" w:line="432" w:lineRule="auto"/>
                          <w:jc w:val="left"/>
                          <w:rPr>
                            <w:rFonts w:hAnsi="Arial" w:cs="Arial"/>
                            <w:kern w:val="0"/>
                            <w:sz w:val="30"/>
                            <w:szCs w:val="30"/>
                          </w:rPr>
                        </w:pPr>
                        <w:r>
                          <w:rPr>
                            <w:rFonts w:hint="eastAsia" w:hAnsi="Arial" w:cs="Arial"/>
                            <w:kern w:val="0"/>
                            <w:sz w:val="30"/>
                            <w:szCs w:val="30"/>
                          </w:rPr>
                          <w:t>　　第十七条 年度折现率应考虑财政补贴支出发生年份，并参照同期地方政府债券收益率合理确定。</w:t>
                        </w:r>
                        <w:r>
                          <w:rPr>
                            <w:rFonts w:hint="eastAsia" w:ascii="Arial" w:hAnsi="Arial" w:cs="Arial"/>
                            <w:kern w:val="0"/>
                            <w:sz w:val="30"/>
                            <w:szCs w:val="30"/>
                          </w:rPr>
                          <w:t> </w:t>
                        </w:r>
                      </w:p>
                      <w:p>
                        <w:pPr>
                          <w:widowControl/>
                          <w:spacing w:before="100" w:beforeAutospacing="1" w:after="100" w:afterAutospacing="1" w:line="432" w:lineRule="auto"/>
                          <w:jc w:val="left"/>
                          <w:rPr>
                            <w:rFonts w:hAnsi="Arial" w:cs="Arial"/>
                            <w:kern w:val="0"/>
                            <w:sz w:val="30"/>
                            <w:szCs w:val="30"/>
                          </w:rPr>
                        </w:pPr>
                        <w:r>
                          <w:rPr>
                            <w:rFonts w:hint="eastAsia" w:hAnsi="Arial" w:cs="Arial"/>
                            <w:kern w:val="0"/>
                            <w:sz w:val="30"/>
                            <w:szCs w:val="30"/>
                          </w:rPr>
                          <w:t>　　第十八条 合理利润率应以商业银行中长期贷款利率水平为基准，充分考虑可用性付费、使用量付费、绩效付费的不同情景，结合风险等因素确定。</w:t>
                        </w:r>
                        <w:r>
                          <w:rPr>
                            <w:rFonts w:hint="eastAsia" w:ascii="Arial" w:hAnsi="Arial" w:cs="Arial"/>
                            <w:kern w:val="0"/>
                            <w:sz w:val="30"/>
                            <w:szCs w:val="30"/>
                          </w:rPr>
                          <w:t> </w:t>
                        </w:r>
                      </w:p>
                      <w:p>
                        <w:pPr>
                          <w:widowControl/>
                          <w:spacing w:before="100" w:beforeAutospacing="1" w:after="100" w:afterAutospacing="1" w:line="432" w:lineRule="auto"/>
                          <w:jc w:val="left"/>
                          <w:rPr>
                            <w:rFonts w:hAnsi="Arial" w:cs="Arial"/>
                            <w:kern w:val="0"/>
                            <w:sz w:val="30"/>
                            <w:szCs w:val="30"/>
                          </w:rPr>
                        </w:pPr>
                        <w:r>
                          <w:rPr>
                            <w:rFonts w:hint="eastAsia" w:hAnsi="Arial" w:cs="Arial"/>
                            <w:kern w:val="0"/>
                            <w:sz w:val="30"/>
                            <w:szCs w:val="30"/>
                          </w:rPr>
                          <w:t>　　第十九条 在计算运营补贴支出时，应当充分考虑合理利润率变化对运营补贴支出的影响。</w:t>
                        </w:r>
                        <w:r>
                          <w:rPr>
                            <w:rFonts w:hint="eastAsia" w:ascii="Arial" w:hAnsi="Arial" w:cs="Arial"/>
                            <w:kern w:val="0"/>
                            <w:sz w:val="30"/>
                            <w:szCs w:val="30"/>
                          </w:rPr>
                          <w:t> </w:t>
                        </w:r>
                      </w:p>
                      <w:p>
                        <w:pPr>
                          <w:widowControl/>
                          <w:spacing w:before="100" w:beforeAutospacing="1" w:after="100" w:afterAutospacing="1" w:line="432" w:lineRule="auto"/>
                          <w:jc w:val="left"/>
                          <w:rPr>
                            <w:rFonts w:hAnsi="Arial" w:cs="Arial"/>
                            <w:kern w:val="0"/>
                            <w:sz w:val="30"/>
                            <w:szCs w:val="30"/>
                          </w:rPr>
                        </w:pPr>
                        <w:r>
                          <w:rPr>
                            <w:rFonts w:hint="eastAsia" w:hAnsi="Arial" w:cs="Arial"/>
                            <w:kern w:val="0"/>
                            <w:sz w:val="30"/>
                            <w:szCs w:val="30"/>
                          </w:rPr>
                          <w:t>　　第二十条 PPP项目实施方案中的定价和调价机制通常与消费物价指数、劳动力市场指数等因素挂钩，会影响运营补贴支出责任。在可行性缺口补助模式下，运营补贴支出责任受到使用者付费数额的影响，而使用者付费的多少因定价和调价机制而变化。在计算运营补贴支出数额时，应当充分考虑定价和调价机制的影响。</w:t>
                        </w:r>
                        <w:r>
                          <w:rPr>
                            <w:rFonts w:hint="eastAsia" w:ascii="Arial" w:hAnsi="Arial" w:cs="Arial"/>
                            <w:kern w:val="0"/>
                            <w:sz w:val="30"/>
                            <w:szCs w:val="30"/>
                          </w:rPr>
                          <w:t> </w:t>
                        </w:r>
                      </w:p>
                      <w:p>
                        <w:pPr>
                          <w:widowControl/>
                          <w:spacing w:before="100" w:beforeAutospacing="1" w:after="100" w:afterAutospacing="1" w:line="432" w:lineRule="auto"/>
                          <w:jc w:val="left"/>
                          <w:rPr>
                            <w:rFonts w:hAnsi="Arial" w:cs="Arial"/>
                            <w:kern w:val="0"/>
                            <w:sz w:val="30"/>
                            <w:szCs w:val="30"/>
                          </w:rPr>
                        </w:pPr>
                        <w:r>
                          <w:rPr>
                            <w:rFonts w:hint="eastAsia" w:hAnsi="Arial" w:cs="Arial"/>
                            <w:kern w:val="0"/>
                            <w:sz w:val="30"/>
                            <w:szCs w:val="30"/>
                          </w:rPr>
                          <w:t>　　第二十一条 风险承担支出应充分考虑各类风险出现的概率和带来的支出责任，可采用比例法、情景分析法及概率法进行测算。如果PPP合同约定保险赔款的第一受益人为政府，则风险承担支出应为扣除该等风险赔款金额的净额。</w:t>
                        </w:r>
                        <w:r>
                          <w:rPr>
                            <w:rFonts w:hint="eastAsia" w:ascii="Arial" w:hAnsi="Arial" w:cs="Arial"/>
                            <w:kern w:val="0"/>
                            <w:sz w:val="30"/>
                            <w:szCs w:val="30"/>
                          </w:rPr>
                          <w:t> </w:t>
                        </w:r>
                      </w:p>
                      <w:p>
                        <w:pPr>
                          <w:widowControl/>
                          <w:spacing w:before="100" w:beforeAutospacing="1" w:after="100" w:afterAutospacing="1" w:line="432" w:lineRule="auto"/>
                          <w:jc w:val="left"/>
                          <w:rPr>
                            <w:rFonts w:hAnsi="Arial" w:cs="Arial"/>
                            <w:kern w:val="0"/>
                            <w:sz w:val="30"/>
                            <w:szCs w:val="30"/>
                          </w:rPr>
                        </w:pPr>
                        <w:r>
                          <w:rPr>
                            <w:rFonts w:hint="eastAsia" w:hAnsi="Arial" w:cs="Arial"/>
                            <w:kern w:val="0"/>
                            <w:sz w:val="30"/>
                            <w:szCs w:val="30"/>
                          </w:rPr>
                          <w:t>　　比例法。在各类风险支出数额和概率难以进行准确测算的情况下，可以按照项目的全部建设成本和一定时期内的运营成本的一定比例确定风险承担支出。</w:t>
                        </w:r>
                        <w:r>
                          <w:rPr>
                            <w:rFonts w:hint="eastAsia" w:ascii="Arial" w:hAnsi="Arial" w:cs="Arial"/>
                            <w:kern w:val="0"/>
                            <w:sz w:val="30"/>
                            <w:szCs w:val="30"/>
                          </w:rPr>
                          <w:t> </w:t>
                        </w:r>
                      </w:p>
                      <w:p>
                        <w:pPr>
                          <w:widowControl/>
                          <w:spacing w:before="100" w:beforeAutospacing="1" w:after="100" w:afterAutospacing="1" w:line="432" w:lineRule="auto"/>
                          <w:jc w:val="left"/>
                          <w:rPr>
                            <w:rFonts w:hAnsi="Arial" w:cs="Arial"/>
                            <w:kern w:val="0"/>
                            <w:sz w:val="30"/>
                            <w:szCs w:val="30"/>
                          </w:rPr>
                        </w:pPr>
                        <w:r>
                          <w:rPr>
                            <w:rFonts w:hint="eastAsia" w:hAnsi="Arial" w:cs="Arial"/>
                            <w:kern w:val="0"/>
                            <w:sz w:val="30"/>
                            <w:szCs w:val="30"/>
                          </w:rPr>
                          <w:t>　　情景分析法。在各类风险支出数额可以进行测算、但出现概率难以确定的情况下，可针对影响风险的各类事件和变量进行“基本”、“不利”及“最坏”等情景假设，测算各类风险发生带来的风险承担支出。计算公式为：</w:t>
                        </w:r>
                        <w:r>
                          <w:rPr>
                            <w:rFonts w:hint="eastAsia" w:ascii="Arial" w:hAnsi="Arial" w:cs="Arial"/>
                            <w:kern w:val="0"/>
                            <w:sz w:val="30"/>
                            <w:szCs w:val="30"/>
                          </w:rPr>
                          <w:t> </w:t>
                        </w:r>
                      </w:p>
                      <w:p>
                        <w:pPr>
                          <w:widowControl/>
                          <w:spacing w:before="100" w:beforeAutospacing="1" w:after="100" w:afterAutospacing="1" w:line="432" w:lineRule="auto"/>
                          <w:jc w:val="left"/>
                          <w:rPr>
                            <w:rFonts w:hAnsi="Arial" w:cs="Arial"/>
                            <w:kern w:val="0"/>
                            <w:sz w:val="30"/>
                            <w:szCs w:val="30"/>
                          </w:rPr>
                        </w:pPr>
                        <w:r>
                          <w:rPr>
                            <w:rFonts w:hint="eastAsia" w:hAnsi="Arial" w:cs="Arial"/>
                            <w:kern w:val="0"/>
                            <w:sz w:val="30"/>
                            <w:szCs w:val="30"/>
                          </w:rPr>
                          <w:t>　　风险承担支出数额=基本情景下财政支出数额</w:t>
                        </w:r>
                        <w:r>
                          <w:rPr>
                            <w:rFonts w:hint="eastAsia" w:ascii="仿宋_GB2312" w:hAnsi="Arial" w:eastAsia="仿宋_GB2312" w:cs="Arial"/>
                            <w:kern w:val="0"/>
                            <w:sz w:val="30"/>
                            <w:szCs w:val="30"/>
                            <w:lang w:val="en-US" w:eastAsia="zh-CN" w:bidi="ar-SA"/>
                          </w:rPr>
                          <w:pict>
                            <v:shape id="图片 8" o:spid="_x0000_s1033" type="#_x0000_t75" style="height:8.85pt;width:10.85pt;rotation:0f;" o:ole="f" fillcolor="#FFFFFF" filled="f" o:preferrelative="t" stroked="f" coordorigin="0,0" coordsize="21600,21600">
                              <v:fill on="f" color2="#FFFFFF" focus="0%"/>
                              <v:imagedata gain="65536f" blacklevel="0f" gamma="0" o:title="" r:id="rId5"/>
                              <o:lock v:ext="edit" position="f" selection="f" grouping="f" rotation="f" cropping="f" text="f" aspectratio="t"/>
                              <w10:wrap type="none"/>
                              <w10:anchorlock/>
                            </v:shape>
                          </w:pict>
                        </w:r>
                        <w:r>
                          <w:rPr>
                            <w:rFonts w:hint="eastAsia" w:hAnsi="Arial" w:cs="Arial"/>
                            <w:kern w:val="0"/>
                            <w:sz w:val="30"/>
                            <w:szCs w:val="30"/>
                          </w:rPr>
                          <w:t>基本情景出现的概率+不利情景下财政支出数额</w:t>
                        </w:r>
                        <w:r>
                          <w:rPr>
                            <w:rFonts w:hint="eastAsia" w:ascii="仿宋_GB2312" w:hAnsi="Arial" w:eastAsia="仿宋_GB2312" w:cs="Arial"/>
                            <w:kern w:val="0"/>
                            <w:sz w:val="30"/>
                            <w:szCs w:val="30"/>
                            <w:lang w:val="en-US" w:eastAsia="zh-CN" w:bidi="ar-SA"/>
                          </w:rPr>
                          <w:pict>
                            <v:shape id="图片 9" o:spid="_x0000_s1034" type="#_x0000_t75" style="height:8.85pt;width:10.85pt;rotation:0f;" o:ole="f" fillcolor="#FFFFFF" filled="f" o:preferrelative="t" stroked="f" coordorigin="0,0" coordsize="21600,21600">
                              <v:fill on="f" color2="#FFFFFF" focus="0%"/>
                              <v:imagedata gain="65536f" blacklevel="0f" gamma="0" o:title="" r:id="rId5"/>
                              <o:lock v:ext="edit" position="f" selection="f" grouping="f" rotation="f" cropping="f" text="f" aspectratio="t"/>
                              <w10:wrap type="none"/>
                              <w10:anchorlock/>
                            </v:shape>
                          </w:pict>
                        </w:r>
                        <w:r>
                          <w:rPr>
                            <w:rFonts w:hint="eastAsia" w:hAnsi="Arial" w:cs="Arial"/>
                            <w:kern w:val="0"/>
                            <w:sz w:val="30"/>
                            <w:szCs w:val="30"/>
                          </w:rPr>
                          <w:t>不利情景出现的概率+最坏情景下财政支出数额</w:t>
                        </w:r>
                        <w:r>
                          <w:rPr>
                            <w:rFonts w:hint="eastAsia" w:ascii="仿宋_GB2312" w:hAnsi="Arial" w:eastAsia="仿宋_GB2312" w:cs="Arial"/>
                            <w:kern w:val="0"/>
                            <w:sz w:val="30"/>
                            <w:szCs w:val="30"/>
                            <w:lang w:val="en-US" w:eastAsia="zh-CN" w:bidi="ar-SA"/>
                          </w:rPr>
                          <w:pict>
                            <v:shape id="图片 10" o:spid="_x0000_s1035" type="#_x0000_t75" style="height:8.85pt;width:10.85pt;rotation:0f;" o:ole="f" fillcolor="#FFFFFF" filled="f" o:preferrelative="t" stroked="f" coordorigin="0,0" coordsize="21600,21600">
                              <v:fill on="f" color2="#FFFFFF" focus="0%"/>
                              <v:imagedata gain="65536f" blacklevel="0f" gamma="0" o:title="" r:id="rId5"/>
                              <o:lock v:ext="edit" position="f" selection="f" grouping="f" rotation="f" cropping="f" text="f" aspectratio="t"/>
                              <w10:wrap type="none"/>
                              <w10:anchorlock/>
                            </v:shape>
                          </w:pict>
                        </w:r>
                        <w:r>
                          <w:rPr>
                            <w:rFonts w:hint="eastAsia" w:hAnsi="Arial" w:cs="Arial"/>
                            <w:kern w:val="0"/>
                            <w:sz w:val="30"/>
                            <w:szCs w:val="30"/>
                          </w:rPr>
                          <w:t>最坏情景出现的概率</w:t>
                        </w:r>
                        <w:r>
                          <w:rPr>
                            <w:rFonts w:hint="eastAsia" w:ascii="Arial" w:hAnsi="Arial" w:cs="Arial"/>
                            <w:kern w:val="0"/>
                            <w:sz w:val="30"/>
                            <w:szCs w:val="30"/>
                          </w:rPr>
                          <w:t> </w:t>
                        </w:r>
                      </w:p>
                      <w:p>
                        <w:pPr>
                          <w:widowControl/>
                          <w:spacing w:before="100" w:beforeAutospacing="1" w:after="100" w:afterAutospacing="1" w:line="432" w:lineRule="auto"/>
                          <w:jc w:val="left"/>
                          <w:rPr>
                            <w:rFonts w:hAnsi="Arial" w:cs="Arial"/>
                            <w:kern w:val="0"/>
                            <w:sz w:val="30"/>
                            <w:szCs w:val="30"/>
                          </w:rPr>
                        </w:pPr>
                        <w:r>
                          <w:rPr>
                            <w:rFonts w:hint="eastAsia" w:hAnsi="Arial" w:cs="Arial"/>
                            <w:kern w:val="0"/>
                            <w:sz w:val="30"/>
                            <w:szCs w:val="30"/>
                          </w:rPr>
                          <w:t>　　概率法。在各类风险支出数额和发生概率均可进行测算的情况下，可将所有可变风险参数作为变量，根据概率分布函数，计算各种风险发生带来的风险承担支出。</w:t>
                        </w:r>
                        <w:r>
                          <w:rPr>
                            <w:rFonts w:hint="eastAsia" w:ascii="Arial" w:hAnsi="Arial" w:cs="Arial"/>
                            <w:kern w:val="0"/>
                            <w:sz w:val="30"/>
                            <w:szCs w:val="30"/>
                          </w:rPr>
                          <w:t> </w:t>
                        </w:r>
                      </w:p>
                      <w:p>
                        <w:pPr>
                          <w:widowControl/>
                          <w:spacing w:before="100" w:beforeAutospacing="1" w:after="100" w:afterAutospacing="1" w:line="432" w:lineRule="auto"/>
                          <w:jc w:val="left"/>
                          <w:rPr>
                            <w:rFonts w:hAnsi="Arial" w:cs="Arial"/>
                            <w:kern w:val="0"/>
                            <w:sz w:val="30"/>
                            <w:szCs w:val="30"/>
                          </w:rPr>
                        </w:pPr>
                        <w:r>
                          <w:rPr>
                            <w:rFonts w:hint="eastAsia" w:hAnsi="Arial" w:cs="Arial"/>
                            <w:kern w:val="0"/>
                            <w:sz w:val="30"/>
                            <w:szCs w:val="30"/>
                          </w:rPr>
                          <w:t>　　第二十二条 配套投入支出责任应综合考虑政府将提供的其他配套投入总成本和社会资本方为此支付的费用。配套投入支出责任中的土地等实物投入或无形资产投入，应依法进行评估，合理确定价值。计算公式为：</w:t>
                        </w:r>
                        <w:r>
                          <w:rPr>
                            <w:rFonts w:hint="eastAsia" w:ascii="Arial" w:hAnsi="Arial" w:cs="Arial"/>
                            <w:kern w:val="0"/>
                            <w:sz w:val="30"/>
                            <w:szCs w:val="30"/>
                          </w:rPr>
                          <w:t> </w:t>
                        </w:r>
                      </w:p>
                      <w:p>
                        <w:pPr>
                          <w:widowControl/>
                          <w:spacing w:before="100" w:beforeAutospacing="1" w:after="100" w:afterAutospacing="1" w:line="432" w:lineRule="auto"/>
                          <w:jc w:val="left"/>
                          <w:rPr>
                            <w:rFonts w:hAnsi="Arial" w:cs="Arial"/>
                            <w:kern w:val="0"/>
                            <w:sz w:val="30"/>
                            <w:szCs w:val="30"/>
                          </w:rPr>
                        </w:pPr>
                        <w:r>
                          <w:rPr>
                            <w:rFonts w:hint="eastAsia" w:hAnsi="Arial" w:cs="Arial"/>
                            <w:kern w:val="0"/>
                            <w:sz w:val="30"/>
                            <w:szCs w:val="30"/>
                          </w:rPr>
                          <w:t>　　配套投入支出数额=政府拟提供的其他投入总成本</w:t>
                        </w:r>
                        <w:r>
                          <w:rPr>
                            <w:rFonts w:hint="eastAsia" w:ascii="仿宋_GB2312" w:hAnsi="Arial" w:eastAsia="仿宋_GB2312" w:cs="Arial"/>
                            <w:kern w:val="0"/>
                            <w:sz w:val="30"/>
                            <w:szCs w:val="30"/>
                            <w:lang w:val="en-US" w:eastAsia="zh-CN" w:bidi="ar-SA"/>
                          </w:rPr>
                          <w:pict>
                            <v:shape id="图片 11" o:spid="_x0000_s1036" type="#_x0000_t75" style="height:9.5pt;width:11.55pt;rotation:0f;" o:ole="f" fillcolor="#FFFFFF" filled="f" o:preferrelative="t" stroked="f" coordorigin="0,0" coordsize="21600,21600">
                              <v:fill on="f" color2="#FFFFFF" focus="0%"/>
                              <v:imagedata gain="65536f" blacklevel="0f" gamma="0" o:title="" r:id="rId8"/>
                              <o:lock v:ext="edit" position="f" selection="f" grouping="f" rotation="f" cropping="f" text="f" aspectratio="t"/>
                              <w10:wrap type="none"/>
                              <w10:anchorlock/>
                            </v:shape>
                          </w:pict>
                        </w:r>
                        <w:r>
                          <w:rPr>
                            <w:rFonts w:hint="eastAsia" w:hAnsi="Arial" w:cs="Arial"/>
                            <w:kern w:val="0"/>
                            <w:sz w:val="30"/>
                            <w:szCs w:val="30"/>
                          </w:rPr>
                          <w:t>社会资本方支付的费用</w:t>
                        </w:r>
                        <w:r>
                          <w:rPr>
                            <w:rFonts w:hint="eastAsia" w:ascii="Arial" w:hAnsi="Arial" w:cs="Arial"/>
                            <w:kern w:val="0"/>
                            <w:sz w:val="30"/>
                            <w:szCs w:val="30"/>
                          </w:rPr>
                          <w:t> </w:t>
                        </w:r>
                      </w:p>
                      <w:p>
                        <w:pPr>
                          <w:widowControl/>
                          <w:spacing w:before="100" w:beforeAutospacing="1" w:after="100" w:afterAutospacing="1" w:line="432" w:lineRule="auto"/>
                          <w:jc w:val="center"/>
                          <w:rPr>
                            <w:rFonts w:hAnsi="Arial" w:cs="Arial"/>
                            <w:kern w:val="0"/>
                            <w:sz w:val="30"/>
                            <w:szCs w:val="30"/>
                          </w:rPr>
                        </w:pPr>
                        <w:r>
                          <w:rPr>
                            <w:rFonts w:hint="eastAsia" w:ascii="Arial" w:hAnsi="Arial" w:cs="Arial"/>
                            <w:kern w:val="0"/>
                            <w:sz w:val="30"/>
                            <w:szCs w:val="30"/>
                          </w:rPr>
                          <w:t> </w:t>
                        </w:r>
                      </w:p>
                      <w:p>
                        <w:pPr>
                          <w:widowControl/>
                          <w:spacing w:before="100" w:beforeAutospacing="1" w:after="100" w:afterAutospacing="1" w:line="432" w:lineRule="auto"/>
                          <w:jc w:val="center"/>
                          <w:rPr>
                            <w:rFonts w:hAnsi="Arial" w:cs="Arial"/>
                            <w:kern w:val="0"/>
                            <w:sz w:val="30"/>
                            <w:szCs w:val="30"/>
                          </w:rPr>
                        </w:pPr>
                        <w:r>
                          <w:rPr>
                            <w:rFonts w:hint="eastAsia" w:hAnsi="Arial" w:cs="Arial"/>
                            <w:b/>
                            <w:bCs/>
                            <w:kern w:val="0"/>
                            <w:sz w:val="30"/>
                            <w:szCs w:val="30"/>
                          </w:rPr>
                          <w:t xml:space="preserve">第四章 </w:t>
                        </w:r>
                        <w:r>
                          <w:rPr>
                            <w:rFonts w:hint="eastAsia" w:ascii="Arial" w:hAnsi="Arial" w:cs="Arial"/>
                            <w:b/>
                            <w:bCs/>
                            <w:kern w:val="0"/>
                            <w:sz w:val="30"/>
                            <w:szCs w:val="30"/>
                          </w:rPr>
                          <w:t> </w:t>
                        </w:r>
                        <w:r>
                          <w:rPr>
                            <w:rFonts w:hint="eastAsia" w:hAnsi="Arial" w:cs="Arial"/>
                            <w:b/>
                            <w:bCs/>
                            <w:kern w:val="0"/>
                            <w:sz w:val="30"/>
                            <w:szCs w:val="30"/>
                          </w:rPr>
                          <w:t>能力评估</w:t>
                        </w:r>
                        <w:r>
                          <w:rPr>
                            <w:rFonts w:hint="eastAsia" w:ascii="Arial" w:hAnsi="Arial" w:cs="Arial"/>
                            <w:kern w:val="0"/>
                            <w:sz w:val="30"/>
                            <w:szCs w:val="30"/>
                          </w:rPr>
                          <w:t>  </w:t>
                        </w:r>
                      </w:p>
                      <w:p>
                        <w:pPr>
                          <w:widowControl/>
                          <w:spacing w:before="100" w:beforeAutospacing="1" w:after="100" w:afterAutospacing="1" w:line="432" w:lineRule="auto"/>
                          <w:jc w:val="left"/>
                          <w:rPr>
                            <w:rFonts w:hAnsi="Arial" w:cs="Arial"/>
                            <w:kern w:val="0"/>
                            <w:sz w:val="30"/>
                            <w:szCs w:val="30"/>
                          </w:rPr>
                        </w:pPr>
                        <w:r>
                          <w:rPr>
                            <w:rFonts w:hint="eastAsia" w:hAnsi="Arial" w:cs="Arial"/>
                            <w:kern w:val="0"/>
                            <w:sz w:val="30"/>
                            <w:szCs w:val="30"/>
                          </w:rPr>
                          <w:t>　　第二十三条 财政部门（或PPP中心）识别和测算单个项目的财政支出责任后，汇总年度全部已实施和拟实施的PPP项目，进行财政承受能力评估。</w:t>
                        </w:r>
                        <w:r>
                          <w:rPr>
                            <w:rFonts w:hint="eastAsia" w:ascii="Arial" w:hAnsi="Arial" w:cs="Arial"/>
                            <w:kern w:val="0"/>
                            <w:sz w:val="30"/>
                            <w:szCs w:val="30"/>
                          </w:rPr>
                          <w:t> </w:t>
                        </w:r>
                      </w:p>
                      <w:p>
                        <w:pPr>
                          <w:widowControl/>
                          <w:spacing w:before="100" w:beforeAutospacing="1" w:after="100" w:afterAutospacing="1" w:line="432" w:lineRule="auto"/>
                          <w:jc w:val="left"/>
                          <w:rPr>
                            <w:rFonts w:hAnsi="Arial" w:cs="Arial"/>
                            <w:kern w:val="0"/>
                            <w:sz w:val="30"/>
                            <w:szCs w:val="30"/>
                          </w:rPr>
                        </w:pPr>
                        <w:r>
                          <w:rPr>
                            <w:rFonts w:hint="eastAsia" w:hAnsi="Arial" w:cs="Arial"/>
                            <w:kern w:val="0"/>
                            <w:sz w:val="30"/>
                            <w:szCs w:val="30"/>
                          </w:rPr>
                          <w:t>　　第二十四条 财政承受能力评估包括财政支出能力评估以及行业和领域平衡性评估。财政支出能力评估,是根据PPP项目预算支出责任，评估PPP项目实施对当前及今后年度财政支出的影响;行业和领域均衡性评估，是根据PPP模式适用的行业和领域范围，以及经济社会发展需要和公众对公共服务的需求，平衡不同行业和领域PPP项目，防止某一行业和领域PPP项目过于集中。</w:t>
                        </w:r>
                        <w:r>
                          <w:rPr>
                            <w:rFonts w:hint="eastAsia" w:ascii="Arial" w:hAnsi="Arial" w:cs="Arial"/>
                            <w:kern w:val="0"/>
                            <w:sz w:val="30"/>
                            <w:szCs w:val="30"/>
                          </w:rPr>
                          <w:t> </w:t>
                        </w:r>
                      </w:p>
                      <w:p>
                        <w:pPr>
                          <w:widowControl/>
                          <w:spacing w:before="100" w:beforeAutospacing="1" w:after="100" w:afterAutospacing="1" w:line="432" w:lineRule="auto"/>
                          <w:jc w:val="left"/>
                          <w:rPr>
                            <w:rFonts w:hAnsi="Arial" w:cs="Arial"/>
                            <w:kern w:val="0"/>
                            <w:sz w:val="30"/>
                            <w:szCs w:val="30"/>
                          </w:rPr>
                        </w:pPr>
                        <w:r>
                          <w:rPr>
                            <w:rFonts w:hint="eastAsia" w:hAnsi="Arial" w:cs="Arial"/>
                            <w:kern w:val="0"/>
                            <w:sz w:val="30"/>
                            <w:szCs w:val="30"/>
                          </w:rPr>
                          <w:t>　　第二十五条 每一年度全部PPP项目需要从预算中安排的支出责任，占一般公共预算支出比例应当不超过10%。省级财政部门可根据本地实际情况，因地制宜确定具体比例，并报财政部备案，同时对外公布。</w:t>
                        </w:r>
                        <w:r>
                          <w:rPr>
                            <w:rFonts w:hint="eastAsia" w:ascii="Arial" w:hAnsi="Arial" w:cs="Arial"/>
                            <w:kern w:val="0"/>
                            <w:sz w:val="30"/>
                            <w:szCs w:val="30"/>
                          </w:rPr>
                          <w:t> </w:t>
                        </w:r>
                      </w:p>
                      <w:p>
                        <w:pPr>
                          <w:widowControl/>
                          <w:spacing w:before="100" w:beforeAutospacing="1" w:after="100" w:afterAutospacing="1" w:line="432" w:lineRule="auto"/>
                          <w:jc w:val="left"/>
                          <w:rPr>
                            <w:rFonts w:hAnsi="Arial" w:cs="Arial"/>
                            <w:kern w:val="0"/>
                            <w:sz w:val="30"/>
                            <w:szCs w:val="30"/>
                          </w:rPr>
                        </w:pPr>
                        <w:r>
                          <w:rPr>
                            <w:rFonts w:hint="eastAsia" w:hAnsi="Arial" w:cs="Arial"/>
                            <w:kern w:val="0"/>
                            <w:sz w:val="30"/>
                            <w:szCs w:val="30"/>
                          </w:rPr>
                          <w:t>　　第二十六条 鼓励列入地方政府性债务风险预警名单的高风险地区，采取PPP模式化解地方融资平台公司存量债务。同时，审慎控制新建 PPP项目规模，防止因项目实施加剧财政收支矛盾。</w:t>
                        </w:r>
                        <w:r>
                          <w:rPr>
                            <w:rFonts w:hint="eastAsia" w:ascii="Arial" w:hAnsi="Arial" w:cs="Arial"/>
                            <w:kern w:val="0"/>
                            <w:sz w:val="30"/>
                            <w:szCs w:val="30"/>
                          </w:rPr>
                          <w:t> </w:t>
                        </w:r>
                      </w:p>
                      <w:p>
                        <w:pPr>
                          <w:widowControl/>
                          <w:spacing w:before="100" w:beforeAutospacing="1" w:after="100" w:afterAutospacing="1" w:line="432" w:lineRule="auto"/>
                          <w:jc w:val="left"/>
                          <w:rPr>
                            <w:rFonts w:hAnsi="Arial" w:cs="Arial"/>
                            <w:kern w:val="0"/>
                            <w:sz w:val="30"/>
                            <w:szCs w:val="30"/>
                          </w:rPr>
                        </w:pPr>
                        <w:r>
                          <w:rPr>
                            <w:rFonts w:hint="eastAsia" w:hAnsi="Arial" w:cs="Arial"/>
                            <w:kern w:val="0"/>
                            <w:sz w:val="30"/>
                            <w:szCs w:val="30"/>
                          </w:rPr>
                          <w:t>　　第二十七条 在进行财政支出能力评估时，未来年度一般公共预算支出数额可参照前五年相关数额的平均值及平均增长率计算，并根据实际情况进行适当调整。</w:t>
                        </w:r>
                        <w:r>
                          <w:rPr>
                            <w:rFonts w:hint="eastAsia" w:ascii="Arial" w:hAnsi="Arial" w:cs="Arial"/>
                            <w:kern w:val="0"/>
                            <w:sz w:val="30"/>
                            <w:szCs w:val="30"/>
                          </w:rPr>
                          <w:t> </w:t>
                        </w:r>
                      </w:p>
                      <w:p>
                        <w:pPr>
                          <w:widowControl/>
                          <w:spacing w:before="100" w:beforeAutospacing="1" w:after="100" w:afterAutospacing="1" w:line="432" w:lineRule="auto"/>
                          <w:jc w:val="left"/>
                          <w:rPr>
                            <w:rFonts w:hAnsi="Arial" w:cs="Arial"/>
                            <w:kern w:val="0"/>
                            <w:sz w:val="30"/>
                            <w:szCs w:val="30"/>
                          </w:rPr>
                        </w:pPr>
                        <w:r>
                          <w:rPr>
                            <w:rFonts w:hint="eastAsia" w:hAnsi="Arial" w:cs="Arial"/>
                            <w:kern w:val="0"/>
                            <w:sz w:val="30"/>
                            <w:szCs w:val="30"/>
                          </w:rPr>
                          <w:t>　　第二十八条 “通过论证”且经同级人民政府审核同意实施的PPP项目，各级财政部门应当将其列入PPP项目目录，并在编制中期财政规划时，将项目财政支出责任纳入预算统筹安排。</w:t>
                        </w:r>
                        <w:r>
                          <w:rPr>
                            <w:rFonts w:hint="eastAsia" w:ascii="Arial" w:hAnsi="Arial" w:cs="Arial"/>
                            <w:kern w:val="0"/>
                            <w:sz w:val="30"/>
                            <w:szCs w:val="30"/>
                          </w:rPr>
                          <w:t> </w:t>
                        </w:r>
                      </w:p>
                      <w:p>
                        <w:pPr>
                          <w:widowControl/>
                          <w:spacing w:before="100" w:beforeAutospacing="1" w:after="100" w:afterAutospacing="1" w:line="432" w:lineRule="auto"/>
                          <w:jc w:val="left"/>
                          <w:rPr>
                            <w:rFonts w:hAnsi="Arial" w:cs="Arial"/>
                            <w:kern w:val="0"/>
                            <w:sz w:val="30"/>
                            <w:szCs w:val="30"/>
                          </w:rPr>
                        </w:pPr>
                        <w:r>
                          <w:rPr>
                            <w:rFonts w:hint="eastAsia" w:hAnsi="Arial" w:cs="Arial"/>
                            <w:kern w:val="0"/>
                            <w:sz w:val="30"/>
                            <w:szCs w:val="30"/>
                          </w:rPr>
                          <w:t>　　第二十九条 在PPP项目正式签订合同时，财政部门（或PPP中心）应当对合同进行审核，确保合同内容与财政承受能力论证保持一致，防止因合同内容调整导致财政支出责任出现重大变化。财政部门要严格按照合同执行，及时办理支付手续，切实维护地方政府信用，保障公共服务有效供给。</w:t>
                        </w:r>
                        <w:r>
                          <w:rPr>
                            <w:rFonts w:hint="eastAsia" w:ascii="Arial" w:hAnsi="Arial" w:cs="Arial"/>
                            <w:kern w:val="0"/>
                            <w:sz w:val="30"/>
                            <w:szCs w:val="30"/>
                          </w:rPr>
                          <w:t> </w:t>
                        </w:r>
                      </w:p>
                      <w:p>
                        <w:pPr>
                          <w:widowControl/>
                          <w:spacing w:before="100" w:beforeAutospacing="1" w:after="100" w:afterAutospacing="1" w:line="432" w:lineRule="auto"/>
                          <w:jc w:val="center"/>
                          <w:rPr>
                            <w:rFonts w:hAnsi="Arial" w:cs="Arial"/>
                            <w:kern w:val="0"/>
                            <w:sz w:val="30"/>
                            <w:szCs w:val="30"/>
                          </w:rPr>
                        </w:pPr>
                        <w:r>
                          <w:rPr>
                            <w:rFonts w:hint="eastAsia" w:ascii="Arial" w:hAnsi="Arial" w:cs="Arial"/>
                            <w:kern w:val="0"/>
                            <w:sz w:val="30"/>
                            <w:szCs w:val="30"/>
                          </w:rPr>
                          <w:t> </w:t>
                        </w:r>
                      </w:p>
                      <w:p>
                        <w:pPr>
                          <w:widowControl/>
                          <w:spacing w:before="100" w:beforeAutospacing="1" w:after="100" w:afterAutospacing="1" w:line="432" w:lineRule="auto"/>
                          <w:jc w:val="center"/>
                          <w:rPr>
                            <w:rFonts w:hAnsi="Arial" w:cs="Arial"/>
                            <w:kern w:val="0"/>
                            <w:sz w:val="30"/>
                            <w:szCs w:val="30"/>
                          </w:rPr>
                        </w:pPr>
                        <w:r>
                          <w:rPr>
                            <w:rFonts w:hint="eastAsia" w:hAnsi="Arial" w:cs="Arial"/>
                            <w:b/>
                            <w:bCs/>
                            <w:kern w:val="0"/>
                            <w:sz w:val="30"/>
                            <w:szCs w:val="30"/>
                          </w:rPr>
                          <w:t xml:space="preserve">第五章 </w:t>
                        </w:r>
                        <w:r>
                          <w:rPr>
                            <w:rFonts w:hint="eastAsia" w:ascii="Arial" w:hAnsi="Arial" w:cs="Arial"/>
                            <w:b/>
                            <w:bCs/>
                            <w:kern w:val="0"/>
                            <w:sz w:val="30"/>
                            <w:szCs w:val="30"/>
                          </w:rPr>
                          <w:t> </w:t>
                        </w:r>
                        <w:r>
                          <w:rPr>
                            <w:rFonts w:hint="eastAsia" w:hAnsi="Arial" w:cs="Arial"/>
                            <w:b/>
                            <w:bCs/>
                            <w:kern w:val="0"/>
                            <w:sz w:val="30"/>
                            <w:szCs w:val="30"/>
                          </w:rPr>
                          <w:t>信息披露</w:t>
                        </w:r>
                        <w:r>
                          <w:rPr>
                            <w:rFonts w:hint="eastAsia" w:ascii="Arial" w:hAnsi="Arial" w:cs="Arial"/>
                            <w:kern w:val="0"/>
                            <w:sz w:val="30"/>
                            <w:szCs w:val="30"/>
                          </w:rPr>
                          <w:t> </w:t>
                        </w:r>
                      </w:p>
                      <w:p>
                        <w:pPr>
                          <w:widowControl/>
                          <w:spacing w:before="100" w:beforeAutospacing="1" w:after="100" w:afterAutospacing="1" w:line="432" w:lineRule="auto"/>
                          <w:jc w:val="left"/>
                          <w:rPr>
                            <w:rFonts w:hAnsi="Arial" w:cs="Arial"/>
                            <w:kern w:val="0"/>
                            <w:sz w:val="30"/>
                            <w:szCs w:val="30"/>
                          </w:rPr>
                        </w:pPr>
                        <w:r>
                          <w:rPr>
                            <w:rFonts w:hint="eastAsia" w:hAnsi="Arial" w:cs="Arial"/>
                            <w:kern w:val="0"/>
                            <w:sz w:val="30"/>
                            <w:szCs w:val="30"/>
                          </w:rPr>
                          <w:t>　　第三十条 省级财政部门应当汇总区域内的项目目录，及时向财政部报告，财政部通过统一信息平台（PPP中心网站）发布。</w:t>
                        </w:r>
                        <w:r>
                          <w:rPr>
                            <w:rFonts w:hint="eastAsia" w:ascii="Arial" w:hAnsi="Arial" w:cs="Arial"/>
                            <w:kern w:val="0"/>
                            <w:sz w:val="30"/>
                            <w:szCs w:val="30"/>
                          </w:rPr>
                          <w:t> </w:t>
                        </w:r>
                      </w:p>
                      <w:p>
                        <w:pPr>
                          <w:widowControl/>
                          <w:spacing w:before="100" w:beforeAutospacing="1" w:after="100" w:afterAutospacing="1" w:line="432" w:lineRule="auto"/>
                          <w:jc w:val="left"/>
                          <w:rPr>
                            <w:rFonts w:hAnsi="Arial" w:cs="Arial"/>
                            <w:kern w:val="0"/>
                            <w:sz w:val="30"/>
                            <w:szCs w:val="30"/>
                          </w:rPr>
                        </w:pPr>
                        <w:r>
                          <w:rPr>
                            <w:rFonts w:hint="eastAsia" w:hAnsi="Arial" w:cs="Arial"/>
                            <w:kern w:val="0"/>
                            <w:sz w:val="30"/>
                            <w:szCs w:val="30"/>
                          </w:rPr>
                          <w:t>　　第三十一条 各级财政部门（或PPP中心）应当通过官方网站及报刊媒体，每年定期披露当地PPP项目目录、项目信息及财政支出责任情况。应披露的财政支出责任信息包括：PPP项目的财政支出责任数额及年度预算安排情况、财政承受能力论证考虑的主要因素和指标等。</w:t>
                        </w:r>
                        <w:r>
                          <w:rPr>
                            <w:rFonts w:hint="eastAsia" w:ascii="Arial" w:hAnsi="Arial" w:cs="Arial"/>
                            <w:kern w:val="0"/>
                            <w:sz w:val="30"/>
                            <w:szCs w:val="30"/>
                          </w:rPr>
                          <w:t> </w:t>
                        </w:r>
                      </w:p>
                      <w:p>
                        <w:pPr>
                          <w:widowControl/>
                          <w:spacing w:before="100" w:beforeAutospacing="1" w:after="100" w:afterAutospacing="1" w:line="432" w:lineRule="auto"/>
                          <w:jc w:val="left"/>
                          <w:rPr>
                            <w:rFonts w:hAnsi="Arial" w:cs="Arial"/>
                            <w:kern w:val="0"/>
                            <w:sz w:val="30"/>
                            <w:szCs w:val="30"/>
                          </w:rPr>
                        </w:pPr>
                        <w:r>
                          <w:rPr>
                            <w:rFonts w:hint="eastAsia" w:hAnsi="Arial" w:cs="Arial"/>
                            <w:kern w:val="0"/>
                            <w:sz w:val="30"/>
                            <w:szCs w:val="30"/>
                          </w:rPr>
                          <w:t>　　第三十二条 项目实施后，各级财政部门（或PPP中心）应跟踪了解项目运营情况，包括项目使用量、成本费用、考核指标等信息，定期对外发布。</w:t>
                        </w:r>
                        <w:r>
                          <w:rPr>
                            <w:rFonts w:hint="eastAsia" w:ascii="Arial" w:hAnsi="Arial" w:cs="Arial"/>
                            <w:kern w:val="0"/>
                            <w:sz w:val="30"/>
                            <w:szCs w:val="30"/>
                          </w:rPr>
                          <w:t> </w:t>
                        </w:r>
                      </w:p>
                      <w:p>
                        <w:pPr>
                          <w:widowControl/>
                          <w:spacing w:before="100" w:beforeAutospacing="1" w:after="100" w:afterAutospacing="1" w:line="432" w:lineRule="auto"/>
                          <w:jc w:val="center"/>
                          <w:rPr>
                            <w:rFonts w:hAnsi="Arial" w:cs="Arial"/>
                            <w:kern w:val="0"/>
                            <w:sz w:val="30"/>
                            <w:szCs w:val="30"/>
                          </w:rPr>
                        </w:pPr>
                        <w:r>
                          <w:rPr>
                            <w:rFonts w:hint="eastAsia" w:ascii="Arial" w:hAnsi="Arial" w:cs="Arial"/>
                            <w:kern w:val="0"/>
                            <w:sz w:val="30"/>
                            <w:szCs w:val="30"/>
                          </w:rPr>
                          <w:t> </w:t>
                        </w:r>
                      </w:p>
                      <w:p>
                        <w:pPr>
                          <w:widowControl/>
                          <w:spacing w:before="100" w:beforeAutospacing="1" w:after="100" w:afterAutospacing="1" w:line="432" w:lineRule="auto"/>
                          <w:jc w:val="center"/>
                          <w:rPr>
                            <w:rFonts w:hAnsi="Arial" w:cs="Arial"/>
                            <w:kern w:val="0"/>
                            <w:sz w:val="30"/>
                            <w:szCs w:val="30"/>
                          </w:rPr>
                        </w:pPr>
                        <w:r>
                          <w:rPr>
                            <w:rFonts w:hint="eastAsia" w:hAnsi="Arial" w:cs="Arial"/>
                            <w:b/>
                            <w:bCs/>
                            <w:kern w:val="0"/>
                            <w:sz w:val="30"/>
                            <w:szCs w:val="30"/>
                          </w:rPr>
                          <w:t>第六章 附则</w:t>
                        </w:r>
                        <w:r>
                          <w:rPr>
                            <w:rFonts w:hint="eastAsia" w:ascii="Arial" w:hAnsi="Arial" w:cs="Arial"/>
                            <w:kern w:val="0"/>
                            <w:sz w:val="30"/>
                            <w:szCs w:val="30"/>
                          </w:rPr>
                          <w:t> </w:t>
                        </w:r>
                      </w:p>
                      <w:p>
                        <w:pPr>
                          <w:widowControl/>
                          <w:spacing w:before="100" w:beforeAutospacing="1" w:after="100" w:afterAutospacing="1" w:line="432" w:lineRule="auto"/>
                          <w:jc w:val="left"/>
                          <w:rPr>
                            <w:rFonts w:hAnsi="Arial" w:cs="Arial"/>
                            <w:kern w:val="0"/>
                            <w:sz w:val="30"/>
                            <w:szCs w:val="30"/>
                          </w:rPr>
                        </w:pPr>
                        <w:r>
                          <w:rPr>
                            <w:rFonts w:hint="eastAsia" w:hAnsi="Arial" w:cs="Arial"/>
                            <w:kern w:val="0"/>
                            <w:sz w:val="30"/>
                            <w:szCs w:val="30"/>
                          </w:rPr>
                          <w:t>　　第三十三条 财政部门按照权责发生制会计原则，对政府在PPP项目中的资产投入，以及与政府相关项目资产进行会计核算，并在政府财务统计、政府财务报告中反映；按照收付实现制会计原则，对PPP项目相关的预算收入与支出进行会计核算，并在政府决算报告中反映。</w:t>
                        </w:r>
                        <w:r>
                          <w:rPr>
                            <w:rFonts w:hint="eastAsia" w:ascii="Arial" w:hAnsi="Arial" w:cs="Arial"/>
                            <w:kern w:val="0"/>
                            <w:sz w:val="30"/>
                            <w:szCs w:val="30"/>
                          </w:rPr>
                          <w:t> </w:t>
                        </w:r>
                      </w:p>
                      <w:p>
                        <w:pPr>
                          <w:widowControl/>
                          <w:spacing w:before="100" w:beforeAutospacing="1" w:after="100" w:afterAutospacing="1" w:line="432" w:lineRule="auto"/>
                          <w:jc w:val="left"/>
                          <w:rPr>
                            <w:rFonts w:hAnsi="Arial" w:cs="Arial"/>
                            <w:kern w:val="0"/>
                            <w:sz w:val="30"/>
                            <w:szCs w:val="30"/>
                          </w:rPr>
                        </w:pPr>
                        <w:r>
                          <w:rPr>
                            <w:rFonts w:hint="eastAsia" w:hAnsi="Arial" w:cs="Arial"/>
                            <w:kern w:val="0"/>
                            <w:sz w:val="30"/>
                            <w:szCs w:val="30"/>
                          </w:rPr>
                          <w:t>　　第三十四条 本指引自印发之日起施行。</w:t>
                        </w:r>
                        <w:r>
                          <w:rPr>
                            <w:rFonts w:hint="eastAsia" w:ascii="Arial" w:hAnsi="Arial" w:cs="Arial"/>
                            <w:kern w:val="0"/>
                            <w:sz w:val="30"/>
                            <w:szCs w:val="30"/>
                          </w:rPr>
                          <w:t> </w:t>
                        </w:r>
                      </w:p>
                      <w:p>
                        <w:pPr>
                          <w:widowControl/>
                          <w:spacing w:before="100" w:beforeAutospacing="1" w:after="100" w:afterAutospacing="1" w:line="432" w:lineRule="auto"/>
                          <w:jc w:val="left"/>
                          <w:rPr>
                            <w:rFonts w:ascii="Arial" w:hAnsi="Arial" w:eastAsia="宋体" w:cs="Arial"/>
                            <w:kern w:val="0"/>
                            <w:sz w:val="22"/>
                          </w:rPr>
                        </w:pPr>
                        <w:r>
                          <w:rPr>
                            <w:rFonts w:ascii="Arial" w:hAnsi="Arial" w:eastAsia="宋体" w:cs="Arial"/>
                            <w:kern w:val="0"/>
                            <w:sz w:val="22"/>
                          </w:rPr>
                          <w:t> </w:t>
                        </w:r>
                      </w:p>
                      <w:p>
                        <w:pPr>
                          <w:widowControl/>
                          <w:spacing w:before="100" w:beforeAutospacing="1" w:after="100" w:afterAutospacing="1" w:line="432" w:lineRule="auto"/>
                          <w:jc w:val="center"/>
                          <w:rPr>
                            <w:rFonts w:ascii="Arial" w:hAnsi="Arial" w:eastAsia="宋体" w:cs="Arial"/>
                            <w:kern w:val="0"/>
                            <w:sz w:val="22"/>
                          </w:rPr>
                        </w:pPr>
                        <w:r>
                          <w:rPr>
                            <w:rFonts w:ascii="Arial" w:hAnsi="Arial" w:eastAsia="宋体" w:cs="Arial"/>
                            <w:kern w:val="0"/>
                            <w:sz w:val="22"/>
                          </w:rPr>
                          <w:t> </w:t>
                        </w:r>
                        <w:r>
                          <w:rPr>
                            <w:rFonts w:ascii="Arial" w:hAnsi="Arial" w:eastAsia="宋体" w:cs="Arial"/>
                            <w:kern w:val="0"/>
                            <w:sz w:val="22"/>
                            <w:szCs w:val="22"/>
                            <w:lang w:val="en-US" w:eastAsia="zh-CN" w:bidi="ar-SA"/>
                          </w:rPr>
                          <w:pict>
                            <v:shape id="图片 12" o:spid="_x0000_s1037" type="#_x0000_t75" style="height:540.7pt;width:368.85pt;rotation:0f;" o:ole="f" fillcolor="#FFFFFF" filled="f" o:preferrelative="t" stroked="f" coordorigin="0,0" coordsize="21600,21600">
                              <v:fill on="f" color2="#FFFFFF" focus="0%"/>
                              <v:imagedata gain="65536f" blacklevel="0f" gamma="0" o:title="" r:id="rId9"/>
                              <o:lock v:ext="edit" position="f" selection="f" grouping="f" rotation="f" cropping="f" text="f" aspectratio="t"/>
                              <w10:wrap type="none"/>
                              <w10:anchorlock/>
                            </v:shape>
                          </w:pict>
                        </w:r>
                      </w:p>
                      <w:p>
                        <w:pPr>
                          <w:widowControl/>
                          <w:spacing w:before="100" w:beforeAutospacing="1" w:after="100" w:afterAutospacing="1" w:line="432" w:lineRule="auto"/>
                          <w:jc w:val="left"/>
                          <w:rPr>
                            <w:rFonts w:ascii="Arial" w:hAnsi="Arial" w:eastAsia="宋体" w:cs="Arial"/>
                            <w:kern w:val="0"/>
                            <w:sz w:val="22"/>
                          </w:rPr>
                        </w:pPr>
                        <w:r>
                          <w:rPr>
                            <w:rFonts w:ascii="Arial" w:hAnsi="Arial" w:eastAsia="宋体" w:cs="Arial"/>
                            <w:kern w:val="0"/>
                            <w:sz w:val="22"/>
                          </w:rPr>
                          <w:t>　　  </w:t>
                        </w:r>
                      </w:p>
                      <w:p>
                        <w:pPr>
                          <w:widowControl/>
                          <w:spacing w:before="100" w:beforeAutospacing="1" w:after="100" w:afterAutospacing="1" w:line="432" w:lineRule="auto"/>
                          <w:jc w:val="left"/>
                          <w:rPr>
                            <w:rFonts w:ascii="Arial" w:hAnsi="Arial" w:eastAsia="宋体" w:cs="Arial"/>
                            <w:kern w:val="0"/>
                            <w:sz w:val="22"/>
                          </w:rPr>
                        </w:pPr>
                        <w:r>
                          <w:rPr>
                            <w:rFonts w:ascii="Arial" w:hAnsi="Arial" w:eastAsia="宋体" w:cs="Arial"/>
                            <w:kern w:val="0"/>
                            <w:sz w:val="22"/>
                          </w:rPr>
                          <w:t>　　  </w:t>
                        </w:r>
                      </w:p>
                    </w:tc>
                  </w:tr>
                </w:tbl>
                <w:p>
                  <w:pPr>
                    <w:widowControl/>
                    <w:spacing w:line="432" w:lineRule="auto"/>
                    <w:jc w:val="center"/>
                    <w:rPr>
                      <w:rFonts w:ascii="Arial" w:hAnsi="Arial" w:eastAsia="宋体" w:cs="Arial"/>
                      <w:kern w:val="0"/>
                      <w:sz w:val="16"/>
                      <w:szCs w:val="16"/>
                    </w:rPr>
                  </w:pPr>
                </w:p>
              </w:tc>
            </w:tr>
          </w:tbl>
          <w:p>
            <w:pPr>
              <w:widowControl/>
              <w:spacing w:line="432" w:lineRule="auto"/>
              <w:jc w:val="left"/>
              <w:rPr>
                <w:rFonts w:ascii="Arial" w:hAnsi="Arial" w:eastAsia="宋体" w:cs="Arial"/>
                <w:kern w:val="0"/>
                <w:sz w:val="16"/>
                <w:szCs w:val="16"/>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Calibri">
    <w:panose1 w:val="020F0502020204030204"/>
    <w:charset w:val="00"/>
    <w:family w:val="auto"/>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FC3280"/>
    <w:rsid w:val="000016ED"/>
    <w:rsid w:val="00003674"/>
    <w:rsid w:val="0000562D"/>
    <w:rsid w:val="00006EB9"/>
    <w:rsid w:val="0000729D"/>
    <w:rsid w:val="00010DE5"/>
    <w:rsid w:val="00010FA2"/>
    <w:rsid w:val="000118EE"/>
    <w:rsid w:val="00011AFC"/>
    <w:rsid w:val="00011C61"/>
    <w:rsid w:val="000149D9"/>
    <w:rsid w:val="00026C27"/>
    <w:rsid w:val="00026C65"/>
    <w:rsid w:val="00032EE3"/>
    <w:rsid w:val="000331A2"/>
    <w:rsid w:val="000331CF"/>
    <w:rsid w:val="00033C58"/>
    <w:rsid w:val="00033CFE"/>
    <w:rsid w:val="000374DA"/>
    <w:rsid w:val="0004029A"/>
    <w:rsid w:val="00045FCE"/>
    <w:rsid w:val="00046429"/>
    <w:rsid w:val="00046671"/>
    <w:rsid w:val="00056ABE"/>
    <w:rsid w:val="000605F3"/>
    <w:rsid w:val="00064BEB"/>
    <w:rsid w:val="000660C4"/>
    <w:rsid w:val="000765B9"/>
    <w:rsid w:val="00081185"/>
    <w:rsid w:val="000818B9"/>
    <w:rsid w:val="00081CF3"/>
    <w:rsid w:val="00085297"/>
    <w:rsid w:val="000857B2"/>
    <w:rsid w:val="00085D3B"/>
    <w:rsid w:val="00085FDB"/>
    <w:rsid w:val="00086F82"/>
    <w:rsid w:val="00091B87"/>
    <w:rsid w:val="000934E3"/>
    <w:rsid w:val="000939C2"/>
    <w:rsid w:val="000953A2"/>
    <w:rsid w:val="000955E9"/>
    <w:rsid w:val="000A3332"/>
    <w:rsid w:val="000A3DC4"/>
    <w:rsid w:val="000A7490"/>
    <w:rsid w:val="000B331D"/>
    <w:rsid w:val="000B33D0"/>
    <w:rsid w:val="000B3D97"/>
    <w:rsid w:val="000B4998"/>
    <w:rsid w:val="000B4B0E"/>
    <w:rsid w:val="000B5FAD"/>
    <w:rsid w:val="000B6E07"/>
    <w:rsid w:val="000B70FC"/>
    <w:rsid w:val="000B7805"/>
    <w:rsid w:val="000C56EA"/>
    <w:rsid w:val="000C7B51"/>
    <w:rsid w:val="000C7FE3"/>
    <w:rsid w:val="000D2A61"/>
    <w:rsid w:val="000D47A0"/>
    <w:rsid w:val="000D5622"/>
    <w:rsid w:val="000D61AB"/>
    <w:rsid w:val="000E048A"/>
    <w:rsid w:val="000E1AD8"/>
    <w:rsid w:val="000E2557"/>
    <w:rsid w:val="000E3312"/>
    <w:rsid w:val="000E56E2"/>
    <w:rsid w:val="000F56C0"/>
    <w:rsid w:val="000F5EF3"/>
    <w:rsid w:val="000F7BF7"/>
    <w:rsid w:val="00103CC6"/>
    <w:rsid w:val="00104BF7"/>
    <w:rsid w:val="00106FB1"/>
    <w:rsid w:val="001100A4"/>
    <w:rsid w:val="00110331"/>
    <w:rsid w:val="001103B4"/>
    <w:rsid w:val="0011086E"/>
    <w:rsid w:val="001114EF"/>
    <w:rsid w:val="00111796"/>
    <w:rsid w:val="00112CE4"/>
    <w:rsid w:val="001135F8"/>
    <w:rsid w:val="00113AC4"/>
    <w:rsid w:val="00115DF4"/>
    <w:rsid w:val="00120DCE"/>
    <w:rsid w:val="00125757"/>
    <w:rsid w:val="00125B51"/>
    <w:rsid w:val="00127223"/>
    <w:rsid w:val="00127620"/>
    <w:rsid w:val="0013290D"/>
    <w:rsid w:val="001349BD"/>
    <w:rsid w:val="00135D56"/>
    <w:rsid w:val="00135FBE"/>
    <w:rsid w:val="001360D3"/>
    <w:rsid w:val="00141728"/>
    <w:rsid w:val="00141A4E"/>
    <w:rsid w:val="00141FA4"/>
    <w:rsid w:val="00146A10"/>
    <w:rsid w:val="00146FC6"/>
    <w:rsid w:val="00160D42"/>
    <w:rsid w:val="00163A2F"/>
    <w:rsid w:val="001660F8"/>
    <w:rsid w:val="00166EF1"/>
    <w:rsid w:val="00170346"/>
    <w:rsid w:val="00172109"/>
    <w:rsid w:val="00172FE7"/>
    <w:rsid w:val="00175A02"/>
    <w:rsid w:val="00175FFB"/>
    <w:rsid w:val="00176EC6"/>
    <w:rsid w:val="00177826"/>
    <w:rsid w:val="001810D3"/>
    <w:rsid w:val="00181727"/>
    <w:rsid w:val="00182F82"/>
    <w:rsid w:val="0018795D"/>
    <w:rsid w:val="001911CA"/>
    <w:rsid w:val="001928A1"/>
    <w:rsid w:val="0019796C"/>
    <w:rsid w:val="001A756B"/>
    <w:rsid w:val="001B1B6E"/>
    <w:rsid w:val="001B1FC2"/>
    <w:rsid w:val="001B2FE4"/>
    <w:rsid w:val="001B5618"/>
    <w:rsid w:val="001B6DFB"/>
    <w:rsid w:val="001C1D37"/>
    <w:rsid w:val="001C2DB5"/>
    <w:rsid w:val="001C30D4"/>
    <w:rsid w:val="001C461F"/>
    <w:rsid w:val="001D14E3"/>
    <w:rsid w:val="001E03DC"/>
    <w:rsid w:val="001E3234"/>
    <w:rsid w:val="001E3F44"/>
    <w:rsid w:val="001E7E58"/>
    <w:rsid w:val="001F08E9"/>
    <w:rsid w:val="001F3938"/>
    <w:rsid w:val="001F52EA"/>
    <w:rsid w:val="00200246"/>
    <w:rsid w:val="00204265"/>
    <w:rsid w:val="0020655C"/>
    <w:rsid w:val="00211109"/>
    <w:rsid w:val="00211341"/>
    <w:rsid w:val="00211409"/>
    <w:rsid w:val="00212919"/>
    <w:rsid w:val="00214D84"/>
    <w:rsid w:val="002150EC"/>
    <w:rsid w:val="0021703B"/>
    <w:rsid w:val="00217BE2"/>
    <w:rsid w:val="00222F75"/>
    <w:rsid w:val="002234E1"/>
    <w:rsid w:val="00223DA2"/>
    <w:rsid w:val="00224C7D"/>
    <w:rsid w:val="002252CD"/>
    <w:rsid w:val="00230EBC"/>
    <w:rsid w:val="00234471"/>
    <w:rsid w:val="00234A0B"/>
    <w:rsid w:val="002446DE"/>
    <w:rsid w:val="002474DB"/>
    <w:rsid w:val="0025047E"/>
    <w:rsid w:val="0025704A"/>
    <w:rsid w:val="002605A3"/>
    <w:rsid w:val="00261DC4"/>
    <w:rsid w:val="00263DE2"/>
    <w:rsid w:val="002654EC"/>
    <w:rsid w:val="002663F0"/>
    <w:rsid w:val="00271C8D"/>
    <w:rsid w:val="002728D3"/>
    <w:rsid w:val="00273955"/>
    <w:rsid w:val="00275450"/>
    <w:rsid w:val="00277FF8"/>
    <w:rsid w:val="00281F92"/>
    <w:rsid w:val="002837A2"/>
    <w:rsid w:val="00285075"/>
    <w:rsid w:val="002878F2"/>
    <w:rsid w:val="002919CE"/>
    <w:rsid w:val="002923C1"/>
    <w:rsid w:val="0029264F"/>
    <w:rsid w:val="0029324E"/>
    <w:rsid w:val="002936A1"/>
    <w:rsid w:val="00297A5C"/>
    <w:rsid w:val="002A0F03"/>
    <w:rsid w:val="002A2AFD"/>
    <w:rsid w:val="002A3E70"/>
    <w:rsid w:val="002B2A74"/>
    <w:rsid w:val="002B3CC4"/>
    <w:rsid w:val="002B5030"/>
    <w:rsid w:val="002B6AFF"/>
    <w:rsid w:val="002B7CBB"/>
    <w:rsid w:val="002C5AE0"/>
    <w:rsid w:val="002C69B7"/>
    <w:rsid w:val="002C7D54"/>
    <w:rsid w:val="002D03E0"/>
    <w:rsid w:val="002D3919"/>
    <w:rsid w:val="002D622C"/>
    <w:rsid w:val="002F61BE"/>
    <w:rsid w:val="002F677E"/>
    <w:rsid w:val="00302B13"/>
    <w:rsid w:val="0030741E"/>
    <w:rsid w:val="00307D65"/>
    <w:rsid w:val="00311835"/>
    <w:rsid w:val="00311F7D"/>
    <w:rsid w:val="00313B04"/>
    <w:rsid w:val="00314CAB"/>
    <w:rsid w:val="00315BC3"/>
    <w:rsid w:val="00316295"/>
    <w:rsid w:val="003207FD"/>
    <w:rsid w:val="003211C9"/>
    <w:rsid w:val="00322A75"/>
    <w:rsid w:val="00324419"/>
    <w:rsid w:val="00326F79"/>
    <w:rsid w:val="0033023A"/>
    <w:rsid w:val="0033093F"/>
    <w:rsid w:val="00331561"/>
    <w:rsid w:val="00333AA9"/>
    <w:rsid w:val="0033586D"/>
    <w:rsid w:val="00337123"/>
    <w:rsid w:val="00337E3B"/>
    <w:rsid w:val="003426B9"/>
    <w:rsid w:val="003429B3"/>
    <w:rsid w:val="0035180A"/>
    <w:rsid w:val="00351927"/>
    <w:rsid w:val="00352663"/>
    <w:rsid w:val="00352902"/>
    <w:rsid w:val="00352C0C"/>
    <w:rsid w:val="00353855"/>
    <w:rsid w:val="00353D9F"/>
    <w:rsid w:val="003627EB"/>
    <w:rsid w:val="00363736"/>
    <w:rsid w:val="0036596A"/>
    <w:rsid w:val="00365D10"/>
    <w:rsid w:val="00367B0B"/>
    <w:rsid w:val="0037158D"/>
    <w:rsid w:val="0037166D"/>
    <w:rsid w:val="00373807"/>
    <w:rsid w:val="00374437"/>
    <w:rsid w:val="0038098B"/>
    <w:rsid w:val="003835E1"/>
    <w:rsid w:val="00383910"/>
    <w:rsid w:val="00385E21"/>
    <w:rsid w:val="00385EC5"/>
    <w:rsid w:val="003867DB"/>
    <w:rsid w:val="00392810"/>
    <w:rsid w:val="00394C2B"/>
    <w:rsid w:val="003950A7"/>
    <w:rsid w:val="003A235C"/>
    <w:rsid w:val="003A362E"/>
    <w:rsid w:val="003A4661"/>
    <w:rsid w:val="003A5011"/>
    <w:rsid w:val="003A77BF"/>
    <w:rsid w:val="003B3472"/>
    <w:rsid w:val="003B4C6C"/>
    <w:rsid w:val="003B4C8E"/>
    <w:rsid w:val="003B5380"/>
    <w:rsid w:val="003C4015"/>
    <w:rsid w:val="003C4467"/>
    <w:rsid w:val="003D1428"/>
    <w:rsid w:val="003D36B8"/>
    <w:rsid w:val="003D37B4"/>
    <w:rsid w:val="003D4CB6"/>
    <w:rsid w:val="003D7C5D"/>
    <w:rsid w:val="003F1A33"/>
    <w:rsid w:val="003F1CC0"/>
    <w:rsid w:val="003F58FE"/>
    <w:rsid w:val="003F6C69"/>
    <w:rsid w:val="003F7436"/>
    <w:rsid w:val="00400914"/>
    <w:rsid w:val="00410AA1"/>
    <w:rsid w:val="00410C3E"/>
    <w:rsid w:val="0041664E"/>
    <w:rsid w:val="00422FB9"/>
    <w:rsid w:val="00425754"/>
    <w:rsid w:val="00426086"/>
    <w:rsid w:val="0043137A"/>
    <w:rsid w:val="004337E6"/>
    <w:rsid w:val="00437EF3"/>
    <w:rsid w:val="00440D74"/>
    <w:rsid w:val="0044135C"/>
    <w:rsid w:val="004416BE"/>
    <w:rsid w:val="00444AA9"/>
    <w:rsid w:val="004454D2"/>
    <w:rsid w:val="00445FE9"/>
    <w:rsid w:val="00447FF0"/>
    <w:rsid w:val="004571F1"/>
    <w:rsid w:val="004615B7"/>
    <w:rsid w:val="00462EFA"/>
    <w:rsid w:val="004663D1"/>
    <w:rsid w:val="004664DE"/>
    <w:rsid w:val="00467067"/>
    <w:rsid w:val="004702B8"/>
    <w:rsid w:val="00471C35"/>
    <w:rsid w:val="00473B55"/>
    <w:rsid w:val="0047570E"/>
    <w:rsid w:val="00475A09"/>
    <w:rsid w:val="00480F44"/>
    <w:rsid w:val="004824CA"/>
    <w:rsid w:val="00482652"/>
    <w:rsid w:val="00482FA0"/>
    <w:rsid w:val="00490B73"/>
    <w:rsid w:val="00491277"/>
    <w:rsid w:val="0049133A"/>
    <w:rsid w:val="004A5CCF"/>
    <w:rsid w:val="004A7ABB"/>
    <w:rsid w:val="004B3D3A"/>
    <w:rsid w:val="004B403B"/>
    <w:rsid w:val="004B438B"/>
    <w:rsid w:val="004C0410"/>
    <w:rsid w:val="004C2404"/>
    <w:rsid w:val="004C2D24"/>
    <w:rsid w:val="004C2FDE"/>
    <w:rsid w:val="004C4C99"/>
    <w:rsid w:val="004C6427"/>
    <w:rsid w:val="004C703A"/>
    <w:rsid w:val="004D08D7"/>
    <w:rsid w:val="004E3F95"/>
    <w:rsid w:val="004F0076"/>
    <w:rsid w:val="004F0D58"/>
    <w:rsid w:val="004F314E"/>
    <w:rsid w:val="004F5006"/>
    <w:rsid w:val="004F57D5"/>
    <w:rsid w:val="004F69C8"/>
    <w:rsid w:val="004F74D6"/>
    <w:rsid w:val="00503986"/>
    <w:rsid w:val="00504A4A"/>
    <w:rsid w:val="00511EE3"/>
    <w:rsid w:val="005209DE"/>
    <w:rsid w:val="005253E9"/>
    <w:rsid w:val="005254DE"/>
    <w:rsid w:val="00526E09"/>
    <w:rsid w:val="00527791"/>
    <w:rsid w:val="00530323"/>
    <w:rsid w:val="00530A88"/>
    <w:rsid w:val="00531DB7"/>
    <w:rsid w:val="00534388"/>
    <w:rsid w:val="00535222"/>
    <w:rsid w:val="005370F8"/>
    <w:rsid w:val="00537472"/>
    <w:rsid w:val="005445BE"/>
    <w:rsid w:val="00545B2E"/>
    <w:rsid w:val="00547B2F"/>
    <w:rsid w:val="00551B3F"/>
    <w:rsid w:val="005525FF"/>
    <w:rsid w:val="00563B92"/>
    <w:rsid w:val="005658F9"/>
    <w:rsid w:val="0056610E"/>
    <w:rsid w:val="00567409"/>
    <w:rsid w:val="00570951"/>
    <w:rsid w:val="00570AE4"/>
    <w:rsid w:val="005734A2"/>
    <w:rsid w:val="00574ABF"/>
    <w:rsid w:val="005827B4"/>
    <w:rsid w:val="00582F60"/>
    <w:rsid w:val="005862EC"/>
    <w:rsid w:val="0059321B"/>
    <w:rsid w:val="0059418C"/>
    <w:rsid w:val="00595765"/>
    <w:rsid w:val="00596169"/>
    <w:rsid w:val="005962DC"/>
    <w:rsid w:val="005A603F"/>
    <w:rsid w:val="005B09C3"/>
    <w:rsid w:val="005B10CA"/>
    <w:rsid w:val="005B3951"/>
    <w:rsid w:val="005B42DD"/>
    <w:rsid w:val="005B7786"/>
    <w:rsid w:val="005C0346"/>
    <w:rsid w:val="005C4281"/>
    <w:rsid w:val="005C56B3"/>
    <w:rsid w:val="005C624B"/>
    <w:rsid w:val="005C7637"/>
    <w:rsid w:val="005D1D71"/>
    <w:rsid w:val="005D3D08"/>
    <w:rsid w:val="005D598A"/>
    <w:rsid w:val="005D614E"/>
    <w:rsid w:val="005E6BC0"/>
    <w:rsid w:val="005F7340"/>
    <w:rsid w:val="00600DA0"/>
    <w:rsid w:val="00601E36"/>
    <w:rsid w:val="0060264C"/>
    <w:rsid w:val="00603A5C"/>
    <w:rsid w:val="00604C85"/>
    <w:rsid w:val="00611BE6"/>
    <w:rsid w:val="00615E05"/>
    <w:rsid w:val="00616C29"/>
    <w:rsid w:val="006175BE"/>
    <w:rsid w:val="00620703"/>
    <w:rsid w:val="00621916"/>
    <w:rsid w:val="006225C9"/>
    <w:rsid w:val="00622929"/>
    <w:rsid w:val="00622E38"/>
    <w:rsid w:val="00624B67"/>
    <w:rsid w:val="00625C85"/>
    <w:rsid w:val="006269A1"/>
    <w:rsid w:val="00627AD6"/>
    <w:rsid w:val="00627D6F"/>
    <w:rsid w:val="00634E73"/>
    <w:rsid w:val="006351CA"/>
    <w:rsid w:val="00635958"/>
    <w:rsid w:val="00635CBD"/>
    <w:rsid w:val="00636A11"/>
    <w:rsid w:val="00645917"/>
    <w:rsid w:val="00646326"/>
    <w:rsid w:val="0064747E"/>
    <w:rsid w:val="00650A8B"/>
    <w:rsid w:val="006517E0"/>
    <w:rsid w:val="0065364D"/>
    <w:rsid w:val="00662E6A"/>
    <w:rsid w:val="00662FC1"/>
    <w:rsid w:val="00663C7F"/>
    <w:rsid w:val="00664077"/>
    <w:rsid w:val="00664916"/>
    <w:rsid w:val="00665DAF"/>
    <w:rsid w:val="00667B30"/>
    <w:rsid w:val="006805F1"/>
    <w:rsid w:val="00683968"/>
    <w:rsid w:val="006843C5"/>
    <w:rsid w:val="006856EA"/>
    <w:rsid w:val="00685C56"/>
    <w:rsid w:val="0068602D"/>
    <w:rsid w:val="00686B59"/>
    <w:rsid w:val="006908D0"/>
    <w:rsid w:val="00690C88"/>
    <w:rsid w:val="00695963"/>
    <w:rsid w:val="006A4469"/>
    <w:rsid w:val="006A6E39"/>
    <w:rsid w:val="006B2F31"/>
    <w:rsid w:val="006C0510"/>
    <w:rsid w:val="006C2091"/>
    <w:rsid w:val="006C40B4"/>
    <w:rsid w:val="006C5D8D"/>
    <w:rsid w:val="006C71D9"/>
    <w:rsid w:val="006D0916"/>
    <w:rsid w:val="006D2B8C"/>
    <w:rsid w:val="006D5698"/>
    <w:rsid w:val="006E1BAA"/>
    <w:rsid w:val="006E213C"/>
    <w:rsid w:val="006E5317"/>
    <w:rsid w:val="006E63E4"/>
    <w:rsid w:val="006E761A"/>
    <w:rsid w:val="006F3B7E"/>
    <w:rsid w:val="00700006"/>
    <w:rsid w:val="00702D1B"/>
    <w:rsid w:val="00704E9D"/>
    <w:rsid w:val="007102A4"/>
    <w:rsid w:val="00714BDF"/>
    <w:rsid w:val="00723C76"/>
    <w:rsid w:val="00731AE7"/>
    <w:rsid w:val="00731D8D"/>
    <w:rsid w:val="00731DEA"/>
    <w:rsid w:val="0073558E"/>
    <w:rsid w:val="00736ABB"/>
    <w:rsid w:val="00737E2A"/>
    <w:rsid w:val="00740C08"/>
    <w:rsid w:val="00741BF2"/>
    <w:rsid w:val="0074333F"/>
    <w:rsid w:val="007435B6"/>
    <w:rsid w:val="00744104"/>
    <w:rsid w:val="0075237E"/>
    <w:rsid w:val="007529A9"/>
    <w:rsid w:val="00752F8D"/>
    <w:rsid w:val="00754784"/>
    <w:rsid w:val="00761BD4"/>
    <w:rsid w:val="0077447E"/>
    <w:rsid w:val="00781762"/>
    <w:rsid w:val="00781FA6"/>
    <w:rsid w:val="00782C2C"/>
    <w:rsid w:val="007834B4"/>
    <w:rsid w:val="007838A7"/>
    <w:rsid w:val="00790262"/>
    <w:rsid w:val="00790540"/>
    <w:rsid w:val="00792AF2"/>
    <w:rsid w:val="00792BF4"/>
    <w:rsid w:val="00797158"/>
    <w:rsid w:val="007A1AB6"/>
    <w:rsid w:val="007A7A32"/>
    <w:rsid w:val="007B0CD0"/>
    <w:rsid w:val="007B1220"/>
    <w:rsid w:val="007B3874"/>
    <w:rsid w:val="007B4A05"/>
    <w:rsid w:val="007C2F23"/>
    <w:rsid w:val="007C3E07"/>
    <w:rsid w:val="007C52CB"/>
    <w:rsid w:val="007D0886"/>
    <w:rsid w:val="007D2301"/>
    <w:rsid w:val="007D390D"/>
    <w:rsid w:val="007D5B83"/>
    <w:rsid w:val="007D78ED"/>
    <w:rsid w:val="007E0D73"/>
    <w:rsid w:val="007E16BA"/>
    <w:rsid w:val="007E3883"/>
    <w:rsid w:val="007E406F"/>
    <w:rsid w:val="007E50F9"/>
    <w:rsid w:val="007E5C01"/>
    <w:rsid w:val="007F0704"/>
    <w:rsid w:val="007F4C74"/>
    <w:rsid w:val="007F5A95"/>
    <w:rsid w:val="008047CF"/>
    <w:rsid w:val="0080497C"/>
    <w:rsid w:val="00805037"/>
    <w:rsid w:val="008051AC"/>
    <w:rsid w:val="00807720"/>
    <w:rsid w:val="00810EFA"/>
    <w:rsid w:val="008114C4"/>
    <w:rsid w:val="008151B9"/>
    <w:rsid w:val="00817C25"/>
    <w:rsid w:val="008236CD"/>
    <w:rsid w:val="00827A3D"/>
    <w:rsid w:val="00827D9E"/>
    <w:rsid w:val="00832AF2"/>
    <w:rsid w:val="008355C5"/>
    <w:rsid w:val="00835C89"/>
    <w:rsid w:val="008373FE"/>
    <w:rsid w:val="0083757C"/>
    <w:rsid w:val="008418A1"/>
    <w:rsid w:val="00846D88"/>
    <w:rsid w:val="0084737F"/>
    <w:rsid w:val="00847AA1"/>
    <w:rsid w:val="00850830"/>
    <w:rsid w:val="00850C38"/>
    <w:rsid w:val="0085238C"/>
    <w:rsid w:val="00853C3A"/>
    <w:rsid w:val="0085419F"/>
    <w:rsid w:val="00855384"/>
    <w:rsid w:val="00860EB2"/>
    <w:rsid w:val="00861607"/>
    <w:rsid w:val="00870C11"/>
    <w:rsid w:val="0087271E"/>
    <w:rsid w:val="00872E29"/>
    <w:rsid w:val="0087311E"/>
    <w:rsid w:val="00874294"/>
    <w:rsid w:val="00875691"/>
    <w:rsid w:val="008830D3"/>
    <w:rsid w:val="00883D65"/>
    <w:rsid w:val="00891B18"/>
    <w:rsid w:val="00893B30"/>
    <w:rsid w:val="008961DC"/>
    <w:rsid w:val="008967DE"/>
    <w:rsid w:val="00897B0A"/>
    <w:rsid w:val="008A1838"/>
    <w:rsid w:val="008A5C9D"/>
    <w:rsid w:val="008A716E"/>
    <w:rsid w:val="008A7994"/>
    <w:rsid w:val="008B08C8"/>
    <w:rsid w:val="008B2830"/>
    <w:rsid w:val="008B4922"/>
    <w:rsid w:val="008B580D"/>
    <w:rsid w:val="008B6C5E"/>
    <w:rsid w:val="008C3793"/>
    <w:rsid w:val="008C57E5"/>
    <w:rsid w:val="008C6D6E"/>
    <w:rsid w:val="008D2E35"/>
    <w:rsid w:val="008E0D8B"/>
    <w:rsid w:val="008E42B0"/>
    <w:rsid w:val="008E6C47"/>
    <w:rsid w:val="008E72E3"/>
    <w:rsid w:val="008F3D9D"/>
    <w:rsid w:val="008F4078"/>
    <w:rsid w:val="008F40CE"/>
    <w:rsid w:val="008F6264"/>
    <w:rsid w:val="008F747A"/>
    <w:rsid w:val="00903434"/>
    <w:rsid w:val="0090501C"/>
    <w:rsid w:val="00906412"/>
    <w:rsid w:val="00907620"/>
    <w:rsid w:val="009102B2"/>
    <w:rsid w:val="00911F56"/>
    <w:rsid w:val="00912E42"/>
    <w:rsid w:val="00913997"/>
    <w:rsid w:val="00913A4F"/>
    <w:rsid w:val="00914D25"/>
    <w:rsid w:val="00917A7C"/>
    <w:rsid w:val="00923FBB"/>
    <w:rsid w:val="00924B02"/>
    <w:rsid w:val="00927537"/>
    <w:rsid w:val="00930FAF"/>
    <w:rsid w:val="00932C86"/>
    <w:rsid w:val="00934AD2"/>
    <w:rsid w:val="00942938"/>
    <w:rsid w:val="00951952"/>
    <w:rsid w:val="00951F24"/>
    <w:rsid w:val="00954F3C"/>
    <w:rsid w:val="009579C7"/>
    <w:rsid w:val="00960C42"/>
    <w:rsid w:val="0096441F"/>
    <w:rsid w:val="00965CF2"/>
    <w:rsid w:val="0096607F"/>
    <w:rsid w:val="00967D9C"/>
    <w:rsid w:val="0097343E"/>
    <w:rsid w:val="00975C4C"/>
    <w:rsid w:val="00977ABD"/>
    <w:rsid w:val="0098060D"/>
    <w:rsid w:val="00981291"/>
    <w:rsid w:val="0098260A"/>
    <w:rsid w:val="00985CDA"/>
    <w:rsid w:val="00993044"/>
    <w:rsid w:val="0099334E"/>
    <w:rsid w:val="00993423"/>
    <w:rsid w:val="00993DA3"/>
    <w:rsid w:val="009A0316"/>
    <w:rsid w:val="009A4A3E"/>
    <w:rsid w:val="009A69E1"/>
    <w:rsid w:val="009A6BED"/>
    <w:rsid w:val="009B3609"/>
    <w:rsid w:val="009B3EAD"/>
    <w:rsid w:val="009B528C"/>
    <w:rsid w:val="009B78FC"/>
    <w:rsid w:val="009C18F1"/>
    <w:rsid w:val="009C4E84"/>
    <w:rsid w:val="009D69B0"/>
    <w:rsid w:val="009E0020"/>
    <w:rsid w:val="009E01C9"/>
    <w:rsid w:val="009E0F9D"/>
    <w:rsid w:val="009E1CA5"/>
    <w:rsid w:val="009E65C2"/>
    <w:rsid w:val="009F1080"/>
    <w:rsid w:val="009F4024"/>
    <w:rsid w:val="009F46BE"/>
    <w:rsid w:val="009F5BA3"/>
    <w:rsid w:val="00A00249"/>
    <w:rsid w:val="00A033E7"/>
    <w:rsid w:val="00A05E35"/>
    <w:rsid w:val="00A10146"/>
    <w:rsid w:val="00A110B3"/>
    <w:rsid w:val="00A15906"/>
    <w:rsid w:val="00A15CDF"/>
    <w:rsid w:val="00A2007C"/>
    <w:rsid w:val="00A21F36"/>
    <w:rsid w:val="00A24653"/>
    <w:rsid w:val="00A26A40"/>
    <w:rsid w:val="00A30B94"/>
    <w:rsid w:val="00A31F12"/>
    <w:rsid w:val="00A34B2B"/>
    <w:rsid w:val="00A41FB2"/>
    <w:rsid w:val="00A42149"/>
    <w:rsid w:val="00A44E30"/>
    <w:rsid w:val="00A53F7F"/>
    <w:rsid w:val="00A5429B"/>
    <w:rsid w:val="00A54376"/>
    <w:rsid w:val="00A544FD"/>
    <w:rsid w:val="00A54B1B"/>
    <w:rsid w:val="00A563A0"/>
    <w:rsid w:val="00A62BD3"/>
    <w:rsid w:val="00A649C7"/>
    <w:rsid w:val="00A64F14"/>
    <w:rsid w:val="00A65F70"/>
    <w:rsid w:val="00A71634"/>
    <w:rsid w:val="00A71CA8"/>
    <w:rsid w:val="00A7300B"/>
    <w:rsid w:val="00A730E6"/>
    <w:rsid w:val="00A750D4"/>
    <w:rsid w:val="00A75620"/>
    <w:rsid w:val="00A80227"/>
    <w:rsid w:val="00A80B29"/>
    <w:rsid w:val="00A824A0"/>
    <w:rsid w:val="00A82732"/>
    <w:rsid w:val="00A82E0D"/>
    <w:rsid w:val="00A8503A"/>
    <w:rsid w:val="00A8566B"/>
    <w:rsid w:val="00A9025E"/>
    <w:rsid w:val="00A91312"/>
    <w:rsid w:val="00A91610"/>
    <w:rsid w:val="00A91A8F"/>
    <w:rsid w:val="00A94673"/>
    <w:rsid w:val="00A954F6"/>
    <w:rsid w:val="00A96296"/>
    <w:rsid w:val="00A975C8"/>
    <w:rsid w:val="00AA1DD1"/>
    <w:rsid w:val="00AA1E1F"/>
    <w:rsid w:val="00AA2C86"/>
    <w:rsid w:val="00AA53A5"/>
    <w:rsid w:val="00AA6123"/>
    <w:rsid w:val="00AA6353"/>
    <w:rsid w:val="00AA692C"/>
    <w:rsid w:val="00AB29F9"/>
    <w:rsid w:val="00AB48AF"/>
    <w:rsid w:val="00AB591E"/>
    <w:rsid w:val="00AB78A8"/>
    <w:rsid w:val="00AC2917"/>
    <w:rsid w:val="00AC3CD4"/>
    <w:rsid w:val="00AC3CF7"/>
    <w:rsid w:val="00AC5160"/>
    <w:rsid w:val="00AC6523"/>
    <w:rsid w:val="00AD594E"/>
    <w:rsid w:val="00AD7970"/>
    <w:rsid w:val="00AE06B8"/>
    <w:rsid w:val="00AE0CFA"/>
    <w:rsid w:val="00AE0FBA"/>
    <w:rsid w:val="00AE275A"/>
    <w:rsid w:val="00AE4518"/>
    <w:rsid w:val="00AE45D2"/>
    <w:rsid w:val="00AE5623"/>
    <w:rsid w:val="00AE586B"/>
    <w:rsid w:val="00AE67DD"/>
    <w:rsid w:val="00AE6C6C"/>
    <w:rsid w:val="00AF06DB"/>
    <w:rsid w:val="00AF2D04"/>
    <w:rsid w:val="00AF4420"/>
    <w:rsid w:val="00B00592"/>
    <w:rsid w:val="00B02F99"/>
    <w:rsid w:val="00B0326B"/>
    <w:rsid w:val="00B03608"/>
    <w:rsid w:val="00B0482B"/>
    <w:rsid w:val="00B057FC"/>
    <w:rsid w:val="00B05E6D"/>
    <w:rsid w:val="00B10888"/>
    <w:rsid w:val="00B11BC9"/>
    <w:rsid w:val="00B1247F"/>
    <w:rsid w:val="00B16753"/>
    <w:rsid w:val="00B207E5"/>
    <w:rsid w:val="00B22156"/>
    <w:rsid w:val="00B3200E"/>
    <w:rsid w:val="00B379DF"/>
    <w:rsid w:val="00B40924"/>
    <w:rsid w:val="00B41E93"/>
    <w:rsid w:val="00B42D40"/>
    <w:rsid w:val="00B4562A"/>
    <w:rsid w:val="00B45D92"/>
    <w:rsid w:val="00B45FD8"/>
    <w:rsid w:val="00B47BDE"/>
    <w:rsid w:val="00B60B8A"/>
    <w:rsid w:val="00B6211A"/>
    <w:rsid w:val="00B622F6"/>
    <w:rsid w:val="00B62E33"/>
    <w:rsid w:val="00B64DEA"/>
    <w:rsid w:val="00B6567E"/>
    <w:rsid w:val="00B666A5"/>
    <w:rsid w:val="00B66F3A"/>
    <w:rsid w:val="00B67B0D"/>
    <w:rsid w:val="00B67E53"/>
    <w:rsid w:val="00B72806"/>
    <w:rsid w:val="00B74251"/>
    <w:rsid w:val="00B805CF"/>
    <w:rsid w:val="00B80881"/>
    <w:rsid w:val="00B82E12"/>
    <w:rsid w:val="00B875CD"/>
    <w:rsid w:val="00B90EAB"/>
    <w:rsid w:val="00B910E1"/>
    <w:rsid w:val="00B921F4"/>
    <w:rsid w:val="00B94293"/>
    <w:rsid w:val="00B9490D"/>
    <w:rsid w:val="00B9534B"/>
    <w:rsid w:val="00B972CD"/>
    <w:rsid w:val="00BA248F"/>
    <w:rsid w:val="00BA651C"/>
    <w:rsid w:val="00BB0F42"/>
    <w:rsid w:val="00BB129C"/>
    <w:rsid w:val="00BB2E95"/>
    <w:rsid w:val="00BB339C"/>
    <w:rsid w:val="00BB4D05"/>
    <w:rsid w:val="00BB54D3"/>
    <w:rsid w:val="00BB69AA"/>
    <w:rsid w:val="00BC08C5"/>
    <w:rsid w:val="00BC2375"/>
    <w:rsid w:val="00BC33EB"/>
    <w:rsid w:val="00BC603D"/>
    <w:rsid w:val="00BC710D"/>
    <w:rsid w:val="00BC78F0"/>
    <w:rsid w:val="00BD35E9"/>
    <w:rsid w:val="00BD697F"/>
    <w:rsid w:val="00BE3148"/>
    <w:rsid w:val="00BE3AED"/>
    <w:rsid w:val="00BE42EE"/>
    <w:rsid w:val="00BF5DFD"/>
    <w:rsid w:val="00BF60C8"/>
    <w:rsid w:val="00BF6273"/>
    <w:rsid w:val="00BF6ED9"/>
    <w:rsid w:val="00BF6EE2"/>
    <w:rsid w:val="00BF7DDE"/>
    <w:rsid w:val="00C0452C"/>
    <w:rsid w:val="00C04F13"/>
    <w:rsid w:val="00C05DDF"/>
    <w:rsid w:val="00C0674E"/>
    <w:rsid w:val="00C12044"/>
    <w:rsid w:val="00C120C4"/>
    <w:rsid w:val="00C12399"/>
    <w:rsid w:val="00C13A1F"/>
    <w:rsid w:val="00C15EBF"/>
    <w:rsid w:val="00C276B1"/>
    <w:rsid w:val="00C31910"/>
    <w:rsid w:val="00C3315C"/>
    <w:rsid w:val="00C33217"/>
    <w:rsid w:val="00C33B01"/>
    <w:rsid w:val="00C36234"/>
    <w:rsid w:val="00C446DF"/>
    <w:rsid w:val="00C506A4"/>
    <w:rsid w:val="00C52FA0"/>
    <w:rsid w:val="00C62B5F"/>
    <w:rsid w:val="00C63E0F"/>
    <w:rsid w:val="00C651D6"/>
    <w:rsid w:val="00C6749F"/>
    <w:rsid w:val="00C700A6"/>
    <w:rsid w:val="00C74042"/>
    <w:rsid w:val="00C7612E"/>
    <w:rsid w:val="00C82D2E"/>
    <w:rsid w:val="00C84CCB"/>
    <w:rsid w:val="00C86142"/>
    <w:rsid w:val="00C92315"/>
    <w:rsid w:val="00C950E6"/>
    <w:rsid w:val="00C95832"/>
    <w:rsid w:val="00C95E1C"/>
    <w:rsid w:val="00C96E88"/>
    <w:rsid w:val="00C97890"/>
    <w:rsid w:val="00CA0C0B"/>
    <w:rsid w:val="00CA2184"/>
    <w:rsid w:val="00CA4E12"/>
    <w:rsid w:val="00CA7415"/>
    <w:rsid w:val="00CB2F1B"/>
    <w:rsid w:val="00CB320F"/>
    <w:rsid w:val="00CB736F"/>
    <w:rsid w:val="00CC2B7D"/>
    <w:rsid w:val="00CC31E4"/>
    <w:rsid w:val="00CC521E"/>
    <w:rsid w:val="00CC5D0B"/>
    <w:rsid w:val="00CD00B4"/>
    <w:rsid w:val="00CD04CB"/>
    <w:rsid w:val="00CD0F1D"/>
    <w:rsid w:val="00CD1073"/>
    <w:rsid w:val="00CD4A76"/>
    <w:rsid w:val="00CE2D5D"/>
    <w:rsid w:val="00CE42F1"/>
    <w:rsid w:val="00CE6BB8"/>
    <w:rsid w:val="00CF290C"/>
    <w:rsid w:val="00CF5148"/>
    <w:rsid w:val="00CF6259"/>
    <w:rsid w:val="00D01851"/>
    <w:rsid w:val="00D04F21"/>
    <w:rsid w:val="00D0610A"/>
    <w:rsid w:val="00D13632"/>
    <w:rsid w:val="00D15AA3"/>
    <w:rsid w:val="00D2221B"/>
    <w:rsid w:val="00D23F12"/>
    <w:rsid w:val="00D247B0"/>
    <w:rsid w:val="00D25B1D"/>
    <w:rsid w:val="00D30BB8"/>
    <w:rsid w:val="00D32E47"/>
    <w:rsid w:val="00D33E8F"/>
    <w:rsid w:val="00D34F35"/>
    <w:rsid w:val="00D358B9"/>
    <w:rsid w:val="00D361EF"/>
    <w:rsid w:val="00D40118"/>
    <w:rsid w:val="00D44C48"/>
    <w:rsid w:val="00D45176"/>
    <w:rsid w:val="00D45E7B"/>
    <w:rsid w:val="00D5369A"/>
    <w:rsid w:val="00D5406D"/>
    <w:rsid w:val="00D55399"/>
    <w:rsid w:val="00D57C74"/>
    <w:rsid w:val="00D6063B"/>
    <w:rsid w:val="00D620A0"/>
    <w:rsid w:val="00D63498"/>
    <w:rsid w:val="00D66471"/>
    <w:rsid w:val="00D66BF8"/>
    <w:rsid w:val="00D72E52"/>
    <w:rsid w:val="00D73311"/>
    <w:rsid w:val="00D734B7"/>
    <w:rsid w:val="00D7652B"/>
    <w:rsid w:val="00D80CEB"/>
    <w:rsid w:val="00D97A03"/>
    <w:rsid w:val="00DA08CE"/>
    <w:rsid w:val="00DA4867"/>
    <w:rsid w:val="00DA6A89"/>
    <w:rsid w:val="00DA6C82"/>
    <w:rsid w:val="00DA713E"/>
    <w:rsid w:val="00DB02BC"/>
    <w:rsid w:val="00DB18EB"/>
    <w:rsid w:val="00DB4C02"/>
    <w:rsid w:val="00DB5E23"/>
    <w:rsid w:val="00DB7E10"/>
    <w:rsid w:val="00DC336E"/>
    <w:rsid w:val="00DC3DF0"/>
    <w:rsid w:val="00DD097C"/>
    <w:rsid w:val="00DD1CE1"/>
    <w:rsid w:val="00DD22AB"/>
    <w:rsid w:val="00DD30C1"/>
    <w:rsid w:val="00DD3119"/>
    <w:rsid w:val="00DD586E"/>
    <w:rsid w:val="00DD685A"/>
    <w:rsid w:val="00DE3839"/>
    <w:rsid w:val="00DE3BFB"/>
    <w:rsid w:val="00DE3DA8"/>
    <w:rsid w:val="00DE4BE8"/>
    <w:rsid w:val="00DF0C1E"/>
    <w:rsid w:val="00DF16F2"/>
    <w:rsid w:val="00DF3D58"/>
    <w:rsid w:val="00DF3E3C"/>
    <w:rsid w:val="00DF55FF"/>
    <w:rsid w:val="00DF76CF"/>
    <w:rsid w:val="00E00D6A"/>
    <w:rsid w:val="00E00D79"/>
    <w:rsid w:val="00E10CD1"/>
    <w:rsid w:val="00E127BD"/>
    <w:rsid w:val="00E13930"/>
    <w:rsid w:val="00E15338"/>
    <w:rsid w:val="00E15B91"/>
    <w:rsid w:val="00E16247"/>
    <w:rsid w:val="00E20B04"/>
    <w:rsid w:val="00E25686"/>
    <w:rsid w:val="00E25C2E"/>
    <w:rsid w:val="00E30128"/>
    <w:rsid w:val="00E3040E"/>
    <w:rsid w:val="00E326FC"/>
    <w:rsid w:val="00E32A7C"/>
    <w:rsid w:val="00E4099B"/>
    <w:rsid w:val="00E41940"/>
    <w:rsid w:val="00E43951"/>
    <w:rsid w:val="00E50A75"/>
    <w:rsid w:val="00E50FEE"/>
    <w:rsid w:val="00E51010"/>
    <w:rsid w:val="00E52FAF"/>
    <w:rsid w:val="00E53054"/>
    <w:rsid w:val="00E53BC5"/>
    <w:rsid w:val="00E54773"/>
    <w:rsid w:val="00E5582A"/>
    <w:rsid w:val="00E56BBE"/>
    <w:rsid w:val="00E57AAF"/>
    <w:rsid w:val="00E61429"/>
    <w:rsid w:val="00E61879"/>
    <w:rsid w:val="00E625A5"/>
    <w:rsid w:val="00E64429"/>
    <w:rsid w:val="00E65CE6"/>
    <w:rsid w:val="00E67172"/>
    <w:rsid w:val="00E6741C"/>
    <w:rsid w:val="00E721F5"/>
    <w:rsid w:val="00E73ABE"/>
    <w:rsid w:val="00E84CC2"/>
    <w:rsid w:val="00E8502D"/>
    <w:rsid w:val="00E85B26"/>
    <w:rsid w:val="00E87179"/>
    <w:rsid w:val="00E938FC"/>
    <w:rsid w:val="00E94AF8"/>
    <w:rsid w:val="00E94BE7"/>
    <w:rsid w:val="00EA1447"/>
    <w:rsid w:val="00EA19C5"/>
    <w:rsid w:val="00EA2380"/>
    <w:rsid w:val="00EA4C86"/>
    <w:rsid w:val="00EA6C69"/>
    <w:rsid w:val="00EB15F6"/>
    <w:rsid w:val="00EB2829"/>
    <w:rsid w:val="00EB38A8"/>
    <w:rsid w:val="00EB5164"/>
    <w:rsid w:val="00EB51FD"/>
    <w:rsid w:val="00EC0933"/>
    <w:rsid w:val="00EC0B35"/>
    <w:rsid w:val="00EC1D91"/>
    <w:rsid w:val="00EC6C10"/>
    <w:rsid w:val="00ED083D"/>
    <w:rsid w:val="00ED3C0B"/>
    <w:rsid w:val="00ED6915"/>
    <w:rsid w:val="00ED7D67"/>
    <w:rsid w:val="00EE0675"/>
    <w:rsid w:val="00EE40B5"/>
    <w:rsid w:val="00F01DE3"/>
    <w:rsid w:val="00F02961"/>
    <w:rsid w:val="00F06C96"/>
    <w:rsid w:val="00F07F98"/>
    <w:rsid w:val="00F11B78"/>
    <w:rsid w:val="00F15355"/>
    <w:rsid w:val="00F1795A"/>
    <w:rsid w:val="00F24D3B"/>
    <w:rsid w:val="00F25B6E"/>
    <w:rsid w:val="00F26342"/>
    <w:rsid w:val="00F31AFC"/>
    <w:rsid w:val="00F32C80"/>
    <w:rsid w:val="00F3395E"/>
    <w:rsid w:val="00F35316"/>
    <w:rsid w:val="00F35800"/>
    <w:rsid w:val="00F36448"/>
    <w:rsid w:val="00F374B2"/>
    <w:rsid w:val="00F4242C"/>
    <w:rsid w:val="00F42AFC"/>
    <w:rsid w:val="00F42F7D"/>
    <w:rsid w:val="00F43B99"/>
    <w:rsid w:val="00F46BBA"/>
    <w:rsid w:val="00F51C66"/>
    <w:rsid w:val="00F5372F"/>
    <w:rsid w:val="00F54071"/>
    <w:rsid w:val="00F548BC"/>
    <w:rsid w:val="00F60170"/>
    <w:rsid w:val="00F628AC"/>
    <w:rsid w:val="00F648DE"/>
    <w:rsid w:val="00F66CD4"/>
    <w:rsid w:val="00F769C0"/>
    <w:rsid w:val="00F80045"/>
    <w:rsid w:val="00F810E8"/>
    <w:rsid w:val="00F81F3B"/>
    <w:rsid w:val="00F821C0"/>
    <w:rsid w:val="00F84C30"/>
    <w:rsid w:val="00F84F94"/>
    <w:rsid w:val="00F85BAF"/>
    <w:rsid w:val="00F85D6C"/>
    <w:rsid w:val="00F86796"/>
    <w:rsid w:val="00F87940"/>
    <w:rsid w:val="00F904A3"/>
    <w:rsid w:val="00F907B9"/>
    <w:rsid w:val="00F93AE7"/>
    <w:rsid w:val="00F94BB4"/>
    <w:rsid w:val="00F94DA2"/>
    <w:rsid w:val="00F95416"/>
    <w:rsid w:val="00F97998"/>
    <w:rsid w:val="00F97C7E"/>
    <w:rsid w:val="00FA1666"/>
    <w:rsid w:val="00FA1BF7"/>
    <w:rsid w:val="00FA1CBF"/>
    <w:rsid w:val="00FA1FCF"/>
    <w:rsid w:val="00FA3225"/>
    <w:rsid w:val="00FA4007"/>
    <w:rsid w:val="00FA74BE"/>
    <w:rsid w:val="00FA77EB"/>
    <w:rsid w:val="00FA7FF1"/>
    <w:rsid w:val="00FB2D1A"/>
    <w:rsid w:val="00FB3386"/>
    <w:rsid w:val="00FB3448"/>
    <w:rsid w:val="00FB3CA6"/>
    <w:rsid w:val="00FB4E21"/>
    <w:rsid w:val="00FB5514"/>
    <w:rsid w:val="00FB787D"/>
    <w:rsid w:val="00FC04DF"/>
    <w:rsid w:val="00FC3280"/>
    <w:rsid w:val="00FC360A"/>
    <w:rsid w:val="00FC5895"/>
    <w:rsid w:val="00FC65C5"/>
    <w:rsid w:val="00FD0462"/>
    <w:rsid w:val="00FD262F"/>
    <w:rsid w:val="00FD4985"/>
    <w:rsid w:val="00FE1DA6"/>
    <w:rsid w:val="00FE2004"/>
    <w:rsid w:val="00FE5023"/>
    <w:rsid w:val="00FE5834"/>
    <w:rsid w:val="00FE78E3"/>
    <w:rsid w:val="00FF5042"/>
    <w:rsid w:val="00FF5E8B"/>
    <w:rsid w:val="00FF625D"/>
    <w:rsid w:val="6CF9057E"/>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仿宋_GB2312" w:hAnsi="仿宋_GB2312" w:eastAsia="仿宋_GB2312"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name="header"/>
    <w:lsdException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仿宋_GB2312" w:hAnsi="Calibri" w:eastAsia="仿宋_GB2312"/>
      <w:kern w:val="2"/>
      <w:sz w:val="32"/>
      <w:szCs w:val="22"/>
      <w:lang w:val="en-US" w:eastAsia="zh-CN" w:bidi="ar-SA"/>
    </w:rPr>
  </w:style>
  <w:style w:type="character" w:default="1" w:styleId="6">
    <w:name w:val="Default Paragraph Font"/>
    <w:unhideWhenUsed/>
    <w:uiPriority w:val="1"/>
  </w:style>
  <w:style w:type="table" w:default="1" w:styleId="8">
    <w:name w:val="Normal Table"/>
    <w:unhideWhenUsed/>
    <w:qFormat/>
    <w:uiPriority w:val="99"/>
    <w:tblPr>
      <w:tblStyle w:val="8"/>
      <w:tblLayout w:type="fixed"/>
      <w:tblCellMar>
        <w:top w:w="0" w:type="dxa"/>
        <w:left w:w="108" w:type="dxa"/>
        <w:bottom w:w="0" w:type="dxa"/>
        <w:right w:w="108" w:type="dxa"/>
      </w:tblCellMar>
    </w:tblPr>
    <w:tcPr>
      <w:textDirection w:val="lrTb"/>
    </w:tcPr>
  </w:style>
  <w:style w:type="paragraph" w:styleId="2">
    <w:name w:val="Balloon Text"/>
    <w:basedOn w:val="1"/>
    <w:link w:val="9"/>
    <w:unhideWhenUsed/>
    <w:uiPriority w:val="99"/>
    <w:pPr>
      <w:spacing w:line="240" w:lineRule="auto"/>
    </w:pPr>
    <w:rPr>
      <w:sz w:val="18"/>
      <w:szCs w:val="18"/>
    </w:rPr>
  </w:style>
  <w:style w:type="paragraph" w:styleId="3">
    <w:name w:val="footer"/>
    <w:basedOn w:val="1"/>
    <w:link w:val="11"/>
    <w:unhideWhenUsed/>
    <w:uiPriority w:val="99"/>
    <w:pPr>
      <w:tabs>
        <w:tab w:val="center" w:pos="4153"/>
        <w:tab w:val="right" w:pos="8306"/>
      </w:tabs>
      <w:snapToGrid w:val="0"/>
      <w:spacing w:line="240" w:lineRule="auto"/>
      <w:jc w:val="lef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5">
    <w:name w:val="Normal (Web)"/>
    <w:basedOn w:val="1"/>
    <w:unhideWhenUsed/>
    <w:uiPriority w:val="99"/>
    <w:pPr>
      <w:widowControl/>
      <w:spacing w:before="100" w:beforeAutospacing="1" w:after="100" w:afterAutospacing="1" w:line="240" w:lineRule="auto"/>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9">
    <w:name w:val="批注框文本 Char"/>
    <w:basedOn w:val="6"/>
    <w:link w:val="2"/>
    <w:semiHidden/>
    <w:uiPriority w:val="99"/>
    <w:rPr>
      <w:sz w:val="18"/>
      <w:szCs w:val="18"/>
    </w:rPr>
  </w:style>
  <w:style w:type="character" w:customStyle="1" w:styleId="10">
    <w:name w:val="页眉 Char"/>
    <w:basedOn w:val="6"/>
    <w:link w:val="4"/>
    <w:semiHidden/>
    <w:uiPriority w:val="99"/>
    <w:rPr>
      <w:sz w:val="18"/>
      <w:szCs w:val="18"/>
    </w:rPr>
  </w:style>
  <w:style w:type="character" w:customStyle="1" w:styleId="11">
    <w:name w:val="页脚 Char"/>
    <w:basedOn w:val="6"/>
    <w:link w:val="3"/>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0" Type="http://schemas.openxmlformats.org/officeDocument/2006/relationships/customXml" Target="../customXml/item1.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673</Words>
  <Characters>3839</Characters>
  <Lines>31</Lines>
  <Paragraphs>9</Paragraphs>
  <TotalTime>0</TotalTime>
  <ScaleCrop>false</ScaleCrop>
  <LinksUpToDate>false</LinksUpToDate>
  <CharactersWithSpaces>0</CharactersWithSpaces>
  <Application>WPS Office 个人版_9.1.0.4994_{F1E327BC-269C-435d-A152-05C5408002CA}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2015-04-15T06:11:00Z</dcterms:created>
  <dc:creator>User</dc:creator>
  <cp:lastModifiedBy>蒋勇</cp:lastModifiedBy>
  <cp:lastPrinted>2015-04-15T08:44:00Z</cp:lastPrinted>
  <dcterms:modified xsi:type="dcterms:W3CDTF">2015-04-23T08:08:11Z</dcterms:modified>
  <dc:title>财政部关于印发《政府和社会资本合作项目财政承受能力论证指引》的通知 </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2052-9.1.0.4994</vt:lpwstr>
  </property>
</Properties>
</file>