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CellSpacing w:w="0" w:type="dxa"/>
        <w:tblLayout w:type="fixed"/>
        <w:tblCellMar>
          <w:left w:w="0" w:type="dxa"/>
          <w:right w:w="0" w:type="dxa"/>
        </w:tblCellMar>
        <w:tblLook w:val="04A0"/>
      </w:tblPr>
      <w:tblGrid>
        <w:gridCol w:w="8306"/>
      </w:tblGrid>
      <w:tr w:rsidR="00CC2DF7">
        <w:trPr>
          <w:tblCellSpacing w:w="0" w:type="dxa"/>
          <w:jc w:val="center"/>
        </w:trPr>
        <w:tc>
          <w:tcPr>
            <w:tcW w:w="8306" w:type="dxa"/>
            <w:vAlign w:val="center"/>
          </w:tcPr>
          <w:tbl>
            <w:tblPr>
              <w:tblW w:w="8306" w:type="dxa"/>
              <w:tblCellSpacing w:w="0" w:type="dxa"/>
              <w:tblLayout w:type="fixed"/>
              <w:tblCellMar>
                <w:left w:w="0" w:type="dxa"/>
                <w:right w:w="0" w:type="dxa"/>
              </w:tblCellMar>
              <w:tblLook w:val="04A0"/>
            </w:tblPr>
            <w:tblGrid>
              <w:gridCol w:w="8306"/>
            </w:tblGrid>
            <w:tr w:rsidR="00CC2DF7">
              <w:trPr>
                <w:trHeight w:val="555"/>
                <w:tblCellSpacing w:w="0" w:type="dxa"/>
              </w:trPr>
              <w:tc>
                <w:tcPr>
                  <w:tcW w:w="8306" w:type="dxa"/>
                  <w:vAlign w:val="center"/>
                </w:tcPr>
                <w:p w:rsidR="00CC2DF7" w:rsidRDefault="00F768B1">
                  <w:pPr>
                    <w:widowControl/>
                    <w:spacing w:before="300" w:after="225" w:line="432" w:lineRule="auto"/>
                    <w:jc w:val="center"/>
                    <w:rPr>
                      <w:rFonts w:ascii="Arial" w:eastAsia="宋体" w:hAnsi="Arial" w:cs="Arial"/>
                      <w:b/>
                      <w:bCs/>
                      <w:color w:val="185895"/>
                      <w:kern w:val="0"/>
                      <w:sz w:val="36"/>
                      <w:szCs w:val="36"/>
                    </w:rPr>
                  </w:pPr>
                  <w:r>
                    <w:rPr>
                      <w:rFonts w:ascii="Arial" w:eastAsia="宋体" w:hAnsi="Arial" w:cs="Arial"/>
                      <w:b/>
                      <w:bCs/>
                      <w:color w:val="185895"/>
                      <w:kern w:val="0"/>
                      <w:sz w:val="36"/>
                      <w:szCs w:val="36"/>
                    </w:rPr>
                    <w:t>关于印发政府和社会资本合作模式操作指南（试行）的通知</w:t>
                  </w:r>
                  <w:r>
                    <w:rPr>
                      <w:rFonts w:ascii="Arial" w:eastAsia="宋体" w:hAnsi="Arial" w:cs="Arial"/>
                      <w:b/>
                      <w:bCs/>
                      <w:color w:val="185895"/>
                      <w:kern w:val="0"/>
                      <w:sz w:val="36"/>
                      <w:szCs w:val="36"/>
                    </w:rPr>
                    <w:t xml:space="preserve"> </w:t>
                  </w:r>
                </w:p>
              </w:tc>
            </w:tr>
          </w:tbl>
          <w:p w:rsidR="00CC2DF7" w:rsidRDefault="00CC2DF7">
            <w:pPr>
              <w:widowControl/>
              <w:spacing w:line="432" w:lineRule="auto"/>
              <w:jc w:val="left"/>
              <w:rPr>
                <w:rFonts w:ascii="Arial" w:eastAsia="宋体" w:hAnsi="Arial" w:cs="Arial"/>
                <w:vanish/>
                <w:kern w:val="0"/>
                <w:sz w:val="18"/>
                <w:szCs w:val="18"/>
              </w:rPr>
            </w:pPr>
          </w:p>
          <w:tbl>
            <w:tblPr>
              <w:tblW w:w="8306" w:type="dxa"/>
              <w:tblCellSpacing w:w="0" w:type="dxa"/>
              <w:tblLayout w:type="fixed"/>
              <w:tblCellMar>
                <w:left w:w="0" w:type="dxa"/>
                <w:right w:w="0" w:type="dxa"/>
              </w:tblCellMar>
              <w:tblLook w:val="04A0"/>
            </w:tblPr>
            <w:tblGrid>
              <w:gridCol w:w="8306"/>
            </w:tblGrid>
            <w:tr w:rsidR="00CC2DF7">
              <w:trPr>
                <w:trHeight w:val="15"/>
                <w:tblCellSpacing w:w="0" w:type="dxa"/>
              </w:trPr>
              <w:tc>
                <w:tcPr>
                  <w:tcW w:w="8306" w:type="dxa"/>
                  <w:vAlign w:val="center"/>
                </w:tcPr>
                <w:p w:rsidR="00CC2DF7" w:rsidRDefault="00CC2DF7">
                  <w:pPr>
                    <w:widowControl/>
                    <w:spacing w:line="15" w:lineRule="atLeast"/>
                    <w:jc w:val="left"/>
                    <w:rPr>
                      <w:rFonts w:ascii="Arial" w:eastAsia="宋体" w:hAnsi="Arial" w:cs="Arial"/>
                      <w:kern w:val="0"/>
                      <w:sz w:val="18"/>
                      <w:szCs w:val="18"/>
                    </w:rPr>
                  </w:pPr>
                  <w:r w:rsidRPr="00CC2DF7">
                    <w:rPr>
                      <w:rFonts w:ascii="Arial" w:eastAsia="宋体" w:hAnsi="Arial" w:cs="Arial"/>
                      <w:kern w:val="0"/>
                      <w:sz w:val="18"/>
                      <w:szCs w:val="18"/>
                    </w:rPr>
                    <w:pict>
                      <v:rect id="Rectangle 1" o:spid="_x0000_i1025" style="width:525pt;height:.75pt" o:preferrelative="t" o:hrpct="0" o:hralign="center" o:hrstd="t" o:hrnoshade="t" o:hr="t" fillcolor="#99c2e2" stroked="f"/>
                    </w:pict>
                  </w:r>
                </w:p>
              </w:tc>
            </w:tr>
          </w:tbl>
          <w:p w:rsidR="00CC2DF7" w:rsidRDefault="00CC2DF7">
            <w:pPr>
              <w:widowControl/>
              <w:spacing w:line="432" w:lineRule="auto"/>
              <w:jc w:val="left"/>
              <w:rPr>
                <w:rFonts w:ascii="Arial" w:eastAsia="宋体" w:hAnsi="Arial" w:cs="Arial"/>
                <w:vanish/>
                <w:kern w:val="0"/>
                <w:sz w:val="18"/>
                <w:szCs w:val="18"/>
              </w:rPr>
            </w:pPr>
          </w:p>
          <w:tbl>
            <w:tblPr>
              <w:tblW w:w="8306" w:type="dxa"/>
              <w:tblCellSpacing w:w="0" w:type="dxa"/>
              <w:tblLayout w:type="fixed"/>
              <w:tblCellMar>
                <w:left w:w="0" w:type="dxa"/>
                <w:right w:w="0" w:type="dxa"/>
              </w:tblCellMar>
              <w:tblLook w:val="04A0"/>
            </w:tblPr>
            <w:tblGrid>
              <w:gridCol w:w="8306"/>
            </w:tblGrid>
            <w:tr w:rsidR="00CC2DF7">
              <w:trPr>
                <w:tblCellSpacing w:w="0" w:type="dxa"/>
              </w:trPr>
              <w:tc>
                <w:tcPr>
                  <w:tcW w:w="8306" w:type="dxa"/>
                  <w:vAlign w:val="center"/>
                </w:tcPr>
                <w:p w:rsidR="00CC2DF7" w:rsidRDefault="00CC2DF7">
                  <w:pPr>
                    <w:widowControl/>
                    <w:spacing w:line="432" w:lineRule="auto"/>
                    <w:jc w:val="left"/>
                    <w:rPr>
                      <w:rFonts w:ascii="Arial" w:eastAsia="宋体" w:hAnsi="Arial" w:cs="Arial"/>
                      <w:kern w:val="0"/>
                      <w:sz w:val="24"/>
                      <w:szCs w:val="24"/>
                    </w:rPr>
                  </w:pPr>
                </w:p>
              </w:tc>
            </w:tr>
          </w:tbl>
          <w:p w:rsidR="00CC2DF7" w:rsidRDefault="00CC2DF7">
            <w:pPr>
              <w:widowControl/>
              <w:spacing w:line="432" w:lineRule="auto"/>
              <w:jc w:val="left"/>
              <w:rPr>
                <w:rFonts w:ascii="Arial" w:eastAsia="宋体" w:hAnsi="Arial" w:cs="Arial"/>
                <w:kern w:val="0"/>
                <w:sz w:val="18"/>
                <w:szCs w:val="18"/>
              </w:rPr>
            </w:pPr>
          </w:p>
        </w:tc>
      </w:tr>
      <w:tr w:rsidR="00CC2DF7">
        <w:trPr>
          <w:tblCellSpacing w:w="0" w:type="dxa"/>
          <w:jc w:val="center"/>
        </w:trPr>
        <w:tc>
          <w:tcPr>
            <w:tcW w:w="8306" w:type="dxa"/>
            <w:vAlign w:val="center"/>
          </w:tcPr>
          <w:tbl>
            <w:tblPr>
              <w:tblW w:w="8306" w:type="dxa"/>
              <w:tblCellSpacing w:w="0" w:type="dxa"/>
              <w:shd w:val="clear" w:color="auto" w:fill="FFFFFF"/>
              <w:tblLayout w:type="fixed"/>
              <w:tblCellMar>
                <w:left w:w="0" w:type="dxa"/>
                <w:right w:w="0" w:type="dxa"/>
              </w:tblCellMar>
              <w:tblLook w:val="04A0"/>
            </w:tblPr>
            <w:tblGrid>
              <w:gridCol w:w="8306"/>
            </w:tblGrid>
            <w:tr w:rsidR="00CC2DF7">
              <w:trPr>
                <w:trHeight w:val="1140"/>
                <w:tblCellSpacing w:w="0" w:type="dxa"/>
              </w:trPr>
              <w:tc>
                <w:tcPr>
                  <w:tcW w:w="8306" w:type="dxa"/>
                  <w:shd w:val="clear" w:color="auto" w:fill="FFFFFF"/>
                </w:tcPr>
                <w:tbl>
                  <w:tblPr>
                    <w:tblW w:w="8306" w:type="dxa"/>
                    <w:jc w:val="center"/>
                    <w:tblCellSpacing w:w="0" w:type="dxa"/>
                    <w:tblLayout w:type="fixed"/>
                    <w:tblCellMar>
                      <w:left w:w="0" w:type="dxa"/>
                      <w:right w:w="0" w:type="dxa"/>
                    </w:tblCellMar>
                    <w:tblLook w:val="04A0"/>
                  </w:tblPr>
                  <w:tblGrid>
                    <w:gridCol w:w="8306"/>
                  </w:tblGrid>
                  <w:tr w:rsidR="00CC2DF7" w:rsidRPr="00BC0F65">
                    <w:trPr>
                      <w:tblCellSpacing w:w="0" w:type="dxa"/>
                      <w:jc w:val="center"/>
                    </w:trPr>
                    <w:tc>
                      <w:tcPr>
                        <w:tcW w:w="8306" w:type="dxa"/>
                        <w:vAlign w:val="center"/>
                      </w:tcPr>
                      <w:p w:rsidR="00CC2DF7" w:rsidRPr="00BC0F65" w:rsidRDefault="00F768B1">
                        <w:pPr>
                          <w:widowControl/>
                          <w:jc w:val="center"/>
                          <w:rPr>
                            <w:rFonts w:hAnsi="Arial" w:cs="Arial"/>
                            <w:kern w:val="0"/>
                            <w:sz w:val="28"/>
                            <w:szCs w:val="28"/>
                          </w:rPr>
                        </w:pPr>
                        <w:r w:rsidRPr="00BC0F65">
                          <w:rPr>
                            <w:rFonts w:hAnsi="Arial" w:cs="Arial" w:hint="eastAsia"/>
                            <w:kern w:val="0"/>
                            <w:sz w:val="28"/>
                            <w:szCs w:val="28"/>
                          </w:rPr>
                          <w:t xml:space="preserve">　　财金〔</w:t>
                        </w:r>
                        <w:r w:rsidRPr="00BC0F65">
                          <w:rPr>
                            <w:rFonts w:hAnsi="Arial" w:cs="Arial" w:hint="eastAsia"/>
                            <w:kern w:val="0"/>
                            <w:sz w:val="28"/>
                            <w:szCs w:val="28"/>
                          </w:rPr>
                          <w:t>2014</w:t>
                        </w:r>
                        <w:r w:rsidRPr="00BC0F65">
                          <w:rPr>
                            <w:rFonts w:hAnsi="Arial" w:cs="Arial" w:hint="eastAsia"/>
                            <w:kern w:val="0"/>
                            <w:sz w:val="28"/>
                            <w:szCs w:val="28"/>
                          </w:rPr>
                          <w:t>〕</w:t>
                        </w:r>
                        <w:r w:rsidRPr="00BC0F65">
                          <w:rPr>
                            <w:rFonts w:hAnsi="Arial" w:cs="Arial" w:hint="eastAsia"/>
                            <w:kern w:val="0"/>
                            <w:sz w:val="28"/>
                            <w:szCs w:val="28"/>
                          </w:rPr>
                          <w:t>113</w:t>
                        </w:r>
                        <w:r w:rsidRPr="00BC0F65">
                          <w:rPr>
                            <w:rFonts w:hAnsi="Arial" w:cs="Arial" w:hint="eastAsia"/>
                            <w:kern w:val="0"/>
                            <w:sz w:val="28"/>
                            <w:szCs w:val="28"/>
                          </w:rPr>
                          <w:t>号</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各省、自治区、直辖市、计划单列市财政厅（局），新疆生产建设兵团财务局：</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根据《财政部关于推广运用政府和社会资本合作模式有关问题的通知》（财金〔</w:t>
                        </w:r>
                        <w:r w:rsidRPr="00BC0F65">
                          <w:rPr>
                            <w:rFonts w:hAnsi="Arial" w:cs="Arial" w:hint="eastAsia"/>
                            <w:kern w:val="0"/>
                            <w:sz w:val="28"/>
                            <w:szCs w:val="28"/>
                          </w:rPr>
                          <w:t>2014</w:t>
                        </w:r>
                        <w:r w:rsidRPr="00BC0F65">
                          <w:rPr>
                            <w:rFonts w:hAnsi="Arial" w:cs="Arial" w:hint="eastAsia"/>
                            <w:kern w:val="0"/>
                            <w:sz w:val="28"/>
                            <w:szCs w:val="28"/>
                          </w:rPr>
                          <w:t>〕</w:t>
                        </w:r>
                        <w:r w:rsidRPr="00BC0F65">
                          <w:rPr>
                            <w:rFonts w:hAnsi="Arial" w:cs="Arial" w:hint="eastAsia"/>
                            <w:kern w:val="0"/>
                            <w:sz w:val="28"/>
                            <w:szCs w:val="28"/>
                          </w:rPr>
                          <w:t>76</w:t>
                        </w:r>
                        <w:r w:rsidRPr="00BC0F65">
                          <w:rPr>
                            <w:rFonts w:hAnsi="Arial" w:cs="Arial" w:hint="eastAsia"/>
                            <w:kern w:val="0"/>
                            <w:sz w:val="28"/>
                            <w:szCs w:val="28"/>
                          </w:rPr>
                          <w:t>号），为保证政府和社会资本合作项目实施质量，规范项目</w:t>
                        </w:r>
                        <w:r w:rsidRPr="00BC0F65">
                          <w:rPr>
                            <w:rFonts w:hAnsi="Arial" w:cs="Arial" w:hint="eastAsia"/>
                            <w:kern w:val="0"/>
                            <w:sz w:val="28"/>
                            <w:szCs w:val="28"/>
                          </w:rPr>
                          <w:t>识别</w:t>
                        </w:r>
                        <w:r w:rsidRPr="00BC0F65">
                          <w:rPr>
                            <w:rFonts w:hAnsi="Arial" w:cs="Arial" w:hint="eastAsia"/>
                            <w:kern w:val="0"/>
                            <w:sz w:val="28"/>
                            <w:szCs w:val="28"/>
                          </w:rPr>
                          <w:t>、准备、采购、执行、移交各环节操作流程，现印发《政府和社会资本合作模式操作指南（试行）》，请遵照执行。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附件：政府和社会资本合作模式操作指南（试行）</w:t>
                        </w:r>
                      </w:p>
                      <w:p w:rsidR="00CC2DF7" w:rsidRPr="00BC0F65" w:rsidRDefault="00F768B1">
                        <w:pPr>
                          <w:widowControl/>
                          <w:jc w:val="right"/>
                          <w:rPr>
                            <w:rFonts w:hAnsi="Arial" w:cs="Arial"/>
                            <w:kern w:val="0"/>
                            <w:sz w:val="28"/>
                            <w:szCs w:val="28"/>
                          </w:rPr>
                        </w:pPr>
                        <w:r w:rsidRPr="00BC0F65">
                          <w:rPr>
                            <w:rFonts w:hAnsi="Arial" w:cs="Arial" w:hint="eastAsia"/>
                            <w:kern w:val="0"/>
                            <w:sz w:val="28"/>
                            <w:szCs w:val="28"/>
                          </w:rPr>
                          <w:t xml:space="preserve">　　财政部</w:t>
                        </w:r>
                      </w:p>
                      <w:p w:rsidR="00CC2DF7" w:rsidRPr="00BC0F65" w:rsidRDefault="00F768B1">
                        <w:pPr>
                          <w:widowControl/>
                          <w:jc w:val="righ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2014</w:t>
                        </w:r>
                        <w:r w:rsidRPr="00BC0F65">
                          <w:rPr>
                            <w:rFonts w:hAnsi="Arial" w:cs="Arial" w:hint="eastAsia"/>
                            <w:kern w:val="0"/>
                            <w:sz w:val="28"/>
                            <w:szCs w:val="28"/>
                          </w:rPr>
                          <w:t>年</w:t>
                        </w:r>
                        <w:r w:rsidRPr="00BC0F65">
                          <w:rPr>
                            <w:rFonts w:hAnsi="Arial" w:cs="Arial" w:hint="eastAsia"/>
                            <w:kern w:val="0"/>
                            <w:sz w:val="28"/>
                            <w:szCs w:val="28"/>
                          </w:rPr>
                          <w:t>11</w:t>
                        </w:r>
                        <w:r w:rsidRPr="00BC0F65">
                          <w:rPr>
                            <w:rFonts w:hAnsi="Arial" w:cs="Arial" w:hint="eastAsia"/>
                            <w:kern w:val="0"/>
                            <w:sz w:val="28"/>
                            <w:szCs w:val="28"/>
                          </w:rPr>
                          <w:t>月</w:t>
                        </w:r>
                        <w:r w:rsidRPr="00BC0F65">
                          <w:rPr>
                            <w:rFonts w:hAnsi="Arial" w:cs="Arial" w:hint="eastAsia"/>
                            <w:kern w:val="0"/>
                            <w:sz w:val="28"/>
                            <w:szCs w:val="28"/>
                          </w:rPr>
                          <w:t>29</w:t>
                        </w:r>
                        <w:r w:rsidRPr="00BC0F65">
                          <w:rPr>
                            <w:rFonts w:hAnsi="Arial" w:cs="Arial" w:hint="eastAsia"/>
                            <w:kern w:val="0"/>
                            <w:sz w:val="28"/>
                            <w:szCs w:val="28"/>
                          </w:rPr>
                          <w:t>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附件：</w:t>
                        </w:r>
                      </w:p>
                      <w:p w:rsidR="00CC2DF7" w:rsidRPr="00BC0F65" w:rsidRDefault="00F768B1">
                        <w:pPr>
                          <w:widowControl/>
                          <w:jc w:val="center"/>
                          <w:rPr>
                            <w:rFonts w:hAnsi="Arial" w:cs="Arial"/>
                            <w:kern w:val="0"/>
                            <w:sz w:val="28"/>
                            <w:szCs w:val="28"/>
                          </w:rPr>
                        </w:pPr>
                        <w:r w:rsidRPr="00BC0F65">
                          <w:rPr>
                            <w:rFonts w:hAnsi="Arial" w:cs="Arial" w:hint="eastAsia"/>
                            <w:b/>
                            <w:bCs/>
                            <w:kern w:val="0"/>
                            <w:sz w:val="28"/>
                            <w:szCs w:val="28"/>
                          </w:rPr>
                          <w:t>政府和社会资本合作模式操作指南</w:t>
                        </w:r>
                      </w:p>
                      <w:p w:rsidR="00CC2DF7" w:rsidRPr="00BC0F65" w:rsidRDefault="00F768B1">
                        <w:pPr>
                          <w:widowControl/>
                          <w:jc w:val="center"/>
                          <w:rPr>
                            <w:rFonts w:hAnsi="Arial" w:cs="Arial"/>
                            <w:kern w:val="0"/>
                            <w:sz w:val="28"/>
                            <w:szCs w:val="28"/>
                          </w:rPr>
                        </w:pPr>
                        <w:r w:rsidRPr="00BC0F65">
                          <w:rPr>
                            <w:rFonts w:hAnsi="Arial" w:cs="Arial" w:hint="eastAsia"/>
                            <w:kern w:val="0"/>
                            <w:sz w:val="28"/>
                            <w:szCs w:val="28"/>
                          </w:rPr>
                          <w:t>（试行）</w:t>
                        </w:r>
                      </w:p>
                      <w:p w:rsidR="00CC2DF7" w:rsidRPr="00BC0F65" w:rsidRDefault="00F768B1">
                        <w:pPr>
                          <w:widowControl/>
                          <w:jc w:val="center"/>
                          <w:rPr>
                            <w:rFonts w:hAnsi="Arial" w:cs="Arial"/>
                            <w:kern w:val="0"/>
                            <w:sz w:val="28"/>
                            <w:szCs w:val="28"/>
                          </w:rPr>
                        </w:pPr>
                        <w:r w:rsidRPr="00BC0F65">
                          <w:rPr>
                            <w:rFonts w:hAnsi="Arial" w:cs="Arial" w:hint="eastAsia"/>
                            <w:b/>
                            <w:bCs/>
                            <w:kern w:val="0"/>
                            <w:sz w:val="28"/>
                            <w:szCs w:val="28"/>
                          </w:rPr>
                          <w:t>第一章</w:t>
                        </w:r>
                        <w:r w:rsidRPr="00BC0F65">
                          <w:rPr>
                            <w:rFonts w:hAnsi="Arial" w:cs="Arial" w:hint="eastAsia"/>
                            <w:b/>
                            <w:bCs/>
                            <w:kern w:val="0"/>
                            <w:sz w:val="28"/>
                            <w:szCs w:val="28"/>
                          </w:rPr>
                          <w:t xml:space="preserve"> </w:t>
                        </w:r>
                        <w:r w:rsidRPr="00BC0F65">
                          <w:rPr>
                            <w:rFonts w:hAnsi="Arial" w:cs="Arial" w:hint="eastAsia"/>
                            <w:b/>
                            <w:bCs/>
                            <w:kern w:val="0"/>
                            <w:sz w:val="28"/>
                            <w:szCs w:val="28"/>
                          </w:rPr>
                          <w:t>总则</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第一条</w:t>
                        </w:r>
                        <w:r w:rsidRPr="00BC0F65">
                          <w:rPr>
                            <w:rFonts w:hAnsi="Arial" w:cs="Arial" w:hint="eastAsia"/>
                            <w:kern w:val="0"/>
                            <w:sz w:val="28"/>
                            <w:szCs w:val="28"/>
                          </w:rPr>
                          <w:t xml:space="preserve"> </w:t>
                        </w:r>
                        <w:r w:rsidRPr="00BC0F65">
                          <w:rPr>
                            <w:rFonts w:hAnsi="Arial" w:cs="Arial" w:hint="eastAsia"/>
                            <w:kern w:val="0"/>
                            <w:sz w:val="28"/>
                            <w:szCs w:val="28"/>
                          </w:rPr>
                          <w:t>为科学规范地推广运用政府和社会资本合作模式（</w:t>
                        </w:r>
                        <w:r w:rsidRPr="00BC0F65">
                          <w:rPr>
                            <w:rFonts w:hAnsi="Arial" w:cs="Arial" w:hint="eastAsia"/>
                            <w:kern w:val="0"/>
                            <w:sz w:val="28"/>
                            <w:szCs w:val="28"/>
                          </w:rPr>
                          <w:t xml:space="preserve">Public-Private </w:t>
                        </w:r>
                        <w:r w:rsidRPr="00BC0F65">
                          <w:rPr>
                            <w:rFonts w:hAnsi="Arial" w:cs="Arial" w:hint="eastAsia"/>
                            <w:kern w:val="0"/>
                            <w:sz w:val="28"/>
                            <w:szCs w:val="28"/>
                          </w:rPr>
                          <w:t>Partnership</w:t>
                        </w:r>
                        <w:r w:rsidRPr="00BC0F65">
                          <w:rPr>
                            <w:rFonts w:hAnsi="Arial" w:cs="Arial" w:hint="eastAsia"/>
                            <w:kern w:val="0"/>
                            <w:sz w:val="28"/>
                            <w:szCs w:val="28"/>
                          </w:rPr>
                          <w:t>，</w:t>
                        </w:r>
                        <w:r w:rsidRPr="00BC0F65">
                          <w:rPr>
                            <w:rFonts w:hAnsi="Arial" w:cs="Arial" w:hint="eastAsia"/>
                            <w:kern w:val="0"/>
                            <w:sz w:val="28"/>
                            <w:szCs w:val="28"/>
                          </w:rPr>
                          <w:t>PPP</w:t>
                        </w:r>
                        <w:r w:rsidRPr="00BC0F65">
                          <w:rPr>
                            <w:rFonts w:hAnsi="Arial" w:cs="Arial" w:hint="eastAsia"/>
                            <w:kern w:val="0"/>
                            <w:sz w:val="28"/>
                            <w:szCs w:val="28"/>
                          </w:rPr>
                          <w:t>），根据《中华人民共和国预算法》、《中华人民共和国政府采购法》、《中华人民共和国合同法》、《国务院关于加强地方政府性债务管理的意见》（国发〔</w:t>
                        </w:r>
                        <w:r w:rsidRPr="00BC0F65">
                          <w:rPr>
                            <w:rFonts w:hAnsi="Arial" w:cs="Arial" w:hint="eastAsia"/>
                            <w:kern w:val="0"/>
                            <w:sz w:val="28"/>
                            <w:szCs w:val="28"/>
                          </w:rPr>
                          <w:t>2014</w:t>
                        </w:r>
                        <w:r w:rsidRPr="00BC0F65">
                          <w:rPr>
                            <w:rFonts w:hAnsi="Arial" w:cs="Arial" w:hint="eastAsia"/>
                            <w:kern w:val="0"/>
                            <w:sz w:val="28"/>
                            <w:szCs w:val="28"/>
                          </w:rPr>
                          <w:t>〕</w:t>
                        </w:r>
                        <w:r w:rsidRPr="00BC0F65">
                          <w:rPr>
                            <w:rFonts w:hAnsi="Arial" w:cs="Arial" w:hint="eastAsia"/>
                            <w:kern w:val="0"/>
                            <w:sz w:val="28"/>
                            <w:szCs w:val="28"/>
                          </w:rPr>
                          <w:t>43</w:t>
                        </w:r>
                        <w:r w:rsidRPr="00BC0F65">
                          <w:rPr>
                            <w:rFonts w:hAnsi="Arial" w:cs="Arial" w:hint="eastAsia"/>
                            <w:kern w:val="0"/>
                            <w:sz w:val="28"/>
                            <w:szCs w:val="28"/>
                          </w:rPr>
                          <w:lastRenderedPageBreak/>
                          <w:t>号）、《国务院关于深化预算管理制度改革的决定》（国发〔</w:t>
                        </w:r>
                        <w:r w:rsidRPr="00BC0F65">
                          <w:rPr>
                            <w:rFonts w:hAnsi="Arial" w:cs="Arial" w:hint="eastAsia"/>
                            <w:kern w:val="0"/>
                            <w:sz w:val="28"/>
                            <w:szCs w:val="28"/>
                          </w:rPr>
                          <w:t>2014</w:t>
                        </w:r>
                        <w:r w:rsidRPr="00BC0F65">
                          <w:rPr>
                            <w:rFonts w:hAnsi="Arial" w:cs="Arial" w:hint="eastAsia"/>
                            <w:kern w:val="0"/>
                            <w:sz w:val="28"/>
                            <w:szCs w:val="28"/>
                          </w:rPr>
                          <w:t>〕</w:t>
                        </w:r>
                        <w:r w:rsidRPr="00BC0F65">
                          <w:rPr>
                            <w:rFonts w:hAnsi="Arial" w:cs="Arial" w:hint="eastAsia"/>
                            <w:kern w:val="0"/>
                            <w:sz w:val="28"/>
                            <w:szCs w:val="28"/>
                          </w:rPr>
                          <w:t>45</w:t>
                        </w:r>
                        <w:r w:rsidRPr="00BC0F65">
                          <w:rPr>
                            <w:rFonts w:hAnsi="Arial" w:cs="Arial" w:hint="eastAsia"/>
                            <w:kern w:val="0"/>
                            <w:sz w:val="28"/>
                            <w:szCs w:val="28"/>
                          </w:rPr>
                          <w:t>号）和《财政部关于推广运用政府和社会资本合作模式有关问题的通知》（财金〔</w:t>
                        </w:r>
                        <w:r w:rsidRPr="00BC0F65">
                          <w:rPr>
                            <w:rFonts w:hAnsi="Arial" w:cs="Arial" w:hint="eastAsia"/>
                            <w:kern w:val="0"/>
                            <w:sz w:val="28"/>
                            <w:szCs w:val="28"/>
                          </w:rPr>
                          <w:t>2014</w:t>
                        </w:r>
                        <w:r w:rsidRPr="00BC0F65">
                          <w:rPr>
                            <w:rFonts w:hAnsi="Arial" w:cs="Arial" w:hint="eastAsia"/>
                            <w:kern w:val="0"/>
                            <w:sz w:val="28"/>
                            <w:szCs w:val="28"/>
                          </w:rPr>
                          <w:t>〕</w:t>
                        </w:r>
                        <w:r w:rsidRPr="00BC0F65">
                          <w:rPr>
                            <w:rFonts w:hAnsi="Arial" w:cs="Arial" w:hint="eastAsia"/>
                            <w:kern w:val="0"/>
                            <w:sz w:val="28"/>
                            <w:szCs w:val="28"/>
                          </w:rPr>
                          <w:t>76</w:t>
                        </w:r>
                        <w:r w:rsidRPr="00BC0F65">
                          <w:rPr>
                            <w:rFonts w:hAnsi="Arial" w:cs="Arial" w:hint="eastAsia"/>
                            <w:kern w:val="0"/>
                            <w:sz w:val="28"/>
                            <w:szCs w:val="28"/>
                          </w:rPr>
                          <w:t>号）等法律、法规、规章和规范性文件，制定本指南。</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第二条</w:t>
                        </w:r>
                        <w:r w:rsidRPr="00BC0F65">
                          <w:rPr>
                            <w:rFonts w:hAnsi="Arial" w:cs="Arial" w:hint="eastAsia"/>
                            <w:kern w:val="0"/>
                            <w:sz w:val="28"/>
                            <w:szCs w:val="28"/>
                          </w:rPr>
                          <w:t xml:space="preserve"> </w:t>
                        </w:r>
                        <w:r w:rsidRPr="00BC0F65">
                          <w:rPr>
                            <w:rFonts w:hAnsi="Arial" w:cs="Arial" w:hint="eastAsia"/>
                            <w:b/>
                            <w:bCs/>
                            <w:kern w:val="0"/>
                            <w:sz w:val="28"/>
                            <w:szCs w:val="28"/>
                          </w:rPr>
                          <w:t>本指南所称社会资本是指已建立现代企业制度的境内外企业法人，</w:t>
                        </w:r>
                        <w:r w:rsidRPr="00BC0F65">
                          <w:rPr>
                            <w:rFonts w:hAnsi="Arial" w:cs="Arial" w:hint="eastAsia"/>
                            <w:b/>
                            <w:bCs/>
                            <w:kern w:val="0"/>
                            <w:sz w:val="28"/>
                            <w:szCs w:val="28"/>
                          </w:rPr>
                          <w:t>但不包括本级政府所属融资平台公司及其他控股国有企业</w:t>
                        </w:r>
                        <w:r w:rsidRPr="00BC0F65">
                          <w:rPr>
                            <w:rFonts w:hAnsi="Arial" w:cs="Arial" w:hint="eastAsia"/>
                            <w:b/>
                            <w:bCs/>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第三条</w:t>
                        </w:r>
                        <w:r w:rsidRPr="00BC0F65">
                          <w:rPr>
                            <w:rFonts w:hAnsi="Arial" w:cs="Arial" w:hint="eastAsia"/>
                            <w:kern w:val="0"/>
                            <w:sz w:val="28"/>
                            <w:szCs w:val="28"/>
                          </w:rPr>
                          <w:t xml:space="preserve"> </w:t>
                        </w:r>
                        <w:r w:rsidRPr="00BC0F65">
                          <w:rPr>
                            <w:rFonts w:hAnsi="Arial" w:cs="Arial" w:hint="eastAsia"/>
                            <w:kern w:val="0"/>
                            <w:sz w:val="28"/>
                            <w:szCs w:val="28"/>
                          </w:rPr>
                          <w:t>本指南适用于规范政府、社会资本和其他参与方开展政府和社会资本合作项目的识别、准备、采购、执行和移交等活动。</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第四条</w:t>
                        </w:r>
                        <w:r w:rsidRPr="00BC0F65">
                          <w:rPr>
                            <w:rFonts w:hAnsi="Arial" w:cs="Arial" w:hint="eastAsia"/>
                            <w:kern w:val="0"/>
                            <w:sz w:val="28"/>
                            <w:szCs w:val="28"/>
                          </w:rPr>
                          <w:t xml:space="preserve"> </w:t>
                        </w:r>
                        <w:r w:rsidRPr="00BC0F65">
                          <w:rPr>
                            <w:rFonts w:hAnsi="Arial" w:cs="Arial" w:hint="eastAsia"/>
                            <w:kern w:val="0"/>
                            <w:sz w:val="28"/>
                            <w:szCs w:val="28"/>
                          </w:rPr>
                          <w:t>财政部门应本着社会主义市场经济基本原则，以制度创新、合作契约精神，加强与政府相关部门的协调，积极发挥第三方专业机构作用，全面统筹政府和社会资本合作管理工作。</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各省、自治区、直辖市、计划单列市和新疆生产建设兵团财政部门应积极设立政府和社会资本合作中心或指定专门机构，履行规划指导、融资支持、识别评估、咨询服务、宣传培训、绩效评价、信息统计、专家库和项目库建设等职责。</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第五条</w:t>
                        </w:r>
                        <w:r w:rsidRPr="00BC0F65">
                          <w:rPr>
                            <w:rFonts w:hAnsi="Arial" w:cs="Arial" w:hint="eastAsia"/>
                            <w:kern w:val="0"/>
                            <w:sz w:val="28"/>
                            <w:szCs w:val="28"/>
                          </w:rPr>
                          <w:t xml:space="preserve"> </w:t>
                        </w:r>
                        <w:r w:rsidRPr="00BC0F65">
                          <w:rPr>
                            <w:rFonts w:hAnsi="Arial" w:cs="Arial" w:hint="eastAsia"/>
                            <w:kern w:val="0"/>
                            <w:sz w:val="28"/>
                            <w:szCs w:val="28"/>
                          </w:rPr>
                          <w:t>各参与方应按照公平、公正、公开和</w:t>
                        </w:r>
                        <w:bookmarkStart w:id="0" w:name="_GoBack"/>
                        <w:bookmarkEnd w:id="0"/>
                        <w:r w:rsidRPr="00BC0F65">
                          <w:rPr>
                            <w:rFonts w:hAnsi="Arial" w:cs="Arial" w:hint="eastAsia"/>
                            <w:kern w:val="0"/>
                            <w:sz w:val="28"/>
                            <w:szCs w:val="28"/>
                          </w:rPr>
                          <w:t>诚实信用的原则，依法、规范、高效实施政府和社会资本合作项目。</w:t>
                        </w:r>
                      </w:p>
                      <w:p w:rsidR="00CC2DF7" w:rsidRPr="00BC0F65" w:rsidRDefault="00F768B1">
                        <w:pPr>
                          <w:widowControl/>
                          <w:jc w:val="center"/>
                          <w:rPr>
                            <w:rFonts w:hAnsi="Arial" w:cs="Arial"/>
                            <w:kern w:val="0"/>
                            <w:sz w:val="28"/>
                            <w:szCs w:val="28"/>
                          </w:rPr>
                        </w:pPr>
                        <w:r w:rsidRPr="00BC0F65">
                          <w:rPr>
                            <w:rFonts w:hAnsi="Arial" w:cs="Arial" w:hint="eastAsia"/>
                            <w:b/>
                            <w:bCs/>
                            <w:kern w:val="0"/>
                            <w:sz w:val="28"/>
                            <w:szCs w:val="28"/>
                          </w:rPr>
                          <w:t>第二章</w:t>
                        </w:r>
                        <w:r w:rsidRPr="00BC0F65">
                          <w:rPr>
                            <w:rFonts w:hAnsi="Arial" w:cs="Arial" w:hint="eastAsia"/>
                            <w:b/>
                            <w:bCs/>
                            <w:kern w:val="0"/>
                            <w:sz w:val="28"/>
                            <w:szCs w:val="28"/>
                          </w:rPr>
                          <w:t xml:space="preserve"> </w:t>
                        </w:r>
                        <w:r w:rsidRPr="00BC0F65">
                          <w:rPr>
                            <w:rFonts w:hAnsi="Arial" w:cs="Arial" w:hint="eastAsia"/>
                            <w:b/>
                            <w:bCs/>
                            <w:kern w:val="0"/>
                            <w:sz w:val="28"/>
                            <w:szCs w:val="28"/>
                          </w:rPr>
                          <w:t>项目识别</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第六条</w:t>
                        </w:r>
                        <w:r w:rsidRPr="00BC0F65">
                          <w:rPr>
                            <w:rFonts w:hAnsi="Arial" w:cs="Arial" w:hint="eastAsia"/>
                            <w:kern w:val="0"/>
                            <w:sz w:val="28"/>
                            <w:szCs w:val="28"/>
                          </w:rPr>
                          <w:t xml:space="preserve"> </w:t>
                        </w:r>
                        <w:r w:rsidRPr="00BC0F65">
                          <w:rPr>
                            <w:rFonts w:hAnsi="Arial" w:cs="Arial" w:hint="eastAsia"/>
                            <w:kern w:val="0"/>
                            <w:sz w:val="28"/>
                            <w:szCs w:val="28"/>
                          </w:rPr>
                          <w:t>投资规模较大、需求长期稳定、价格调整机制灵活、市场化程度较高的基础设施及公共服务类项目，适宜采用政府和社会资本合作模式</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政府和社会资本合作项目由政府或社会资本发起，以政府发起为主。</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（一）政府发起。</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财政部门（政府和社会资本合作中心）应负责向交通、住建、环保、能源、教育、医疗、体育健身和文化设施等行业主管部门征集潜在政府和社会资本合作项目。</w:t>
                        </w:r>
                        <w:r w:rsidRPr="00BC0F65">
                          <w:rPr>
                            <w:rFonts w:hAnsi="Arial" w:cs="Arial" w:hint="eastAsia"/>
                            <w:kern w:val="0"/>
                            <w:sz w:val="28"/>
                            <w:szCs w:val="28"/>
                          </w:rPr>
                          <w:t>行业主管部门可从国民经济和社会</w:t>
                        </w:r>
                        <w:r w:rsidRPr="00BC0F65">
                          <w:rPr>
                            <w:rFonts w:hAnsi="Arial" w:cs="Arial" w:hint="eastAsia"/>
                            <w:kern w:val="0"/>
                            <w:sz w:val="28"/>
                            <w:szCs w:val="28"/>
                          </w:rPr>
                          <w:t>发展规划及行业专项规划中的新建、改建项目或存量公共资产中遴选潜在项目</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（二）社会资本发起。</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社会资本应以项目建议书的方式向财政部门（政府和社会资本合作中心）推荐潜在政府和社会资本合作项目。</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第七条</w:t>
                        </w:r>
                        <w:r w:rsidRPr="00BC0F65">
                          <w:rPr>
                            <w:rFonts w:hAnsi="Arial" w:cs="Arial" w:hint="eastAsia"/>
                            <w:kern w:val="0"/>
                            <w:sz w:val="28"/>
                            <w:szCs w:val="28"/>
                          </w:rPr>
                          <w:t xml:space="preserve"> </w:t>
                        </w:r>
                        <w:r w:rsidRPr="00BC0F65">
                          <w:rPr>
                            <w:rFonts w:hAnsi="Arial" w:cs="Arial" w:hint="eastAsia"/>
                            <w:kern w:val="0"/>
                            <w:sz w:val="28"/>
                            <w:szCs w:val="28"/>
                          </w:rPr>
                          <w:t>财政部门（政府和社会资本合作中心）会同行业主管部门，对潜在政府和社会资本合作项目进行评估筛选，确定备选项目。财政部门（政府和社会资本合作中心）应根据筛选结果制定项目年度和中期开发计划。</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对于列入年度开发计划的项目，项目发起方应按财政部门（政府和社会资本合作中心）的要求提交相关资料。新建、改建项目应提交可行性研究报告、项目产出说明和初步实施方案；存量项目应提交存量公共资产的历史资料、项目产出说明和初步实施方案。</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第八条</w:t>
                        </w:r>
                        <w:r w:rsidRPr="00BC0F65">
                          <w:rPr>
                            <w:rFonts w:hAnsi="Arial" w:cs="Arial" w:hint="eastAsia"/>
                            <w:kern w:val="0"/>
                            <w:sz w:val="28"/>
                            <w:szCs w:val="28"/>
                          </w:rPr>
                          <w:t xml:space="preserve"> </w:t>
                        </w:r>
                        <w:r w:rsidRPr="00BC0F65">
                          <w:rPr>
                            <w:rFonts w:hAnsi="Arial" w:cs="Arial" w:hint="eastAsia"/>
                            <w:kern w:val="0"/>
                            <w:sz w:val="28"/>
                            <w:szCs w:val="28"/>
                          </w:rPr>
                          <w:t>财政部门（政府和社会资本合作中心）会同行业主管部门，从定性和定量两方面开展物有所值评价工作。定量评价工作由各地根据实际情况开展。</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w:t>
                        </w:r>
                        <w:r w:rsidRPr="00BC0F65">
                          <w:rPr>
                            <w:rFonts w:hAnsi="Arial" w:cs="Arial" w:hint="eastAsia"/>
                            <w:b/>
                            <w:bCs/>
                            <w:kern w:val="0"/>
                            <w:sz w:val="28"/>
                            <w:szCs w:val="28"/>
                          </w:rPr>
                          <w:t>定性评价</w:t>
                        </w:r>
                        <w:r w:rsidRPr="00BC0F65">
                          <w:rPr>
                            <w:rFonts w:hAnsi="Arial" w:cs="Arial" w:hint="eastAsia"/>
                            <w:kern w:val="0"/>
                            <w:sz w:val="28"/>
                            <w:szCs w:val="28"/>
                          </w:rPr>
                          <w:t>重点关注项目采用政府和社会资本合作模式与采用政府传统采购模式相比能否增加供给、优化风险分配、提高运营效率、促进创新和公平竞争等</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定量评价</w:t>
                        </w:r>
                        <w:r w:rsidRPr="00BC0F65">
                          <w:rPr>
                            <w:rFonts w:hAnsi="Arial" w:cs="Arial" w:hint="eastAsia"/>
                            <w:kern w:val="0"/>
                            <w:sz w:val="28"/>
                            <w:szCs w:val="28"/>
                          </w:rPr>
                          <w:t>主要通过对政府和社会资本合作项目全生命周期内政府支出成本现值与公共部门比较值进行比较，计算项目的物有所值量值，判断政府和社会资本合作模式是否降低项目全生命周期成本</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第九条</w:t>
                        </w:r>
                        <w:r w:rsidRPr="00BC0F65">
                          <w:rPr>
                            <w:rFonts w:hAnsi="Arial" w:cs="Arial" w:hint="eastAsia"/>
                            <w:kern w:val="0"/>
                            <w:sz w:val="28"/>
                            <w:szCs w:val="28"/>
                          </w:rPr>
                          <w:t xml:space="preserve"> </w:t>
                        </w:r>
                        <w:r w:rsidRPr="00BC0F65">
                          <w:rPr>
                            <w:rFonts w:hAnsi="Arial" w:cs="Arial" w:hint="eastAsia"/>
                            <w:kern w:val="0"/>
                            <w:sz w:val="28"/>
                            <w:szCs w:val="28"/>
                          </w:rPr>
                          <w:t>为确保财政中长期可持续性，财政部门应根据项目全生命周期内的财政支出、政府债务等因素，对部分政府付费或</w:t>
                        </w:r>
                        <w:bookmarkStart w:id="1" w:name="OLE_LINK4"/>
                        <w:bookmarkStart w:id="2" w:name="OLE_LINK3"/>
                        <w:bookmarkEnd w:id="1"/>
                        <w:r w:rsidRPr="00BC0F65">
                          <w:rPr>
                            <w:rFonts w:hAnsi="Arial" w:cs="Arial" w:hint="eastAsia"/>
                            <w:kern w:val="0"/>
                            <w:sz w:val="28"/>
                            <w:szCs w:val="28"/>
                          </w:rPr>
                          <w:t>政府补贴</w:t>
                        </w:r>
                        <w:bookmarkEnd w:id="2"/>
                        <w:r w:rsidRPr="00BC0F65">
                          <w:rPr>
                            <w:rFonts w:hAnsi="Arial" w:cs="Arial" w:hint="eastAsia"/>
                            <w:kern w:val="0"/>
                            <w:sz w:val="28"/>
                            <w:szCs w:val="28"/>
                          </w:rPr>
                          <w:t>的项目，开展财政承受能力论证，</w:t>
                        </w:r>
                        <w:r w:rsidRPr="00BC0F65">
                          <w:rPr>
                            <w:rFonts w:hAnsi="Arial" w:cs="Arial" w:hint="eastAsia"/>
                            <w:kern w:val="0"/>
                            <w:sz w:val="28"/>
                            <w:szCs w:val="28"/>
                          </w:rPr>
                          <w:t>每年政府付费或政府补贴等财政支出不得超出当年财政收入的一定比例</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通过物有所值评价和财政承受能力论证的项目，可进行项目准备。</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第三章</w:t>
                        </w:r>
                        <w:r w:rsidRPr="00BC0F65">
                          <w:rPr>
                            <w:rFonts w:hAnsi="Arial" w:cs="Arial" w:hint="eastAsia"/>
                            <w:b/>
                            <w:bCs/>
                            <w:kern w:val="0"/>
                            <w:sz w:val="28"/>
                            <w:szCs w:val="28"/>
                          </w:rPr>
                          <w:t xml:space="preserve"> </w:t>
                        </w:r>
                        <w:r w:rsidRPr="00BC0F65">
                          <w:rPr>
                            <w:rFonts w:hAnsi="Arial" w:cs="Arial" w:hint="eastAsia"/>
                            <w:b/>
                            <w:bCs/>
                            <w:kern w:val="0"/>
                            <w:sz w:val="28"/>
                            <w:szCs w:val="28"/>
                          </w:rPr>
                          <w:t>项目准备</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第十条</w:t>
                        </w:r>
                        <w:r w:rsidRPr="00BC0F65">
                          <w:rPr>
                            <w:rFonts w:hAnsi="Arial" w:cs="Arial" w:hint="eastAsia"/>
                            <w:kern w:val="0"/>
                            <w:sz w:val="28"/>
                            <w:szCs w:val="28"/>
                          </w:rPr>
                          <w:t xml:space="preserve"> </w:t>
                        </w:r>
                        <w:r w:rsidRPr="00BC0F65">
                          <w:rPr>
                            <w:rFonts w:hAnsi="Arial" w:cs="Arial" w:hint="eastAsia"/>
                            <w:kern w:val="0"/>
                            <w:sz w:val="28"/>
                            <w:szCs w:val="28"/>
                          </w:rPr>
                          <w:t>县级（含）以上地</w:t>
                        </w:r>
                        <w:r w:rsidRPr="00BC0F65">
                          <w:rPr>
                            <w:rFonts w:hAnsi="Arial" w:cs="Arial" w:hint="eastAsia"/>
                            <w:kern w:val="0"/>
                            <w:sz w:val="28"/>
                            <w:szCs w:val="28"/>
                          </w:rPr>
                          <w:t>方人民政府可建立专门协调机制，主要负责项目评审、组织协调和检查督导等工作，实现简化审批流程、提高工作效率的目的。政府或其指定的有关职能部门或事业单位可作为项目实施机构，负责项目准备、采购、监管和移交等工作。</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第十一条</w:t>
                        </w:r>
                        <w:r w:rsidRPr="00BC0F65">
                          <w:rPr>
                            <w:rFonts w:hAnsi="Arial" w:cs="Arial" w:hint="eastAsia"/>
                            <w:kern w:val="0"/>
                            <w:sz w:val="28"/>
                            <w:szCs w:val="28"/>
                          </w:rPr>
                          <w:t xml:space="preserve"> </w:t>
                        </w:r>
                        <w:r w:rsidRPr="00BC0F65">
                          <w:rPr>
                            <w:rFonts w:hAnsi="Arial" w:cs="Arial" w:hint="eastAsia"/>
                            <w:b/>
                            <w:bCs/>
                            <w:kern w:val="0"/>
                            <w:sz w:val="28"/>
                            <w:szCs w:val="28"/>
                          </w:rPr>
                          <w:t>项目实施机构</w:t>
                        </w:r>
                        <w:r w:rsidRPr="00BC0F65">
                          <w:rPr>
                            <w:rFonts w:hAnsi="Arial" w:cs="Arial" w:hint="eastAsia"/>
                            <w:kern w:val="0"/>
                            <w:sz w:val="28"/>
                            <w:szCs w:val="28"/>
                          </w:rPr>
                          <w:t>应组织编制项目实施方案，依次对以下内容进行介绍：</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（一）项目概况。</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项目概况主要包括基本情况、经济技术指标和项目公司股权情况等。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基本情况主要明确项目提供的公共产品和服务内容、项目采用政府和社会资本合作模式运作的必要性和可行性，以及项目运作的目标和意义。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经济技术指标主要明确项目区位、占地面积、建设内容或资产范围、投资规模或资产价值、主要产出说明和资金来源等。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项目公司股权情况主要明确是否要设立项目公司以及公司股权结构。</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（二）风险分配基本框架。</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按照风险分配优化、风险收益对等和风险可控等原则，综合考虑政府风险管理能力、项目回报机制和市场风险管理能力等要素，在政府和社会资本间合理分配项目风险。</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原则上，项目设计、建造、财务和运营维护等商业风险由社会资本承担，法律、政策和最低需求等风险由政府承担，不可抗力等风险由政府和社会资本合理共担。</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（三）项目运作方式。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项目运作方式主要包括</w:t>
                        </w:r>
                        <w:r w:rsidRPr="00BC0F65">
                          <w:rPr>
                            <w:rFonts w:hAnsi="Arial" w:cs="Arial" w:hint="eastAsia"/>
                            <w:kern w:val="0"/>
                            <w:sz w:val="28"/>
                            <w:szCs w:val="28"/>
                          </w:rPr>
                          <w:t>委托运营、管理合同、建设</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移交、建设</w:t>
                        </w:r>
                        <w:r w:rsidRPr="00BC0F65">
                          <w:rPr>
                            <w:rFonts w:hAnsi="Arial" w:cs="Arial" w:hint="eastAsia"/>
                            <w:kern w:val="0"/>
                            <w:sz w:val="28"/>
                            <w:szCs w:val="28"/>
                          </w:rPr>
                          <w:t>-</w:t>
                        </w:r>
                        <w:r w:rsidRPr="00BC0F65">
                          <w:rPr>
                            <w:rFonts w:hAnsi="Arial" w:cs="Arial" w:hint="eastAsia"/>
                            <w:kern w:val="0"/>
                            <w:sz w:val="28"/>
                            <w:szCs w:val="28"/>
                          </w:rPr>
                          <w:t>拥有</w:t>
                        </w:r>
                        <w:r w:rsidRPr="00BC0F65">
                          <w:rPr>
                            <w:rFonts w:hAnsi="Arial" w:cs="Arial" w:hint="eastAsia"/>
                            <w:kern w:val="0"/>
                            <w:sz w:val="28"/>
                            <w:szCs w:val="28"/>
                          </w:rPr>
                          <w:t>-</w:t>
                        </w:r>
                        <w:r w:rsidRPr="00BC0F65">
                          <w:rPr>
                            <w:rFonts w:hAnsi="Arial" w:cs="Arial" w:hint="eastAsia"/>
                            <w:kern w:val="0"/>
                            <w:sz w:val="28"/>
                            <w:szCs w:val="28"/>
                          </w:rPr>
                          <w:t>运营、转让</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移交和改建</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移交等</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具体运作方式的选择主要由</w:t>
                        </w:r>
                        <w:r w:rsidRPr="00BC0F65">
                          <w:rPr>
                            <w:rFonts w:hAnsi="Arial" w:cs="Arial" w:hint="eastAsia"/>
                            <w:kern w:val="0"/>
                            <w:sz w:val="28"/>
                            <w:szCs w:val="28"/>
                          </w:rPr>
                          <w:t>收费定价机制、项目投资收益水平、风险分配基本框架、融资需求、改扩建需求和期满处置等因素决定</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（四）交易结构。</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交易结构主要包括项目投融资结构、回报机制和相关配套安排。</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项目投融资结构主要说明项目资本性支出的资金来源、性质和用</w:t>
                        </w:r>
                        <w:r w:rsidRPr="00BC0F65">
                          <w:rPr>
                            <w:rFonts w:hAnsi="Arial" w:cs="Arial" w:hint="eastAsia"/>
                            <w:kern w:val="0"/>
                            <w:sz w:val="28"/>
                            <w:szCs w:val="28"/>
                          </w:rPr>
                          <w:lastRenderedPageBreak/>
                          <w:t>途，项目资产的形成和转移等。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项目回报机制主要说明社会资本取得投资回报的资金来源，包括使用者付费</w:t>
                        </w:r>
                        <w:r w:rsidRPr="00BC0F65">
                          <w:rPr>
                            <w:rFonts w:hAnsi="Arial" w:cs="Arial" w:hint="eastAsia"/>
                            <w:kern w:val="0"/>
                            <w:sz w:val="28"/>
                            <w:szCs w:val="28"/>
                          </w:rPr>
                          <w:t>、可行性缺口补助和政府付费等支付方式。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相关配套安排主要说明由项目以外相关机构提供的土地、水、电、气和道路等配套设施和项目所需的上下游服务。</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（五）合同体系。</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合同体系主要包括项目合同、股东合同、融资合同、工程承包合同、运营服务合同、原料供应合同、产品采购合同和保险合同等。</w:t>
                        </w:r>
                        <w:r w:rsidRPr="00BC0F65">
                          <w:rPr>
                            <w:rFonts w:hAnsi="Arial" w:cs="Arial" w:hint="eastAsia"/>
                            <w:kern w:val="0"/>
                            <w:sz w:val="28"/>
                            <w:szCs w:val="28"/>
                          </w:rPr>
                          <w:t>项目合同是其中最核心的法律文件</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项目边界条件是项目合同的核心内容，主要包括权利义务、交易条件、履约保障和调整衔接等边界。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权利义务边界主要明确项目资产权属、社会资本承担的公共责任、政府支付方式和风险分配结果等。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交易条件边界主要明确项目合同期限、项目回报机制、收费定价调整机制和产出说明等。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履约保障边界主要明确强制保险方案以及由投资竞争保函、建设履约保函、运营维护保函和移交维修保函组成的履约保函体系。</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调整衔接边界主要明确应急处置、临时接管和提前终止、合同变更、合同展期、项目新增改扩建需求等应对措施。</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（六）监管架构。</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监管架构主要包括授权关系和监管方式。授权关系主要是政府对项目实施机构的授权，以及政府直接或通过项目实施机构对社会资本</w:t>
                        </w:r>
                        <w:r w:rsidRPr="00BC0F65">
                          <w:rPr>
                            <w:rFonts w:hAnsi="Arial" w:cs="Arial" w:hint="eastAsia"/>
                            <w:kern w:val="0"/>
                            <w:sz w:val="28"/>
                            <w:szCs w:val="28"/>
                          </w:rPr>
                          <w:lastRenderedPageBreak/>
                          <w:t>的授权；监管方式主要包括履约管理、行政监管和公众监督等。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（七</w:t>
                        </w:r>
                        <w:r w:rsidRPr="00BC0F65">
                          <w:rPr>
                            <w:rFonts w:hAnsi="Arial" w:cs="Arial" w:hint="eastAsia"/>
                            <w:kern w:val="0"/>
                            <w:sz w:val="28"/>
                            <w:szCs w:val="28"/>
                          </w:rPr>
                          <w:t>）采购方式选择。</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项目采购应根据</w:t>
                        </w:r>
                        <w:r w:rsidRPr="00BC0F65">
                          <w:rPr>
                            <w:rFonts w:hAnsi="Arial" w:cs="Arial" w:hint="eastAsia"/>
                            <w:b/>
                            <w:bCs/>
                            <w:kern w:val="0"/>
                            <w:sz w:val="28"/>
                            <w:szCs w:val="28"/>
                          </w:rPr>
                          <w:t>《中华人民共和国政府采购法》</w:t>
                        </w:r>
                        <w:r w:rsidRPr="00BC0F65">
                          <w:rPr>
                            <w:rFonts w:hAnsi="Arial" w:cs="Arial" w:hint="eastAsia"/>
                            <w:kern w:val="0"/>
                            <w:sz w:val="28"/>
                            <w:szCs w:val="28"/>
                          </w:rPr>
                          <w:t>及相关规章制度执行，采购方式包括</w:t>
                        </w:r>
                        <w:r w:rsidRPr="00BC0F65">
                          <w:rPr>
                            <w:rFonts w:hAnsi="Arial" w:cs="Arial" w:hint="eastAsia"/>
                            <w:b/>
                            <w:bCs/>
                            <w:kern w:val="0"/>
                            <w:sz w:val="28"/>
                            <w:szCs w:val="28"/>
                          </w:rPr>
                          <w:t>公开招标、竞争性谈判、邀请招标、竞争性磋商和单一来源采购</w:t>
                        </w:r>
                        <w:r w:rsidRPr="00BC0F65">
                          <w:rPr>
                            <w:rFonts w:hAnsi="Arial" w:cs="Arial" w:hint="eastAsia"/>
                            <w:kern w:val="0"/>
                            <w:sz w:val="28"/>
                            <w:szCs w:val="28"/>
                          </w:rPr>
                          <w:t>。项目实施机构应根据项目采购需求特点，依法选择适当采购方式。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公开招标主要适用于核心边界条件和技术经济参数明确、完整、符合国家法律法规和政府采购政策，且采购中不作更改的项目。</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第十二条</w:t>
                        </w:r>
                        <w:r w:rsidRPr="00BC0F65">
                          <w:rPr>
                            <w:rFonts w:hAnsi="Arial" w:cs="Arial" w:hint="eastAsia"/>
                            <w:kern w:val="0"/>
                            <w:sz w:val="28"/>
                            <w:szCs w:val="28"/>
                          </w:rPr>
                          <w:t xml:space="preserve"> </w:t>
                        </w:r>
                        <w:r w:rsidRPr="00BC0F65">
                          <w:rPr>
                            <w:rFonts w:hAnsi="Arial" w:cs="Arial" w:hint="eastAsia"/>
                            <w:kern w:val="0"/>
                            <w:sz w:val="28"/>
                            <w:szCs w:val="28"/>
                          </w:rPr>
                          <w:t>财政部门（政府和社会资本合作中心）应对项目实施方案进行</w:t>
                        </w:r>
                        <w:r w:rsidRPr="00BC0F65">
                          <w:rPr>
                            <w:rFonts w:hAnsi="Arial" w:cs="Arial" w:hint="eastAsia"/>
                            <w:b/>
                            <w:bCs/>
                            <w:kern w:val="0"/>
                            <w:sz w:val="28"/>
                            <w:szCs w:val="28"/>
                          </w:rPr>
                          <w:t>物有所值</w:t>
                        </w:r>
                        <w:r w:rsidRPr="00BC0F65">
                          <w:rPr>
                            <w:rFonts w:hAnsi="Arial" w:cs="Arial" w:hint="eastAsia"/>
                            <w:kern w:val="0"/>
                            <w:sz w:val="28"/>
                            <w:szCs w:val="28"/>
                          </w:rPr>
                          <w:t>和</w:t>
                        </w:r>
                        <w:r w:rsidRPr="00BC0F65">
                          <w:rPr>
                            <w:rFonts w:hAnsi="Arial" w:cs="Arial" w:hint="eastAsia"/>
                            <w:b/>
                            <w:bCs/>
                            <w:kern w:val="0"/>
                            <w:sz w:val="28"/>
                            <w:szCs w:val="28"/>
                          </w:rPr>
                          <w:t>财政承受能力验证</w:t>
                        </w:r>
                        <w:r w:rsidRPr="00BC0F65">
                          <w:rPr>
                            <w:rFonts w:hAnsi="Arial" w:cs="Arial" w:hint="eastAsia"/>
                            <w:kern w:val="0"/>
                            <w:sz w:val="28"/>
                            <w:szCs w:val="28"/>
                          </w:rPr>
                          <w:t>，</w:t>
                        </w:r>
                        <w:r w:rsidRPr="00BC0F65">
                          <w:rPr>
                            <w:rFonts w:hAnsi="Arial" w:cs="Arial" w:hint="eastAsia"/>
                            <w:kern w:val="0"/>
                            <w:sz w:val="28"/>
                            <w:szCs w:val="28"/>
                          </w:rPr>
                          <w:t>通过验证的，由项目实施机构报政府审核</w:t>
                        </w:r>
                        <w:r w:rsidRPr="00BC0F65">
                          <w:rPr>
                            <w:rFonts w:hAnsi="Arial" w:cs="Arial" w:hint="eastAsia"/>
                            <w:kern w:val="0"/>
                            <w:sz w:val="28"/>
                            <w:szCs w:val="28"/>
                          </w:rPr>
                          <w:t>；</w:t>
                        </w:r>
                        <w:r w:rsidRPr="00BC0F65">
                          <w:rPr>
                            <w:rFonts w:hAnsi="Arial" w:cs="Arial" w:hint="eastAsia"/>
                            <w:kern w:val="0"/>
                            <w:sz w:val="28"/>
                            <w:szCs w:val="28"/>
                          </w:rPr>
                          <w:t>未通过验证的，可在实施方案调整后重新验证</w:t>
                        </w:r>
                        <w:r w:rsidRPr="00BC0F65">
                          <w:rPr>
                            <w:rFonts w:hAnsi="Arial" w:cs="Arial" w:hint="eastAsia"/>
                            <w:kern w:val="0"/>
                            <w:sz w:val="28"/>
                            <w:szCs w:val="28"/>
                          </w:rPr>
                          <w:t>；</w:t>
                        </w:r>
                        <w:r w:rsidRPr="00BC0F65">
                          <w:rPr>
                            <w:rFonts w:hAnsi="Arial" w:cs="Arial" w:hint="eastAsia"/>
                            <w:kern w:val="0"/>
                            <w:sz w:val="28"/>
                            <w:szCs w:val="28"/>
                          </w:rPr>
                          <w:t>经重新验证仍不能通过的，不再采用政府和社会资本合作模式</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第四章</w:t>
                        </w:r>
                        <w:r w:rsidRPr="00BC0F65">
                          <w:rPr>
                            <w:rFonts w:hAnsi="Arial" w:cs="Arial" w:hint="eastAsia"/>
                            <w:b/>
                            <w:bCs/>
                            <w:kern w:val="0"/>
                            <w:sz w:val="28"/>
                            <w:szCs w:val="28"/>
                          </w:rPr>
                          <w:t xml:space="preserve"> </w:t>
                        </w:r>
                        <w:r w:rsidRPr="00BC0F65">
                          <w:rPr>
                            <w:rFonts w:hAnsi="Arial" w:cs="Arial" w:hint="eastAsia"/>
                            <w:b/>
                            <w:bCs/>
                            <w:kern w:val="0"/>
                            <w:sz w:val="28"/>
                            <w:szCs w:val="28"/>
                          </w:rPr>
                          <w:t>项目采购</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第十三条</w:t>
                        </w:r>
                        <w:r w:rsidRPr="00BC0F65">
                          <w:rPr>
                            <w:rFonts w:hAnsi="Arial" w:cs="Arial" w:hint="eastAsia"/>
                            <w:kern w:val="0"/>
                            <w:sz w:val="28"/>
                            <w:szCs w:val="28"/>
                          </w:rPr>
                          <w:t xml:space="preserve"> </w:t>
                        </w:r>
                        <w:r w:rsidRPr="00BC0F65">
                          <w:rPr>
                            <w:rFonts w:hAnsi="Arial" w:cs="Arial" w:hint="eastAsia"/>
                            <w:kern w:val="0"/>
                            <w:sz w:val="28"/>
                            <w:szCs w:val="28"/>
                          </w:rPr>
                          <w:t>项目实施机构应根据项目需要准备资格预审文件，发布资格预审公告，邀请社会资本和与其合作的金融机构参与资格预审，验证项目能否获得社会资本响应和实现充分竞争，并将资格预审的评审报告提交财政部门（政府和社会资本合作中心）备案。</w:t>
                        </w:r>
                      </w:p>
                      <w:p w:rsidR="00CC2DF7" w:rsidRPr="00BC0F65" w:rsidRDefault="00F768B1">
                        <w:pPr>
                          <w:widowControl/>
                          <w:jc w:val="left"/>
                          <w:rPr>
                            <w:rFonts w:hAnsi="Arial" w:cs="Arial"/>
                            <w:b/>
                            <w:bCs/>
                            <w:kern w:val="0"/>
                            <w:sz w:val="28"/>
                            <w:szCs w:val="28"/>
                          </w:rPr>
                        </w:pPr>
                        <w:r w:rsidRPr="00BC0F65">
                          <w:rPr>
                            <w:rFonts w:hAnsi="Arial" w:cs="Arial" w:hint="eastAsia"/>
                            <w:kern w:val="0"/>
                            <w:sz w:val="28"/>
                            <w:szCs w:val="28"/>
                          </w:rPr>
                          <w:t xml:space="preserve">　　项目有</w:t>
                        </w:r>
                        <w:r w:rsidRPr="00BC0F65">
                          <w:rPr>
                            <w:rFonts w:hAnsi="Arial" w:cs="Arial" w:hint="eastAsia"/>
                            <w:kern w:val="0"/>
                            <w:sz w:val="28"/>
                            <w:szCs w:val="28"/>
                          </w:rPr>
                          <w:t>3</w:t>
                        </w:r>
                        <w:r w:rsidRPr="00BC0F65">
                          <w:rPr>
                            <w:rFonts w:hAnsi="Arial" w:cs="Arial" w:hint="eastAsia"/>
                            <w:kern w:val="0"/>
                            <w:sz w:val="28"/>
                            <w:szCs w:val="28"/>
                          </w:rPr>
                          <w:t>家以上社会资本通过资格预审的，项目实施机构可以继续开展采购文件准备工作；项目通过资格预审的社会资本不足</w:t>
                        </w:r>
                        <w:r w:rsidRPr="00BC0F65">
                          <w:rPr>
                            <w:rFonts w:hAnsi="Arial" w:cs="Arial" w:hint="eastAsia"/>
                            <w:kern w:val="0"/>
                            <w:sz w:val="28"/>
                            <w:szCs w:val="28"/>
                          </w:rPr>
                          <w:t>3</w:t>
                        </w:r>
                        <w:r w:rsidRPr="00BC0F65">
                          <w:rPr>
                            <w:rFonts w:hAnsi="Arial" w:cs="Arial" w:hint="eastAsia"/>
                            <w:kern w:val="0"/>
                            <w:sz w:val="28"/>
                            <w:szCs w:val="28"/>
                          </w:rPr>
                          <w:t>家的，项目实施机构应在实施方案调整后重新组织资格预审；</w:t>
                        </w:r>
                        <w:r w:rsidRPr="00BC0F65">
                          <w:rPr>
                            <w:rFonts w:hAnsi="Arial" w:cs="Arial" w:hint="eastAsia"/>
                            <w:b/>
                            <w:bCs/>
                            <w:kern w:val="0"/>
                            <w:sz w:val="28"/>
                            <w:szCs w:val="28"/>
                          </w:rPr>
                          <w:t>项目经重新资格预审合格社会资本仍不够</w:t>
                        </w:r>
                        <w:r w:rsidRPr="00BC0F65">
                          <w:rPr>
                            <w:rFonts w:hAnsi="Arial" w:cs="Arial" w:hint="eastAsia"/>
                            <w:b/>
                            <w:bCs/>
                            <w:kern w:val="0"/>
                            <w:sz w:val="28"/>
                            <w:szCs w:val="28"/>
                          </w:rPr>
                          <w:t>3</w:t>
                        </w:r>
                        <w:r w:rsidRPr="00BC0F65">
                          <w:rPr>
                            <w:rFonts w:hAnsi="Arial" w:cs="Arial" w:hint="eastAsia"/>
                            <w:b/>
                            <w:bCs/>
                            <w:kern w:val="0"/>
                            <w:sz w:val="28"/>
                            <w:szCs w:val="28"/>
                          </w:rPr>
                          <w:t>家的，可依法调整实施方案选择的采购方式。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第十四条</w:t>
                        </w:r>
                        <w:r w:rsidRPr="00BC0F65">
                          <w:rPr>
                            <w:rFonts w:hAnsi="Arial" w:cs="Arial" w:hint="eastAsia"/>
                            <w:kern w:val="0"/>
                            <w:sz w:val="28"/>
                            <w:szCs w:val="28"/>
                          </w:rPr>
                          <w:t xml:space="preserve"> </w:t>
                        </w:r>
                        <w:r w:rsidRPr="00BC0F65">
                          <w:rPr>
                            <w:rFonts w:hAnsi="Arial" w:cs="Arial" w:hint="eastAsia"/>
                            <w:b/>
                            <w:bCs/>
                            <w:kern w:val="0"/>
                            <w:sz w:val="28"/>
                            <w:szCs w:val="28"/>
                          </w:rPr>
                          <w:t>资格预审公告应在省级以上人民政府财政部门指定的媒体上发布</w:t>
                        </w:r>
                        <w:r w:rsidRPr="00BC0F65">
                          <w:rPr>
                            <w:rFonts w:hAnsi="Arial" w:cs="Arial" w:hint="eastAsia"/>
                            <w:b/>
                            <w:bCs/>
                            <w:kern w:val="0"/>
                            <w:sz w:val="28"/>
                            <w:szCs w:val="28"/>
                          </w:rPr>
                          <w:t>。</w:t>
                        </w:r>
                        <w:r w:rsidRPr="00BC0F65">
                          <w:rPr>
                            <w:rFonts w:hAnsi="Arial" w:cs="Arial" w:hint="eastAsia"/>
                            <w:kern w:val="0"/>
                            <w:sz w:val="28"/>
                            <w:szCs w:val="28"/>
                          </w:rPr>
                          <w:t>资格预审合格的社会资本在签订项目合同前资格发生变化的，应及时通知项目实施机构。</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资格预审公告应包括项目授权主体、项目实施机构和项目名称、采购需求、对社会资本的资格要求、是否允许</w:t>
                        </w:r>
                        <w:bookmarkStart w:id="3" w:name="OLE_LINK2"/>
                        <w:bookmarkStart w:id="4" w:name="OLE_LINK1"/>
                        <w:bookmarkEnd w:id="3"/>
                        <w:r w:rsidRPr="00BC0F65">
                          <w:rPr>
                            <w:rFonts w:hAnsi="Arial" w:cs="Arial" w:hint="eastAsia"/>
                            <w:kern w:val="0"/>
                            <w:sz w:val="28"/>
                            <w:szCs w:val="28"/>
                          </w:rPr>
                          <w:t>联合体</w:t>
                        </w:r>
                        <w:bookmarkEnd w:id="4"/>
                        <w:r w:rsidRPr="00BC0F65">
                          <w:rPr>
                            <w:rFonts w:hAnsi="Arial" w:cs="Arial" w:hint="eastAsia"/>
                            <w:kern w:val="0"/>
                            <w:sz w:val="28"/>
                            <w:szCs w:val="28"/>
                          </w:rPr>
                          <w:t>参与采购活动、拟确定参与竞争的合格社会资本的家数和确定方法</w:t>
                        </w:r>
                        <w:r w:rsidRPr="00BC0F65">
                          <w:rPr>
                            <w:rFonts w:hAnsi="Arial" w:cs="Arial" w:hint="eastAsia"/>
                            <w:kern w:val="0"/>
                            <w:sz w:val="28"/>
                            <w:szCs w:val="28"/>
                          </w:rPr>
                          <w:t>,</w:t>
                        </w:r>
                        <w:r w:rsidRPr="00BC0F65">
                          <w:rPr>
                            <w:rFonts w:hAnsi="Arial" w:cs="Arial" w:hint="eastAsia"/>
                            <w:kern w:val="0"/>
                            <w:sz w:val="28"/>
                            <w:szCs w:val="28"/>
                          </w:rPr>
                          <w:t>以及社会资本提交资格预审申请文件的时间和地点。提交资格预审申请文件的时间自公告发布之日起不得少于</w:t>
                        </w:r>
                        <w:r w:rsidRPr="00BC0F65">
                          <w:rPr>
                            <w:rFonts w:hAnsi="Arial" w:cs="Arial" w:hint="eastAsia"/>
                            <w:kern w:val="0"/>
                            <w:sz w:val="28"/>
                            <w:szCs w:val="28"/>
                          </w:rPr>
                          <w:t>15</w:t>
                        </w:r>
                        <w:r w:rsidRPr="00BC0F65">
                          <w:rPr>
                            <w:rFonts w:hAnsi="Arial" w:cs="Arial" w:hint="eastAsia"/>
                            <w:kern w:val="0"/>
                            <w:sz w:val="28"/>
                            <w:szCs w:val="28"/>
                          </w:rPr>
                          <w:t>个工作日。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第十五条</w:t>
                        </w:r>
                        <w:r w:rsidRPr="00BC0F65">
                          <w:rPr>
                            <w:rFonts w:hAnsi="Arial" w:cs="Arial" w:hint="eastAsia"/>
                            <w:kern w:val="0"/>
                            <w:sz w:val="28"/>
                            <w:szCs w:val="28"/>
                          </w:rPr>
                          <w:t xml:space="preserve"> </w:t>
                        </w:r>
                        <w:r w:rsidRPr="00BC0F65">
                          <w:rPr>
                            <w:rFonts w:hAnsi="Arial" w:cs="Arial" w:hint="eastAsia"/>
                            <w:kern w:val="0"/>
                            <w:sz w:val="28"/>
                            <w:szCs w:val="28"/>
                          </w:rPr>
                          <w:t>项目采购文件应包括采购邀请、竞争者须知（包括密封、签署、盖章要求等）、竞争者应提供的资格、资信及业绩证明文件、采购方式、政府对项目实施机构的授权、实施方案的批复和项目相关审批文件、采购程序、响应文件编制要求、提交响应文件截止时间、开启时间及地点、强制担保的保证金交纳数额和形式、评审方法、评审标准、政府采购政策要求、项目合同草案及其他法律文本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采用竞争性谈判或竞争性磋商采购方式的，项目采购文件除上款规定的内容外，还应明确评审小组根据与社会资本谈判情况可能实质性变动的内容，包括采购需求中的</w:t>
                        </w:r>
                        <w:r w:rsidRPr="00BC0F65">
                          <w:rPr>
                            <w:rFonts w:hAnsi="Arial" w:cs="Arial" w:hint="eastAsia"/>
                            <w:kern w:val="0"/>
                            <w:sz w:val="28"/>
                            <w:szCs w:val="28"/>
                          </w:rPr>
                          <w:t>技术、服务要求以及合同草案条款。</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第十六条</w:t>
                        </w:r>
                        <w:r w:rsidRPr="00BC0F65">
                          <w:rPr>
                            <w:rFonts w:hAnsi="Arial" w:cs="Arial" w:hint="eastAsia"/>
                            <w:kern w:val="0"/>
                            <w:sz w:val="28"/>
                            <w:szCs w:val="28"/>
                          </w:rPr>
                          <w:t xml:space="preserve"> </w:t>
                        </w:r>
                        <w:r w:rsidRPr="00BC0F65">
                          <w:rPr>
                            <w:rFonts w:hAnsi="Arial" w:cs="Arial" w:hint="eastAsia"/>
                            <w:kern w:val="0"/>
                            <w:sz w:val="28"/>
                            <w:szCs w:val="28"/>
                          </w:rPr>
                          <w:t>评审小组由项目实施机构代表和评审专家共</w:t>
                        </w:r>
                        <w:r w:rsidRPr="00BC0F65">
                          <w:rPr>
                            <w:rFonts w:hAnsi="Arial" w:cs="Arial" w:hint="eastAsia"/>
                            <w:kern w:val="0"/>
                            <w:sz w:val="28"/>
                            <w:szCs w:val="28"/>
                          </w:rPr>
                          <w:t>5</w:t>
                        </w:r>
                        <w:r w:rsidRPr="00BC0F65">
                          <w:rPr>
                            <w:rFonts w:hAnsi="Arial" w:cs="Arial" w:hint="eastAsia"/>
                            <w:kern w:val="0"/>
                            <w:sz w:val="28"/>
                            <w:szCs w:val="28"/>
                          </w:rPr>
                          <w:t>人以上单数组成，其中评审专家人数不得少于评审小组成员总数的</w:t>
                        </w:r>
                        <w:r w:rsidRPr="00BC0F65">
                          <w:rPr>
                            <w:rFonts w:hAnsi="Arial" w:cs="Arial" w:hint="eastAsia"/>
                            <w:kern w:val="0"/>
                            <w:sz w:val="28"/>
                            <w:szCs w:val="28"/>
                          </w:rPr>
                          <w:t>2/3</w:t>
                        </w:r>
                        <w:r w:rsidRPr="00BC0F65">
                          <w:rPr>
                            <w:rFonts w:hAnsi="Arial" w:cs="Arial" w:hint="eastAsia"/>
                            <w:kern w:val="0"/>
                            <w:sz w:val="28"/>
                            <w:szCs w:val="28"/>
                          </w:rPr>
                          <w:t>。评审专家可以由项目实施机构自行选定，但评审专家中应至少包含</w:t>
                        </w:r>
                        <w:r w:rsidRPr="00BC0F65">
                          <w:rPr>
                            <w:rFonts w:hAnsi="Arial" w:cs="Arial" w:hint="eastAsia"/>
                            <w:kern w:val="0"/>
                            <w:sz w:val="28"/>
                            <w:szCs w:val="28"/>
                          </w:rPr>
                          <w:t>1</w:t>
                        </w:r>
                        <w:r w:rsidRPr="00BC0F65">
                          <w:rPr>
                            <w:rFonts w:hAnsi="Arial" w:cs="Arial" w:hint="eastAsia"/>
                            <w:kern w:val="0"/>
                            <w:sz w:val="28"/>
                            <w:szCs w:val="28"/>
                          </w:rPr>
                          <w:t>名财务专家和</w:t>
                        </w:r>
                        <w:r w:rsidRPr="00BC0F65">
                          <w:rPr>
                            <w:rFonts w:hAnsi="Arial" w:cs="Arial" w:hint="eastAsia"/>
                            <w:kern w:val="0"/>
                            <w:sz w:val="28"/>
                            <w:szCs w:val="28"/>
                          </w:rPr>
                          <w:t>1</w:t>
                        </w:r>
                        <w:r w:rsidRPr="00BC0F65">
                          <w:rPr>
                            <w:rFonts w:hAnsi="Arial" w:cs="Arial" w:hint="eastAsia"/>
                            <w:kern w:val="0"/>
                            <w:sz w:val="28"/>
                            <w:szCs w:val="28"/>
                          </w:rPr>
                          <w:t>名法律专家。项目实施机构代表不得以评审专家身份参加项目的评审。</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第十七条</w:t>
                        </w:r>
                        <w:r w:rsidRPr="00BC0F65">
                          <w:rPr>
                            <w:rFonts w:hAnsi="Arial" w:cs="Arial" w:hint="eastAsia"/>
                            <w:kern w:val="0"/>
                            <w:sz w:val="28"/>
                            <w:szCs w:val="28"/>
                          </w:rPr>
                          <w:t xml:space="preserve"> </w:t>
                        </w:r>
                        <w:r w:rsidRPr="00BC0F65">
                          <w:rPr>
                            <w:rFonts w:hAnsi="Arial" w:cs="Arial" w:hint="eastAsia"/>
                            <w:kern w:val="0"/>
                            <w:sz w:val="28"/>
                            <w:szCs w:val="28"/>
                          </w:rPr>
                          <w:t>项目采用公开招标、邀请招标、竞争性谈判、单一来源采购方式开展采购的，按照政府采购法律法规及有关规定执行。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项目采用竞争性磋商采购方式开展采购的，按照下列基本程序进行：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（一）采购公告发布及报名。</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 xml:space="preserve">　</w:t>
                        </w:r>
                        <w:r w:rsidRPr="00BC0F65">
                          <w:rPr>
                            <w:rFonts w:hAnsi="Arial" w:cs="Arial" w:hint="eastAsia"/>
                            <w:b/>
                            <w:bCs/>
                            <w:kern w:val="0"/>
                            <w:sz w:val="28"/>
                            <w:szCs w:val="28"/>
                          </w:rPr>
                          <w:t>竞争性磋商公告应在省级以上人民政府财政部门指定的媒体上发布。</w:t>
                        </w:r>
                        <w:r w:rsidRPr="00BC0F65">
                          <w:rPr>
                            <w:rFonts w:hAnsi="Arial" w:cs="Arial" w:hint="eastAsia"/>
                            <w:kern w:val="0"/>
                            <w:sz w:val="28"/>
                            <w:szCs w:val="28"/>
                          </w:rPr>
                          <w:t>竞争性磋商公告应包括项目实施机构和项目名称、项目结构和核心边界条件、是否允许未进行资格预审的社会资本参与采购活动，以及审查原则、项目产出说明、对社会资本提供的响应文件要求、获取采购文件的时间、地点、方式及采购文件的售价、提交响应文件截止时间、开启时间及地点。提交响应文件的时间自公告发布之日起不得少于</w:t>
                        </w:r>
                        <w:r w:rsidRPr="00BC0F65">
                          <w:rPr>
                            <w:rFonts w:hAnsi="Arial" w:cs="Arial" w:hint="eastAsia"/>
                            <w:kern w:val="0"/>
                            <w:sz w:val="28"/>
                            <w:szCs w:val="28"/>
                          </w:rPr>
                          <w:t>10</w:t>
                        </w:r>
                        <w:r w:rsidRPr="00BC0F65">
                          <w:rPr>
                            <w:rFonts w:hAnsi="Arial" w:cs="Arial" w:hint="eastAsia"/>
                            <w:kern w:val="0"/>
                            <w:sz w:val="28"/>
                            <w:szCs w:val="28"/>
                          </w:rPr>
                          <w:t>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（二）资格审查及采购文件发售。</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已进行资格预审的，评审小组在评审阶段不再对社会资本资格进行审查。允许进行资格后审的，由评审小组在响应</w:t>
                        </w:r>
                        <w:r w:rsidRPr="00BC0F65">
                          <w:rPr>
                            <w:rFonts w:hAnsi="Arial" w:cs="Arial" w:hint="eastAsia"/>
                            <w:kern w:val="0"/>
                            <w:sz w:val="28"/>
                            <w:szCs w:val="28"/>
                          </w:rPr>
                          <w:t>文件评审环节对社会资本进行资格审查。项目实施机构可以视项目的具体情况，组织对符合条件的社会资本的资格条件，进行考察核实。</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采购文件售价，应按照弥补采购文件印制成本费用的原则确定，不得以营利为目的，不得以项目采购金额作为确定采购文件售价依据。采购文件的发售期限自开始之日起不得少于</w:t>
                        </w:r>
                        <w:r w:rsidRPr="00BC0F65">
                          <w:rPr>
                            <w:rFonts w:hAnsi="Arial" w:cs="Arial" w:hint="eastAsia"/>
                            <w:kern w:val="0"/>
                            <w:sz w:val="28"/>
                            <w:szCs w:val="28"/>
                          </w:rPr>
                          <w:t>5</w:t>
                        </w:r>
                        <w:r w:rsidRPr="00BC0F65">
                          <w:rPr>
                            <w:rFonts w:hAnsi="Arial" w:cs="Arial" w:hint="eastAsia"/>
                            <w:kern w:val="0"/>
                            <w:sz w:val="28"/>
                            <w:szCs w:val="28"/>
                          </w:rPr>
                          <w:t>个工作日。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（三）采购文件的澄清或修改。</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提交首次响应文件截止之日前，项目实施机构可以对已发出的采</w:t>
                        </w:r>
                        <w:r w:rsidRPr="00BC0F65">
                          <w:rPr>
                            <w:rFonts w:hAnsi="Arial" w:cs="Arial" w:hint="eastAsia"/>
                            <w:kern w:val="0"/>
                            <w:sz w:val="28"/>
                            <w:szCs w:val="28"/>
                          </w:rPr>
                          <w:lastRenderedPageBreak/>
                          <w:t>购文件进行必要的澄清或修改，澄清或修改的内容应作为采购文件的组成部分。澄清或修改的内容可能影响响应文件编制的，项目实施机构</w:t>
                        </w:r>
                        <w:r w:rsidRPr="00BC0F65">
                          <w:rPr>
                            <w:rFonts w:hAnsi="Arial" w:cs="Arial" w:hint="eastAsia"/>
                            <w:kern w:val="0"/>
                            <w:sz w:val="28"/>
                            <w:szCs w:val="28"/>
                          </w:rPr>
                          <w:t>应在提交首次响应文件截止时间至少</w:t>
                        </w:r>
                        <w:r w:rsidRPr="00BC0F65">
                          <w:rPr>
                            <w:rFonts w:hAnsi="Arial" w:cs="Arial" w:hint="eastAsia"/>
                            <w:kern w:val="0"/>
                            <w:sz w:val="28"/>
                            <w:szCs w:val="28"/>
                          </w:rPr>
                          <w:t>5</w:t>
                        </w:r>
                        <w:r w:rsidRPr="00BC0F65">
                          <w:rPr>
                            <w:rFonts w:hAnsi="Arial" w:cs="Arial" w:hint="eastAsia"/>
                            <w:kern w:val="0"/>
                            <w:sz w:val="28"/>
                            <w:szCs w:val="28"/>
                          </w:rPr>
                          <w:t>日前，以书面形式通知所有获取采购文件的社会资本；不足</w:t>
                        </w:r>
                        <w:r w:rsidRPr="00BC0F65">
                          <w:rPr>
                            <w:rFonts w:hAnsi="Arial" w:cs="Arial" w:hint="eastAsia"/>
                            <w:kern w:val="0"/>
                            <w:sz w:val="28"/>
                            <w:szCs w:val="28"/>
                          </w:rPr>
                          <w:t>5</w:t>
                        </w:r>
                        <w:r w:rsidRPr="00BC0F65">
                          <w:rPr>
                            <w:rFonts w:hAnsi="Arial" w:cs="Arial" w:hint="eastAsia"/>
                            <w:kern w:val="0"/>
                            <w:sz w:val="28"/>
                            <w:szCs w:val="28"/>
                          </w:rPr>
                          <w:t>日的，项目实施机构应顺延提交响应文件的截止时间。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（四）响应文件评审。</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项目实施机构应按照采购文件规定组织响应文件的接收和开启。</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评审小组对响应文件进行两阶段评审：</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一阶段：确定最终采购需求方案。评审小组可以与社会资本进行多轮谈判，谈判过程中可实质性修订采购文件的技术、服务要求以及合同草案条款，但不得修订采购文件中规定的不可谈判核心条件。实质性变动的内容，须经项目实施机构确认，并通知所有参与谈判的社会资</w:t>
                        </w:r>
                        <w:r w:rsidRPr="00BC0F65">
                          <w:rPr>
                            <w:rFonts w:hAnsi="Arial" w:cs="Arial" w:hint="eastAsia"/>
                            <w:kern w:val="0"/>
                            <w:sz w:val="28"/>
                            <w:szCs w:val="28"/>
                          </w:rPr>
                          <w:t>本。具体程序按照《政府采购非招标方式管理办法》及有关规定执行。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阶段：综合评分。最终采购需求方案确定后，由评审小组对社会资本提交的最终响应文件进行综合评分，编写评审报告并向项目实施机构提交候选社会资本的排序名单。具体程序按照《政府采购货物和服务招标投标管理办法》及有关规定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第十八条</w:t>
                        </w:r>
                        <w:r w:rsidRPr="00BC0F65">
                          <w:rPr>
                            <w:rFonts w:hAnsi="Arial" w:cs="Arial" w:hint="eastAsia"/>
                            <w:kern w:val="0"/>
                            <w:sz w:val="28"/>
                            <w:szCs w:val="28"/>
                          </w:rPr>
                          <w:t xml:space="preserve"> </w:t>
                        </w:r>
                        <w:r w:rsidRPr="00BC0F65">
                          <w:rPr>
                            <w:rFonts w:hAnsi="Arial" w:cs="Arial" w:hint="eastAsia"/>
                            <w:kern w:val="0"/>
                            <w:sz w:val="28"/>
                            <w:szCs w:val="28"/>
                          </w:rPr>
                          <w:t>项目实施机构应在资格预审公告、采购公告、采购文件、采购合同中，列明对本国社会资本的优惠措施及幅度、外方社会资本采购我国生产的货物和服务要求等相关政府采购政策，以及对社会资本参与采购活动和履约保证的强制担保要求。</w:t>
                        </w:r>
                        <w:r w:rsidRPr="00BC0F65">
                          <w:rPr>
                            <w:rFonts w:hAnsi="Arial" w:cs="Arial" w:hint="eastAsia"/>
                            <w:kern w:val="0"/>
                            <w:sz w:val="28"/>
                            <w:szCs w:val="28"/>
                          </w:rPr>
                          <w:t>社会资本应以支</w:t>
                        </w:r>
                        <w:r w:rsidRPr="00BC0F65">
                          <w:rPr>
                            <w:rFonts w:hAnsi="Arial" w:cs="Arial" w:hint="eastAsia"/>
                            <w:kern w:val="0"/>
                            <w:sz w:val="28"/>
                            <w:szCs w:val="28"/>
                          </w:rPr>
                          <w:lastRenderedPageBreak/>
                          <w:t>票、汇票、本票或金融机构、担保机构出具的保函等非现金形式缴纳保证金。参加采购活动的保证金的数额不得超过项目预算金额的</w:t>
                        </w:r>
                        <w:r w:rsidRPr="00BC0F65">
                          <w:rPr>
                            <w:rFonts w:hAnsi="Arial" w:cs="Arial" w:hint="eastAsia"/>
                            <w:kern w:val="0"/>
                            <w:sz w:val="28"/>
                            <w:szCs w:val="28"/>
                          </w:rPr>
                          <w:t>2%</w:t>
                        </w:r>
                        <w:r w:rsidRPr="00BC0F65">
                          <w:rPr>
                            <w:rFonts w:hAnsi="Arial" w:cs="Arial" w:hint="eastAsia"/>
                            <w:kern w:val="0"/>
                            <w:sz w:val="28"/>
                            <w:szCs w:val="28"/>
                          </w:rPr>
                          <w:t>。履约保证金的数额不得超过政府和社会资本合作项目初始投资总额或资产评估值的</w:t>
                        </w:r>
                        <w:r w:rsidRPr="00BC0F65">
                          <w:rPr>
                            <w:rFonts w:hAnsi="Arial" w:cs="Arial" w:hint="eastAsia"/>
                            <w:kern w:val="0"/>
                            <w:sz w:val="28"/>
                            <w:szCs w:val="28"/>
                          </w:rPr>
                          <w:t>10%</w:t>
                        </w:r>
                        <w:r w:rsidRPr="00BC0F65">
                          <w:rPr>
                            <w:rFonts w:hAnsi="Arial" w:cs="Arial" w:hint="eastAsia"/>
                            <w:kern w:val="0"/>
                            <w:sz w:val="28"/>
                            <w:szCs w:val="28"/>
                          </w:rPr>
                          <w:t>。无固定资产投资或投资额不大的服务型合作项目，履约保证金的数额不得超过平均</w:t>
                        </w:r>
                        <w:r w:rsidRPr="00BC0F65">
                          <w:rPr>
                            <w:rFonts w:hAnsi="Arial" w:cs="Arial" w:hint="eastAsia"/>
                            <w:kern w:val="0"/>
                            <w:sz w:val="28"/>
                            <w:szCs w:val="28"/>
                          </w:rPr>
                          <w:t>6</w:t>
                        </w:r>
                        <w:r w:rsidRPr="00BC0F65">
                          <w:rPr>
                            <w:rFonts w:hAnsi="Arial" w:cs="Arial" w:hint="eastAsia"/>
                            <w:kern w:val="0"/>
                            <w:sz w:val="28"/>
                            <w:szCs w:val="28"/>
                          </w:rPr>
                          <w:t>个月的服务收入额。</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第十九条</w:t>
                        </w:r>
                        <w:r w:rsidRPr="00BC0F65">
                          <w:rPr>
                            <w:rFonts w:hAnsi="Arial" w:cs="Arial" w:hint="eastAsia"/>
                            <w:kern w:val="0"/>
                            <w:sz w:val="28"/>
                            <w:szCs w:val="28"/>
                          </w:rPr>
                          <w:t xml:space="preserve"> </w:t>
                        </w:r>
                        <w:r w:rsidRPr="00BC0F65">
                          <w:rPr>
                            <w:rFonts w:hAnsi="Arial" w:cs="Arial" w:hint="eastAsia"/>
                            <w:kern w:val="0"/>
                            <w:sz w:val="28"/>
                            <w:szCs w:val="28"/>
                          </w:rPr>
                          <w:t>项目实施机构应组织社会资本进行现场考察或召开采购前答疑会，但不得单独或分别组织只有一个社会资本参加的现场考察和答疑会。</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第二十条</w:t>
                        </w:r>
                        <w:r w:rsidRPr="00BC0F65">
                          <w:rPr>
                            <w:rFonts w:hAnsi="Arial" w:cs="Arial" w:hint="eastAsia"/>
                            <w:kern w:val="0"/>
                            <w:sz w:val="28"/>
                            <w:szCs w:val="28"/>
                          </w:rPr>
                          <w:t xml:space="preserve"> </w:t>
                        </w:r>
                        <w:r w:rsidRPr="00BC0F65">
                          <w:rPr>
                            <w:rFonts w:hAnsi="Arial" w:cs="Arial" w:hint="eastAsia"/>
                            <w:kern w:val="0"/>
                            <w:sz w:val="28"/>
                            <w:szCs w:val="28"/>
                          </w:rPr>
                          <w:t>项目实施机构应成立专门的采购结果确认谈判工作组。按照候</w:t>
                        </w:r>
                        <w:r w:rsidRPr="00BC0F65">
                          <w:rPr>
                            <w:rFonts w:hAnsi="Arial" w:cs="Arial" w:hint="eastAsia"/>
                            <w:kern w:val="0"/>
                            <w:sz w:val="28"/>
                            <w:szCs w:val="28"/>
                          </w:rPr>
                          <w:t>选社会资本的排名，依次与候选社会资本及与其合作的金融机构就合同中可变的细节问题进行合同签署前的确认谈判，率先达成一致的即为中选者。确认谈判不得涉及合同中不可谈判的核心条款，不得与排序在前但已终止谈判的社会资本进行再次谈判。</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第二十一条</w:t>
                        </w:r>
                        <w:r w:rsidRPr="00BC0F65">
                          <w:rPr>
                            <w:rFonts w:hAnsi="Arial" w:cs="Arial" w:hint="eastAsia"/>
                            <w:kern w:val="0"/>
                            <w:sz w:val="28"/>
                            <w:szCs w:val="28"/>
                          </w:rPr>
                          <w:t xml:space="preserve"> </w:t>
                        </w:r>
                        <w:r w:rsidRPr="00BC0F65">
                          <w:rPr>
                            <w:rFonts w:hAnsi="Arial" w:cs="Arial" w:hint="eastAsia"/>
                            <w:kern w:val="0"/>
                            <w:sz w:val="28"/>
                            <w:szCs w:val="28"/>
                          </w:rPr>
                          <w:t>确认谈判完成后，项目实施机构应与中选社会资本签署确认谈判备忘录，并将采购结果和根据采购文件、响应文件、补遗文件和确认谈判备忘录拟定的合同文本进行公示，公示期不得少于</w:t>
                        </w:r>
                        <w:r w:rsidRPr="00BC0F65">
                          <w:rPr>
                            <w:rFonts w:hAnsi="Arial" w:cs="Arial" w:hint="eastAsia"/>
                            <w:kern w:val="0"/>
                            <w:sz w:val="28"/>
                            <w:szCs w:val="28"/>
                          </w:rPr>
                          <w:t>5</w:t>
                        </w:r>
                        <w:r w:rsidRPr="00BC0F65">
                          <w:rPr>
                            <w:rFonts w:hAnsi="Arial" w:cs="Arial" w:hint="eastAsia"/>
                            <w:kern w:val="0"/>
                            <w:sz w:val="28"/>
                            <w:szCs w:val="28"/>
                          </w:rPr>
                          <w:t>个工作日。合同文本应将中选社会资本响应文件中的重要承诺和技术文件等作为附件。合同文本中涉及国家秘密、商业秘</w:t>
                        </w:r>
                        <w:r w:rsidRPr="00BC0F65">
                          <w:rPr>
                            <w:rFonts w:hAnsi="Arial" w:cs="Arial" w:hint="eastAsia"/>
                            <w:kern w:val="0"/>
                            <w:sz w:val="28"/>
                            <w:szCs w:val="28"/>
                          </w:rPr>
                          <w:t>密的内容可以不公示。</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公示期满无异议的项目合同，应在政府审核同意后，由项目实施机构与中选社会资本签署。</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需要为项目设立专门项目公司的，待项目公司成立后，由项目公</w:t>
                        </w:r>
                        <w:r w:rsidRPr="00BC0F65">
                          <w:rPr>
                            <w:rFonts w:hAnsi="Arial" w:cs="Arial" w:hint="eastAsia"/>
                            <w:kern w:val="0"/>
                            <w:sz w:val="28"/>
                            <w:szCs w:val="28"/>
                          </w:rPr>
                          <w:lastRenderedPageBreak/>
                          <w:t>司与项目实施机构重新签署项目合同，或签署关于承继项目合同的补充合同。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项目实施机构应在项目合同签订之日起</w:t>
                        </w:r>
                        <w:r w:rsidRPr="00BC0F65">
                          <w:rPr>
                            <w:rFonts w:hAnsi="Arial" w:cs="Arial" w:hint="eastAsia"/>
                            <w:kern w:val="0"/>
                            <w:sz w:val="28"/>
                            <w:szCs w:val="28"/>
                          </w:rPr>
                          <w:t>2</w:t>
                        </w:r>
                        <w:r w:rsidRPr="00BC0F65">
                          <w:rPr>
                            <w:rFonts w:hAnsi="Arial" w:cs="Arial" w:hint="eastAsia"/>
                            <w:kern w:val="0"/>
                            <w:sz w:val="28"/>
                            <w:szCs w:val="28"/>
                          </w:rPr>
                          <w:t>个工作日内，将项目合同在省级以上人民政府财政部门指定的媒体上公告，但合同中涉及国家秘密、商业秘密的内容除外。</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第二十二条</w:t>
                        </w:r>
                        <w:r w:rsidRPr="00BC0F65">
                          <w:rPr>
                            <w:rFonts w:hAnsi="Arial" w:cs="Arial" w:hint="eastAsia"/>
                            <w:kern w:val="0"/>
                            <w:sz w:val="28"/>
                            <w:szCs w:val="28"/>
                          </w:rPr>
                          <w:t xml:space="preserve"> </w:t>
                        </w:r>
                        <w:r w:rsidRPr="00BC0F65">
                          <w:rPr>
                            <w:rFonts w:hAnsi="Arial" w:cs="Arial" w:hint="eastAsia"/>
                            <w:kern w:val="0"/>
                            <w:sz w:val="28"/>
                            <w:szCs w:val="28"/>
                          </w:rPr>
                          <w:t>各级人民政府财政部门应当加强对</w:t>
                        </w:r>
                        <w:r w:rsidRPr="00BC0F65">
                          <w:rPr>
                            <w:rFonts w:hAnsi="Arial" w:cs="Arial" w:hint="eastAsia"/>
                            <w:kern w:val="0"/>
                            <w:sz w:val="28"/>
                            <w:szCs w:val="28"/>
                          </w:rPr>
                          <w:t>PPP</w:t>
                        </w:r>
                        <w:r w:rsidRPr="00BC0F65">
                          <w:rPr>
                            <w:rFonts w:hAnsi="Arial" w:cs="Arial" w:hint="eastAsia"/>
                            <w:kern w:val="0"/>
                            <w:sz w:val="28"/>
                            <w:szCs w:val="28"/>
                          </w:rPr>
                          <w:t>项目采购活动的监督检查，及时处理采购活动中的违法违规行为。</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第五章</w:t>
                        </w:r>
                        <w:r w:rsidRPr="00BC0F65">
                          <w:rPr>
                            <w:rFonts w:hAnsi="Arial" w:cs="Arial" w:hint="eastAsia"/>
                            <w:b/>
                            <w:bCs/>
                            <w:kern w:val="0"/>
                            <w:sz w:val="28"/>
                            <w:szCs w:val="28"/>
                          </w:rPr>
                          <w:t xml:space="preserve"> </w:t>
                        </w:r>
                        <w:r w:rsidRPr="00BC0F65">
                          <w:rPr>
                            <w:rFonts w:hAnsi="Arial" w:cs="Arial" w:hint="eastAsia"/>
                            <w:b/>
                            <w:bCs/>
                            <w:kern w:val="0"/>
                            <w:sz w:val="28"/>
                            <w:szCs w:val="28"/>
                          </w:rPr>
                          <w:t>项目执行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第二十三条</w:t>
                        </w:r>
                        <w:r w:rsidRPr="00BC0F65">
                          <w:rPr>
                            <w:rFonts w:hAnsi="Arial" w:cs="Arial" w:hint="eastAsia"/>
                            <w:kern w:val="0"/>
                            <w:sz w:val="28"/>
                            <w:szCs w:val="28"/>
                          </w:rPr>
                          <w:t xml:space="preserve"> </w:t>
                        </w:r>
                        <w:r w:rsidRPr="00BC0F65">
                          <w:rPr>
                            <w:rFonts w:hAnsi="Arial" w:cs="Arial" w:hint="eastAsia"/>
                            <w:kern w:val="0"/>
                            <w:sz w:val="28"/>
                            <w:szCs w:val="28"/>
                          </w:rPr>
                          <w:t>社会资本可依法设立项目公司。政府可指定相关机构依法参股项目公司。项目实施机构和</w:t>
                        </w:r>
                        <w:r w:rsidRPr="00BC0F65">
                          <w:rPr>
                            <w:rFonts w:hAnsi="Arial" w:cs="Arial" w:hint="eastAsia"/>
                            <w:kern w:val="0"/>
                            <w:sz w:val="28"/>
                            <w:szCs w:val="28"/>
                          </w:rPr>
                          <w:t>财政部门（政府和社会资本合作中心）应监督社会资本按照采购文件和项目合同约定，按时足额出资设立项目公司。</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第二十四条</w:t>
                        </w:r>
                        <w:r w:rsidRPr="00BC0F65">
                          <w:rPr>
                            <w:rFonts w:hAnsi="Arial" w:cs="Arial" w:hint="eastAsia"/>
                            <w:kern w:val="0"/>
                            <w:sz w:val="28"/>
                            <w:szCs w:val="28"/>
                          </w:rPr>
                          <w:t xml:space="preserve"> </w:t>
                        </w:r>
                        <w:r w:rsidRPr="00BC0F65">
                          <w:rPr>
                            <w:rFonts w:hAnsi="Arial" w:cs="Arial" w:hint="eastAsia"/>
                            <w:kern w:val="0"/>
                            <w:sz w:val="28"/>
                            <w:szCs w:val="28"/>
                          </w:rPr>
                          <w:t>项目融资由社会资本或项目公司负责。社会资本或项目公司应及时开展融资方案设计、机构接洽、合同签订和融资交割等工作。</w:t>
                        </w:r>
                        <w:r w:rsidRPr="00BC0F65">
                          <w:rPr>
                            <w:rFonts w:hAnsi="Arial" w:cs="Arial" w:hint="eastAsia"/>
                            <w:kern w:val="0"/>
                            <w:sz w:val="28"/>
                            <w:szCs w:val="28"/>
                          </w:rPr>
                          <w:t>财政部门（政府和社会资本合作中心）和项目实施机构应做好监督管理工作，</w:t>
                        </w:r>
                        <w:r w:rsidRPr="00BC0F65">
                          <w:rPr>
                            <w:rFonts w:hAnsi="Arial" w:cs="Arial" w:hint="eastAsia"/>
                            <w:b/>
                            <w:bCs/>
                            <w:kern w:val="0"/>
                            <w:sz w:val="28"/>
                            <w:szCs w:val="28"/>
                          </w:rPr>
                          <w:t>防止企业债务向政府转移</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社会资本或项目公司未按照项目合同约定完成融资的，政府可提取履约保函直至终止项目合同；</w:t>
                        </w:r>
                        <w:r w:rsidRPr="00BC0F65">
                          <w:rPr>
                            <w:rFonts w:hAnsi="Arial" w:cs="Arial" w:hint="eastAsia"/>
                            <w:kern w:val="0"/>
                            <w:sz w:val="28"/>
                            <w:szCs w:val="28"/>
                          </w:rPr>
                          <w:t>遇系统性金融风险或不可抗力的，政府、社会资本或项目公司可根据项目合同约定协商修订合同中相关融资条款。</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当项目出现重大经营或财务风险，威胁或侵害债权人利益时，债权人可依据与政府、社会资本或项目公司签订的直接介入协议或条</w:t>
                        </w:r>
                        <w:r w:rsidRPr="00BC0F65">
                          <w:rPr>
                            <w:rFonts w:hAnsi="Arial" w:cs="Arial" w:hint="eastAsia"/>
                            <w:kern w:val="0"/>
                            <w:sz w:val="28"/>
                            <w:szCs w:val="28"/>
                          </w:rPr>
                          <w:lastRenderedPageBreak/>
                          <w:t>款，要求社会资本或项目公司改善管理等。在直接介入协议或条款约定期限内，重大风险已解除的，债权人应停止介入。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第二十五条</w:t>
                        </w:r>
                        <w:r w:rsidRPr="00BC0F65">
                          <w:rPr>
                            <w:rFonts w:hAnsi="Arial" w:cs="Arial" w:hint="eastAsia"/>
                            <w:kern w:val="0"/>
                            <w:sz w:val="28"/>
                            <w:szCs w:val="28"/>
                          </w:rPr>
                          <w:t xml:space="preserve"> </w:t>
                        </w:r>
                        <w:r w:rsidRPr="00BC0F65">
                          <w:rPr>
                            <w:rFonts w:hAnsi="Arial" w:cs="Arial" w:hint="eastAsia"/>
                            <w:kern w:val="0"/>
                            <w:sz w:val="28"/>
                            <w:szCs w:val="28"/>
                          </w:rPr>
                          <w:t>项目合同中涉及的政府支付义务，</w:t>
                        </w:r>
                        <w:r w:rsidRPr="00BC0F65">
                          <w:rPr>
                            <w:rFonts w:hAnsi="Arial" w:cs="Arial" w:hint="eastAsia"/>
                            <w:kern w:val="0"/>
                            <w:sz w:val="28"/>
                            <w:szCs w:val="28"/>
                          </w:rPr>
                          <w:t>财政部门应结合中长期财政规划统筹考虑，纳入同级政府</w:t>
                        </w:r>
                        <w:r w:rsidRPr="00BC0F65">
                          <w:rPr>
                            <w:rFonts w:hAnsi="Arial" w:cs="Arial" w:hint="eastAsia"/>
                            <w:kern w:val="0"/>
                            <w:sz w:val="28"/>
                            <w:szCs w:val="28"/>
                          </w:rPr>
                          <w:t>预算，按照预算管理相关规定执行。财政部门（政府和社会资本合作中心）和项目实施机构应建立政府和社会资本合作项目政府支付台账，严格控制政府财政风险。在政府综合财务报告制度建立后，政府和社会资本合作项目中的政府支付义务应纳入政府综合财务报告。</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第二十六条</w:t>
                        </w:r>
                        <w:r w:rsidRPr="00BC0F65">
                          <w:rPr>
                            <w:rFonts w:hAnsi="Arial" w:cs="Arial" w:hint="eastAsia"/>
                            <w:kern w:val="0"/>
                            <w:sz w:val="28"/>
                            <w:szCs w:val="28"/>
                          </w:rPr>
                          <w:t xml:space="preserve"> </w:t>
                        </w:r>
                        <w:r w:rsidRPr="00BC0F65">
                          <w:rPr>
                            <w:rFonts w:hAnsi="Arial" w:cs="Arial" w:hint="eastAsia"/>
                            <w:kern w:val="0"/>
                            <w:sz w:val="28"/>
                            <w:szCs w:val="28"/>
                          </w:rPr>
                          <w:t>项目实施机构应根据项目合同约定，监督社会资本或项目公司履行合同义务，定期监测项目产出绩效指标，编制季报和年报，并报</w:t>
                        </w:r>
                        <w:r w:rsidRPr="00BC0F65">
                          <w:rPr>
                            <w:rFonts w:hAnsi="Arial" w:cs="Arial" w:hint="eastAsia"/>
                            <w:kern w:val="0"/>
                            <w:sz w:val="28"/>
                            <w:szCs w:val="28"/>
                          </w:rPr>
                          <w:t>财政部门（政府和社会资本合作中心）备案</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政府有支付义务的，项目实施机构应根据项目合同约定的产出说明，按照实际绩效直接或通知财政部门向社会资</w:t>
                        </w:r>
                        <w:r w:rsidRPr="00BC0F65">
                          <w:rPr>
                            <w:rFonts w:hAnsi="Arial" w:cs="Arial" w:hint="eastAsia"/>
                            <w:kern w:val="0"/>
                            <w:sz w:val="28"/>
                            <w:szCs w:val="28"/>
                          </w:rPr>
                          <w:t>本或项目公司及时足额支付。设置超额收益分享机制的，社会资本或项目公司应根据项目合同约定向政府及时足额支付应享有的超额收益。</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项目实际绩效优于约定标准的，项目实施机构应执行项目合同约定的奖励条款，并可将其作为项目期满合同能否展期的依据；未达到约定标准的，项目实施机构应执行项目合同约定的惩处条款或救济措施。</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第二十七条</w:t>
                        </w:r>
                        <w:r w:rsidRPr="00BC0F65">
                          <w:rPr>
                            <w:rFonts w:hAnsi="Arial" w:cs="Arial" w:hint="eastAsia"/>
                            <w:kern w:val="0"/>
                            <w:sz w:val="28"/>
                            <w:szCs w:val="28"/>
                          </w:rPr>
                          <w:t xml:space="preserve"> </w:t>
                        </w:r>
                        <w:r w:rsidRPr="00BC0F65">
                          <w:rPr>
                            <w:rFonts w:hAnsi="Arial" w:cs="Arial" w:hint="eastAsia"/>
                            <w:kern w:val="0"/>
                            <w:sz w:val="28"/>
                            <w:szCs w:val="28"/>
                          </w:rPr>
                          <w:t>社会资本或项目公司违反项目合同约定，威胁公共产品和服务持续稳定安全供给，或危及国家安全和重大公共利益的，政府有权临时接管项目，直至启动项目提前终止程序。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政府可指定合格机构实施临时接</w:t>
                        </w:r>
                        <w:r w:rsidRPr="00BC0F65">
                          <w:rPr>
                            <w:rFonts w:hAnsi="Arial" w:cs="Arial" w:hint="eastAsia"/>
                            <w:kern w:val="0"/>
                            <w:sz w:val="28"/>
                            <w:szCs w:val="28"/>
                          </w:rPr>
                          <w:t>管。临时接管项目所产生的一切费用，将根据项目合同约定，由违约方单独承担或由各责任方分担。社会资本或项目公司应承担的临时接管费用，可以从其应获终止补偿中扣减。</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第二十八条</w:t>
                        </w:r>
                        <w:r w:rsidRPr="00BC0F65">
                          <w:rPr>
                            <w:rFonts w:hAnsi="Arial" w:cs="Arial" w:hint="eastAsia"/>
                            <w:kern w:val="0"/>
                            <w:sz w:val="28"/>
                            <w:szCs w:val="28"/>
                          </w:rPr>
                          <w:t xml:space="preserve"> </w:t>
                        </w:r>
                        <w:r w:rsidRPr="00BC0F65">
                          <w:rPr>
                            <w:rFonts w:hAnsi="Arial" w:cs="Arial" w:hint="eastAsia"/>
                            <w:kern w:val="0"/>
                            <w:sz w:val="28"/>
                            <w:szCs w:val="28"/>
                          </w:rPr>
                          <w:t>在项目合同执行和管理过程中，项目实施机构应重点关注合同修订、违约责任和争议解决等工作。</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（一）合同修订。</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按照项目合同约定的条件和程序，项目实施机构和社会资本或项目公司可根据社会经济环境、公共产品和服务的需求量及结构等条件的变化，提出修订项目合同申请，待政府审核同意后执行。</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（二）违约责任。</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项目实施机构、社会资本或项目</w:t>
                        </w:r>
                        <w:r w:rsidRPr="00BC0F65">
                          <w:rPr>
                            <w:rFonts w:hAnsi="Arial" w:cs="Arial" w:hint="eastAsia"/>
                            <w:kern w:val="0"/>
                            <w:sz w:val="28"/>
                            <w:szCs w:val="28"/>
                          </w:rPr>
                          <w:t>公司未履行项目合同约定义务的，应承担相应违约责任，包括停止侵害、消除影响、支付违约金、赔偿损失以及解除项目合同等。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（三）争议解决。</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在项目实施过程中，按照项目合同约定，项目实施机构、社会资本或项目公司可就发生争议且无法协商达成一致的事项，依法申请仲裁或提起民事诉讼。</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第二十九条</w:t>
                        </w:r>
                        <w:r w:rsidRPr="00BC0F65">
                          <w:rPr>
                            <w:rFonts w:hAnsi="Arial" w:cs="Arial" w:hint="eastAsia"/>
                            <w:kern w:val="0"/>
                            <w:sz w:val="28"/>
                            <w:szCs w:val="28"/>
                          </w:rPr>
                          <w:t xml:space="preserve"> </w:t>
                        </w:r>
                        <w:r w:rsidRPr="00BC0F65">
                          <w:rPr>
                            <w:rFonts w:hAnsi="Arial" w:cs="Arial" w:hint="eastAsia"/>
                            <w:kern w:val="0"/>
                            <w:sz w:val="28"/>
                            <w:szCs w:val="28"/>
                          </w:rPr>
                          <w:t>项目实施机构应每</w:t>
                        </w:r>
                        <w:r w:rsidRPr="00BC0F65">
                          <w:rPr>
                            <w:rFonts w:hAnsi="Arial" w:cs="Arial" w:hint="eastAsia"/>
                            <w:kern w:val="0"/>
                            <w:sz w:val="28"/>
                            <w:szCs w:val="28"/>
                          </w:rPr>
                          <w:t>3-5</w:t>
                        </w:r>
                        <w:r w:rsidRPr="00BC0F65">
                          <w:rPr>
                            <w:rFonts w:hAnsi="Arial" w:cs="Arial" w:hint="eastAsia"/>
                            <w:kern w:val="0"/>
                            <w:sz w:val="28"/>
                            <w:szCs w:val="28"/>
                          </w:rPr>
                          <w:t>年对项目进行中期评估，重点分析项目运行状况和项目合同的合规性、适应性和合理性；及时评估已发现问题的风险，制订应对措施，并报财政部门（政府和社会资本合作中心）备案。</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第三十条</w:t>
                        </w:r>
                        <w:r w:rsidRPr="00BC0F65">
                          <w:rPr>
                            <w:rFonts w:hAnsi="Arial" w:cs="Arial" w:hint="eastAsia"/>
                            <w:kern w:val="0"/>
                            <w:sz w:val="28"/>
                            <w:szCs w:val="28"/>
                          </w:rPr>
                          <w:t xml:space="preserve"> </w:t>
                        </w:r>
                        <w:r w:rsidRPr="00BC0F65">
                          <w:rPr>
                            <w:rFonts w:hAnsi="Arial" w:cs="Arial" w:hint="eastAsia"/>
                            <w:kern w:val="0"/>
                            <w:sz w:val="28"/>
                            <w:szCs w:val="28"/>
                          </w:rPr>
                          <w:t>政府相关职能部门应</w:t>
                        </w:r>
                        <w:r w:rsidRPr="00BC0F65">
                          <w:rPr>
                            <w:rFonts w:hAnsi="Arial" w:cs="Arial" w:hint="eastAsia"/>
                            <w:kern w:val="0"/>
                            <w:sz w:val="28"/>
                            <w:szCs w:val="28"/>
                          </w:rPr>
                          <w:t>根据国家相关法律法规对项目履行行政监管职责，重点关注公共产品和服务质量、价格和收费机制、安全生产、环境保护和劳动者权益等。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社会资本或项目公司对政府职能部门的行政监管处理决定不服的，可依法申请行政复议或提起行政诉讼。</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第三十一条</w:t>
                        </w:r>
                        <w:r w:rsidRPr="00BC0F65">
                          <w:rPr>
                            <w:rFonts w:hAnsi="Arial" w:cs="Arial" w:hint="eastAsia"/>
                            <w:kern w:val="0"/>
                            <w:sz w:val="28"/>
                            <w:szCs w:val="28"/>
                          </w:rPr>
                          <w:t xml:space="preserve"> </w:t>
                        </w:r>
                        <w:r w:rsidRPr="00BC0F65">
                          <w:rPr>
                            <w:rFonts w:hAnsi="Arial" w:cs="Arial" w:hint="eastAsia"/>
                            <w:kern w:val="0"/>
                            <w:sz w:val="28"/>
                            <w:szCs w:val="28"/>
                          </w:rPr>
                          <w:t>政府、社会资本或项目公司应依法公开披露项目相关信息，保障公众知情权，接受社会监督。</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社会资本或项目公司应披露项目产出的数量和质量、项目经营状况等信息。政府应公开不涉及国家秘密、商业秘密的政府和社会资本合作项目合同条款、绩效监测报告、中期评估报告和项目重大变更或终止情况等</w:t>
                        </w:r>
                        <w:r w:rsidRPr="00BC0F65">
                          <w:rPr>
                            <w:rFonts w:hAnsi="Arial" w:cs="Arial" w:hint="eastAsia"/>
                            <w:kern w:val="0"/>
                            <w:sz w:val="28"/>
                            <w:szCs w:val="28"/>
                          </w:rPr>
                          <w:t>。</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社会公众及项目利益相关方发现项目存在违法、违约情形或公共产品和服务不达标准的，可向政府职能部门提请监督检查。</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第六章</w:t>
                        </w:r>
                        <w:r w:rsidRPr="00BC0F65">
                          <w:rPr>
                            <w:rFonts w:hAnsi="Arial" w:cs="Arial" w:hint="eastAsia"/>
                            <w:b/>
                            <w:bCs/>
                            <w:kern w:val="0"/>
                            <w:sz w:val="28"/>
                            <w:szCs w:val="28"/>
                          </w:rPr>
                          <w:t xml:space="preserve"> </w:t>
                        </w:r>
                        <w:r w:rsidRPr="00BC0F65">
                          <w:rPr>
                            <w:rFonts w:hAnsi="Arial" w:cs="Arial" w:hint="eastAsia"/>
                            <w:b/>
                            <w:bCs/>
                            <w:kern w:val="0"/>
                            <w:sz w:val="28"/>
                            <w:szCs w:val="28"/>
                          </w:rPr>
                          <w:t>项目移交</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第三十二条</w:t>
                        </w:r>
                        <w:r w:rsidRPr="00BC0F65">
                          <w:rPr>
                            <w:rFonts w:hAnsi="Arial" w:cs="Arial" w:hint="eastAsia"/>
                            <w:kern w:val="0"/>
                            <w:sz w:val="28"/>
                            <w:szCs w:val="28"/>
                          </w:rPr>
                          <w:t xml:space="preserve"> </w:t>
                        </w:r>
                        <w:r w:rsidRPr="00BC0F65">
                          <w:rPr>
                            <w:rFonts w:hAnsi="Arial" w:cs="Arial" w:hint="eastAsia"/>
                            <w:kern w:val="0"/>
                            <w:sz w:val="28"/>
                            <w:szCs w:val="28"/>
                          </w:rPr>
                          <w:t>项目移交时，项目实施机构或政府指定的其他机构代表政府收回项目合同约定的项目资产。</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合同中应明确约定移交形式、补偿方式、移交内容和移交标准。移交形式包括期满终止移交和提前终止移交；补偿方式包括无偿移交和有偿移交；移交内容包括项目资产、人员、文档和知识产权等；移交标准包括设备完好率和最短可使用年限等指标。</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采用有偿移交的，项目合同中应明确约定补偿方案；没有约定或约定不明的，项目实施机构应按照“恢复相同经济地位”原则拟定补</w:t>
                        </w:r>
                        <w:r w:rsidRPr="00BC0F65">
                          <w:rPr>
                            <w:rFonts w:hAnsi="Arial" w:cs="Arial" w:hint="eastAsia"/>
                            <w:kern w:val="0"/>
                            <w:sz w:val="28"/>
                            <w:szCs w:val="28"/>
                          </w:rPr>
                          <w:lastRenderedPageBreak/>
                          <w:t>偿方案，报政府审核同意后实施。</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第三十三条</w:t>
                        </w:r>
                        <w:r w:rsidRPr="00BC0F65">
                          <w:rPr>
                            <w:rFonts w:hAnsi="Arial" w:cs="Arial" w:hint="eastAsia"/>
                            <w:kern w:val="0"/>
                            <w:sz w:val="28"/>
                            <w:szCs w:val="28"/>
                          </w:rPr>
                          <w:t xml:space="preserve"> </w:t>
                        </w:r>
                        <w:r w:rsidRPr="00BC0F65">
                          <w:rPr>
                            <w:rFonts w:hAnsi="Arial" w:cs="Arial" w:hint="eastAsia"/>
                            <w:kern w:val="0"/>
                            <w:sz w:val="28"/>
                            <w:szCs w:val="28"/>
                          </w:rPr>
                          <w:t>项目实施机构或政府指定的其他机构应组建项目移交工作组，根据项目合同约定与社会资本或项目公司确认移交情形和补偿方式，制定资产评估和性能测试方案。</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项目移交工作组应委托具有相关资质的资产评估机构，按照项目合同约定的评估方式，对移交资产进行资产评估，作为确定补偿金额的依据。</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项目移交工作组应严格按照性能测试方案和移交标准对移交资产进行性能测</w:t>
                        </w:r>
                        <w:r w:rsidRPr="00BC0F65">
                          <w:rPr>
                            <w:rFonts w:hAnsi="Arial" w:cs="Arial" w:hint="eastAsia"/>
                            <w:kern w:val="0"/>
                            <w:sz w:val="28"/>
                            <w:szCs w:val="28"/>
                          </w:rPr>
                          <w:t>试。性能测试结果不达标的，移交工作组应要求社会资本或项目公司进行恢复性修理、更新重置或提取移交维修保函。</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第三十四条</w:t>
                        </w:r>
                        <w:r w:rsidRPr="00BC0F65">
                          <w:rPr>
                            <w:rFonts w:hAnsi="Arial" w:cs="Arial" w:hint="eastAsia"/>
                            <w:kern w:val="0"/>
                            <w:sz w:val="28"/>
                            <w:szCs w:val="28"/>
                          </w:rPr>
                          <w:t xml:space="preserve"> </w:t>
                        </w:r>
                        <w:r w:rsidRPr="00BC0F65">
                          <w:rPr>
                            <w:rFonts w:hAnsi="Arial" w:cs="Arial" w:hint="eastAsia"/>
                            <w:kern w:val="0"/>
                            <w:sz w:val="28"/>
                            <w:szCs w:val="28"/>
                          </w:rPr>
                          <w:t>社会资本或项目公司应将满足性能测试要求的项目资产、知识产权和技术法律文件，连同资产清单移交项目实施机构或政府指定的其他机构，办妥法律过户和管理权移交手续。社会资本或项目公司应配合做好项目运营平稳过渡相关工作。</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第三十五条</w:t>
                        </w:r>
                        <w:r w:rsidRPr="00BC0F65">
                          <w:rPr>
                            <w:rFonts w:hAnsi="Arial" w:cs="Arial" w:hint="eastAsia"/>
                            <w:kern w:val="0"/>
                            <w:sz w:val="28"/>
                            <w:szCs w:val="28"/>
                          </w:rPr>
                          <w:t xml:space="preserve"> </w:t>
                        </w:r>
                        <w:r w:rsidRPr="00BC0F65">
                          <w:rPr>
                            <w:rFonts w:hAnsi="Arial" w:cs="Arial" w:hint="eastAsia"/>
                            <w:kern w:val="0"/>
                            <w:sz w:val="28"/>
                            <w:szCs w:val="28"/>
                          </w:rPr>
                          <w:t>项目移交完成后，</w:t>
                        </w:r>
                        <w:r w:rsidRPr="00BC0F65">
                          <w:rPr>
                            <w:rFonts w:hAnsi="Arial" w:cs="Arial" w:hint="eastAsia"/>
                            <w:kern w:val="0"/>
                            <w:sz w:val="28"/>
                            <w:szCs w:val="28"/>
                          </w:rPr>
                          <w:t>财政部门（政府和社会资本合作中心）应组织有关部门对项目产出、成本效益、监管成效、可持续性、政府和社会资本合作模式应用等进行绩效评价，并按相关规定公开</w:t>
                        </w:r>
                        <w:r w:rsidRPr="00BC0F65">
                          <w:rPr>
                            <w:rFonts w:hAnsi="Arial" w:cs="Arial" w:hint="eastAsia"/>
                            <w:kern w:val="0"/>
                            <w:sz w:val="28"/>
                            <w:szCs w:val="28"/>
                          </w:rPr>
                          <w:t>评价结果。评价结果作为政府开展政府和社会资本合作管理工作决策参考依据。</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b/>
                            <w:bCs/>
                            <w:kern w:val="0"/>
                            <w:sz w:val="28"/>
                            <w:szCs w:val="28"/>
                          </w:rPr>
                          <w:t>第七章</w:t>
                        </w:r>
                        <w:r w:rsidRPr="00BC0F65">
                          <w:rPr>
                            <w:rFonts w:hAnsi="Arial" w:cs="Arial" w:hint="eastAsia"/>
                            <w:b/>
                            <w:bCs/>
                            <w:kern w:val="0"/>
                            <w:sz w:val="28"/>
                            <w:szCs w:val="28"/>
                          </w:rPr>
                          <w:t xml:space="preserve"> </w:t>
                        </w:r>
                        <w:r w:rsidRPr="00BC0F65">
                          <w:rPr>
                            <w:rFonts w:hAnsi="Arial" w:cs="Arial" w:hint="eastAsia"/>
                            <w:b/>
                            <w:bCs/>
                            <w:kern w:val="0"/>
                            <w:sz w:val="28"/>
                            <w:szCs w:val="28"/>
                          </w:rPr>
                          <w:t>附则</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第三十六条</w:t>
                        </w:r>
                        <w:r w:rsidRPr="00BC0F65">
                          <w:rPr>
                            <w:rFonts w:hAnsi="Arial" w:cs="Arial" w:hint="eastAsia"/>
                            <w:kern w:val="0"/>
                            <w:sz w:val="28"/>
                            <w:szCs w:val="28"/>
                          </w:rPr>
                          <w:t xml:space="preserve"> </w:t>
                        </w:r>
                        <w:r w:rsidRPr="00BC0F65">
                          <w:rPr>
                            <w:rFonts w:hAnsi="Arial" w:cs="Arial" w:hint="eastAsia"/>
                            <w:kern w:val="0"/>
                            <w:sz w:val="28"/>
                            <w:szCs w:val="28"/>
                          </w:rPr>
                          <w:t>本操作指南自印发之日起施行，有效期</w:t>
                        </w:r>
                        <w:r w:rsidRPr="00BC0F65">
                          <w:rPr>
                            <w:rFonts w:hAnsi="Arial" w:cs="Arial" w:hint="eastAsia"/>
                            <w:kern w:val="0"/>
                            <w:sz w:val="28"/>
                            <w:szCs w:val="28"/>
                          </w:rPr>
                          <w:t>3</w:t>
                        </w:r>
                        <w:r w:rsidRPr="00BC0F65">
                          <w:rPr>
                            <w:rFonts w:hAnsi="Arial" w:cs="Arial" w:hint="eastAsia"/>
                            <w:kern w:val="0"/>
                            <w:sz w:val="28"/>
                            <w:szCs w:val="28"/>
                          </w:rPr>
                          <w:t>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第三十七条</w:t>
                        </w:r>
                        <w:r w:rsidRPr="00BC0F65">
                          <w:rPr>
                            <w:rFonts w:hAnsi="Arial" w:cs="Arial" w:hint="eastAsia"/>
                            <w:kern w:val="0"/>
                            <w:sz w:val="28"/>
                            <w:szCs w:val="28"/>
                          </w:rPr>
                          <w:t xml:space="preserve"> </w:t>
                        </w:r>
                        <w:r w:rsidRPr="00BC0F65">
                          <w:rPr>
                            <w:rFonts w:hAnsi="Arial" w:cs="Arial" w:hint="eastAsia"/>
                            <w:kern w:val="0"/>
                            <w:sz w:val="28"/>
                            <w:szCs w:val="28"/>
                          </w:rPr>
                          <w:t>本操作指南由财政部负责解释。</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附：</w:t>
                        </w:r>
                        <w:r w:rsidRPr="00BC0F65">
                          <w:rPr>
                            <w:rFonts w:hAnsi="Arial" w:cs="Arial" w:hint="eastAsia"/>
                            <w:kern w:val="0"/>
                            <w:sz w:val="28"/>
                            <w:szCs w:val="28"/>
                          </w:rPr>
                          <w:t xml:space="preserve">1. </w:t>
                        </w:r>
                        <w:r w:rsidRPr="00BC0F65">
                          <w:rPr>
                            <w:rFonts w:hAnsi="Arial" w:cs="Arial" w:hint="eastAsia"/>
                            <w:kern w:val="0"/>
                            <w:sz w:val="28"/>
                            <w:szCs w:val="28"/>
                          </w:rPr>
                          <w:t>政府和社会资本合作项目操作流程图</w:t>
                        </w:r>
                      </w:p>
                      <w:p w:rsidR="00CC2DF7" w:rsidRPr="00BC0F65" w:rsidRDefault="00F768B1">
                        <w:pPr>
                          <w:widowControl/>
                          <w:jc w:val="left"/>
                          <w:rPr>
                            <w:rFonts w:hAnsi="Arial" w:cs="Arial"/>
                            <w:kern w:val="0"/>
                            <w:sz w:val="28"/>
                            <w:szCs w:val="28"/>
                          </w:rPr>
                        </w:pPr>
                        <w:r w:rsidRPr="00BC0F65">
                          <w:rPr>
                            <w:rFonts w:ascii="Arial" w:hAnsi="Arial" w:cs="Arial" w:hint="eastAsia"/>
                            <w:kern w:val="0"/>
                            <w:sz w:val="28"/>
                            <w:szCs w:val="28"/>
                          </w:rPr>
                          <w:t>       </w:t>
                        </w:r>
                        <w:r w:rsidRPr="00BC0F65">
                          <w:rPr>
                            <w:rFonts w:hAnsi="Arial" w:cs="Arial" w:hint="eastAsia"/>
                            <w:kern w:val="0"/>
                            <w:sz w:val="28"/>
                            <w:szCs w:val="28"/>
                          </w:rPr>
                          <w:t xml:space="preserve"> 2. </w:t>
                        </w:r>
                        <w:r w:rsidRPr="00BC0F65">
                          <w:rPr>
                            <w:rFonts w:hAnsi="Arial" w:cs="Arial" w:hint="eastAsia"/>
                            <w:kern w:val="0"/>
                            <w:sz w:val="28"/>
                            <w:szCs w:val="28"/>
                          </w:rPr>
                          <w:t>名词解释</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附</w:t>
                        </w:r>
                        <w:r w:rsidRPr="00BC0F65">
                          <w:rPr>
                            <w:rFonts w:hAnsi="Arial" w:cs="Arial" w:hint="eastAsia"/>
                            <w:kern w:val="0"/>
                            <w:sz w:val="28"/>
                            <w:szCs w:val="28"/>
                          </w:rPr>
                          <w:t>1</w:t>
                        </w:r>
                      </w:p>
                      <w:p w:rsidR="00CC2DF7" w:rsidRPr="00BC0F65" w:rsidRDefault="00F768B1">
                        <w:pPr>
                          <w:widowControl/>
                          <w:jc w:val="center"/>
                          <w:rPr>
                            <w:rFonts w:hAnsi="Arial" w:cs="Arial"/>
                            <w:kern w:val="0"/>
                            <w:sz w:val="28"/>
                            <w:szCs w:val="28"/>
                          </w:rPr>
                        </w:pPr>
                        <w:r w:rsidRPr="00BC0F65">
                          <w:rPr>
                            <w:rFonts w:hAnsi="Arial" w:cs="Arial" w:hint="eastAsia"/>
                            <w:b/>
                            <w:bCs/>
                            <w:kern w:val="0"/>
                            <w:sz w:val="28"/>
                            <w:szCs w:val="28"/>
                          </w:rPr>
                          <w:t xml:space="preserve">　　政府和社会资本合作项目操作流程图</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p>
                      <w:p w:rsidR="00CC2DF7" w:rsidRPr="00BC0F65" w:rsidRDefault="00CC2DF7">
                        <w:pPr>
                          <w:widowControl/>
                          <w:jc w:val="center"/>
                          <w:rPr>
                            <w:rFonts w:hAnsi="Arial" w:cs="Arial"/>
                            <w:kern w:val="0"/>
                            <w:sz w:val="28"/>
                            <w:szCs w:val="28"/>
                          </w:rPr>
                        </w:pPr>
                        <w:r w:rsidRPr="00BC0F65">
                          <w:rPr>
                            <w:rFonts w:hAnsi="Arial" w:cs="Arial"/>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style="width:416.25pt;height:410.25pt">
                              <v:imagedata r:id="rId7" o:title=""/>
                            </v:shape>
                          </w:pict>
                        </w:r>
                      </w:p>
                      <w:p w:rsidR="00CC2DF7" w:rsidRPr="00BC0F65" w:rsidRDefault="00F768B1">
                        <w:pPr>
                          <w:widowControl/>
                          <w:jc w:val="left"/>
                          <w:rPr>
                            <w:rFonts w:hAnsi="Arial" w:cs="Arial"/>
                            <w:kern w:val="0"/>
                            <w:sz w:val="28"/>
                            <w:szCs w:val="28"/>
                          </w:rPr>
                        </w:pPr>
                        <w:r w:rsidRPr="00BC0F65">
                          <w:rPr>
                            <w:rFonts w:ascii="Arial" w:hAnsi="Arial" w:cs="Arial" w:hint="eastAsia"/>
                            <w:kern w:val="0"/>
                            <w:sz w:val="28"/>
                            <w:szCs w:val="28"/>
                          </w:rPr>
                          <w:t>    </w:t>
                        </w:r>
                        <w:r w:rsidRPr="00BC0F65">
                          <w:rPr>
                            <w:rFonts w:hAnsi="Arial" w:cs="Arial" w:hint="eastAsia"/>
                            <w:kern w:val="0"/>
                            <w:sz w:val="28"/>
                            <w:szCs w:val="28"/>
                          </w:rPr>
                          <w:t>附</w:t>
                        </w:r>
                        <w:r w:rsidRPr="00BC0F65">
                          <w:rPr>
                            <w:rFonts w:hAnsi="Arial" w:cs="Arial" w:hint="eastAsia"/>
                            <w:kern w:val="0"/>
                            <w:sz w:val="28"/>
                            <w:szCs w:val="28"/>
                          </w:rPr>
                          <w:t>2</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名词解释</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lastRenderedPageBreak/>
                          <w:t xml:space="preserve">　　</w:t>
                        </w:r>
                        <w:r w:rsidRPr="00BC0F65">
                          <w:rPr>
                            <w:rFonts w:hAnsi="Arial" w:cs="Arial" w:hint="eastAsia"/>
                            <w:kern w:val="0"/>
                            <w:sz w:val="28"/>
                            <w:szCs w:val="28"/>
                          </w:rPr>
                          <w:t>1.</w:t>
                        </w:r>
                        <w:r w:rsidRPr="00BC0F65">
                          <w:rPr>
                            <w:rFonts w:hAnsi="Arial" w:cs="Arial" w:hint="eastAsia"/>
                            <w:kern w:val="0"/>
                            <w:sz w:val="28"/>
                            <w:szCs w:val="28"/>
                          </w:rPr>
                          <w:t>全生命周期（</w:t>
                        </w:r>
                        <w:r w:rsidRPr="00BC0F65">
                          <w:rPr>
                            <w:rFonts w:hAnsi="Arial" w:cs="Arial" w:hint="eastAsia"/>
                            <w:kern w:val="0"/>
                            <w:sz w:val="28"/>
                            <w:szCs w:val="28"/>
                          </w:rPr>
                          <w:t>Whole Life Cycle</w:t>
                        </w:r>
                        <w:r w:rsidRPr="00BC0F65">
                          <w:rPr>
                            <w:rFonts w:hAnsi="Arial" w:cs="Arial" w:hint="eastAsia"/>
                            <w:kern w:val="0"/>
                            <w:sz w:val="28"/>
                            <w:szCs w:val="28"/>
                          </w:rPr>
                          <w:t>），是指项目从设计、融资、建造、运营、维护至终止移交的完整周期。</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2.</w:t>
                        </w:r>
                        <w:r w:rsidRPr="00BC0F65">
                          <w:rPr>
                            <w:rFonts w:hAnsi="Arial" w:cs="Arial" w:hint="eastAsia"/>
                            <w:kern w:val="0"/>
                            <w:sz w:val="28"/>
                            <w:szCs w:val="28"/>
                          </w:rPr>
                          <w:t>产出说明（</w:t>
                        </w:r>
                        <w:r w:rsidRPr="00BC0F65">
                          <w:rPr>
                            <w:rFonts w:hAnsi="Arial" w:cs="Arial" w:hint="eastAsia"/>
                            <w:kern w:val="0"/>
                            <w:sz w:val="28"/>
                            <w:szCs w:val="28"/>
                          </w:rPr>
                          <w:t>Outpu</w:t>
                        </w:r>
                        <w:r w:rsidRPr="00BC0F65">
                          <w:rPr>
                            <w:rFonts w:hAnsi="Arial" w:cs="Arial" w:hint="eastAsia"/>
                            <w:kern w:val="0"/>
                            <w:sz w:val="28"/>
                            <w:szCs w:val="28"/>
                          </w:rPr>
                          <w:t>t Specification</w:t>
                        </w:r>
                        <w:r w:rsidRPr="00BC0F65">
                          <w:rPr>
                            <w:rFonts w:hAnsi="Arial" w:cs="Arial" w:hint="eastAsia"/>
                            <w:kern w:val="0"/>
                            <w:sz w:val="28"/>
                            <w:szCs w:val="28"/>
                          </w:rPr>
                          <w:t>），是指项目建成后项目资产所应达到的经济、技术标准，以及公共产品和服务的交付范围、标准和绩效水平等。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3.</w:t>
                        </w:r>
                        <w:r w:rsidRPr="00BC0F65">
                          <w:rPr>
                            <w:rFonts w:hAnsi="Arial" w:cs="Arial" w:hint="eastAsia"/>
                            <w:kern w:val="0"/>
                            <w:sz w:val="28"/>
                            <w:szCs w:val="28"/>
                          </w:rPr>
                          <w:t>物有所值（</w:t>
                        </w:r>
                        <w:r w:rsidRPr="00BC0F65">
                          <w:rPr>
                            <w:rFonts w:hAnsi="Arial" w:cs="Arial" w:hint="eastAsia"/>
                            <w:kern w:val="0"/>
                            <w:sz w:val="28"/>
                            <w:szCs w:val="28"/>
                          </w:rPr>
                          <w:t>Value for Money, VFM</w:t>
                        </w:r>
                        <w:r w:rsidRPr="00BC0F65">
                          <w:rPr>
                            <w:rFonts w:hAnsi="Arial" w:cs="Arial" w:hint="eastAsia"/>
                            <w:kern w:val="0"/>
                            <w:sz w:val="28"/>
                            <w:szCs w:val="28"/>
                          </w:rPr>
                          <w:t>），是指一个组织运用其可利用资源所能获得的长期最大利益。</w:t>
                        </w:r>
                        <w:r w:rsidRPr="00BC0F65">
                          <w:rPr>
                            <w:rFonts w:hAnsi="Arial" w:cs="Arial" w:hint="eastAsia"/>
                            <w:kern w:val="0"/>
                            <w:sz w:val="28"/>
                            <w:szCs w:val="28"/>
                          </w:rPr>
                          <w:t>VFM</w:t>
                        </w:r>
                        <w:r w:rsidRPr="00BC0F65">
                          <w:rPr>
                            <w:rFonts w:hAnsi="Arial" w:cs="Arial" w:hint="eastAsia"/>
                            <w:kern w:val="0"/>
                            <w:sz w:val="28"/>
                            <w:szCs w:val="28"/>
                          </w:rPr>
                          <w:t>评价是国际上普遍采用的一种评价传统上由政府提供的公共产品和服务是否可运用政府和社会资本合作模式的评估体系，旨在实现公共资源配置利用效率最优化。</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4.</w:t>
                        </w:r>
                        <w:r w:rsidRPr="00BC0F65">
                          <w:rPr>
                            <w:rFonts w:hAnsi="Arial" w:cs="Arial" w:hint="eastAsia"/>
                            <w:kern w:val="0"/>
                            <w:sz w:val="28"/>
                            <w:szCs w:val="28"/>
                          </w:rPr>
                          <w:t>公共部门比较值（</w:t>
                        </w:r>
                        <w:r w:rsidRPr="00BC0F65">
                          <w:rPr>
                            <w:rFonts w:hAnsi="Arial" w:cs="Arial" w:hint="eastAsia"/>
                            <w:kern w:val="0"/>
                            <w:sz w:val="28"/>
                            <w:szCs w:val="28"/>
                          </w:rPr>
                          <w:t>Public Sector Comparator, PSC</w:t>
                        </w:r>
                        <w:r w:rsidRPr="00BC0F65">
                          <w:rPr>
                            <w:rFonts w:hAnsi="Arial" w:cs="Arial" w:hint="eastAsia"/>
                            <w:kern w:val="0"/>
                            <w:sz w:val="28"/>
                            <w:szCs w:val="28"/>
                          </w:rPr>
                          <w:t>），是指在全生命周期内，政府采用传</w:t>
                        </w:r>
                        <w:r w:rsidRPr="00BC0F65">
                          <w:rPr>
                            <w:rFonts w:hAnsi="Arial" w:cs="Arial" w:hint="eastAsia"/>
                            <w:kern w:val="0"/>
                            <w:sz w:val="28"/>
                            <w:szCs w:val="28"/>
                          </w:rPr>
                          <w:t>统采购模式提供公共产品和服务的全部成本的现值，主要包括建设运营净成本、可转移风险承担成本、自留风险承担成本和竞争性中立调整成本等。</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 xml:space="preserve">　</w:t>
                        </w:r>
                        <w:r w:rsidRPr="00BC0F65">
                          <w:rPr>
                            <w:rFonts w:hAnsi="Arial" w:cs="Arial" w:hint="eastAsia"/>
                            <w:kern w:val="0"/>
                            <w:sz w:val="28"/>
                            <w:szCs w:val="28"/>
                          </w:rPr>
                          <w:t>5.</w:t>
                        </w:r>
                        <w:r w:rsidRPr="00BC0F65">
                          <w:rPr>
                            <w:rFonts w:hAnsi="Arial" w:cs="Arial" w:hint="eastAsia"/>
                            <w:kern w:val="0"/>
                            <w:sz w:val="28"/>
                            <w:szCs w:val="28"/>
                          </w:rPr>
                          <w:t>使用者付费（</w:t>
                        </w:r>
                        <w:r w:rsidRPr="00BC0F65">
                          <w:rPr>
                            <w:rFonts w:hAnsi="Arial" w:cs="Arial" w:hint="eastAsia"/>
                            <w:kern w:val="0"/>
                            <w:sz w:val="28"/>
                            <w:szCs w:val="28"/>
                          </w:rPr>
                          <w:t>User Charge</w:t>
                        </w:r>
                        <w:r w:rsidRPr="00BC0F65">
                          <w:rPr>
                            <w:rFonts w:hAnsi="Arial" w:cs="Arial" w:hint="eastAsia"/>
                            <w:kern w:val="0"/>
                            <w:sz w:val="28"/>
                            <w:szCs w:val="28"/>
                          </w:rPr>
                          <w:t>），是指由最终消费用户直接付费购买公共产品和服务。</w:t>
                        </w:r>
                      </w:p>
                      <w:p w:rsidR="00CC2DF7" w:rsidRPr="00BC0F65" w:rsidRDefault="00F768B1">
                        <w:pPr>
                          <w:widowControl/>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6.</w:t>
                        </w:r>
                        <w:r w:rsidRPr="00BC0F65">
                          <w:rPr>
                            <w:rFonts w:hAnsi="Arial" w:cs="Arial" w:hint="eastAsia"/>
                            <w:kern w:val="0"/>
                            <w:sz w:val="28"/>
                            <w:szCs w:val="28"/>
                          </w:rPr>
                          <w:t>可行性缺口补助（</w:t>
                        </w:r>
                        <w:r w:rsidRPr="00BC0F65">
                          <w:rPr>
                            <w:rFonts w:hAnsi="Arial" w:cs="Arial" w:hint="eastAsia"/>
                            <w:kern w:val="0"/>
                            <w:sz w:val="28"/>
                            <w:szCs w:val="28"/>
                          </w:rPr>
                          <w:t>Viability Gap Funding</w:t>
                        </w:r>
                        <w:r w:rsidRPr="00BC0F65">
                          <w:rPr>
                            <w:rFonts w:hAnsi="Arial" w:cs="Arial" w:hint="eastAsia"/>
                            <w:kern w:val="0"/>
                            <w:sz w:val="28"/>
                            <w:szCs w:val="28"/>
                          </w:rPr>
                          <w:t>），是指使用者付费不足以满足社会资本或项目公司成本回收和合理回报，而由政府以财政补贴、股本投入、优惠贷款和其他优惠政策的形式，给予社会资本或项目公司的经济补助。</w:t>
                        </w:r>
                      </w:p>
                      <w:p w:rsidR="00CC2DF7" w:rsidRPr="00BC0F65" w:rsidRDefault="00F768B1">
                        <w:pPr>
                          <w:widowControl/>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7.</w:t>
                        </w:r>
                        <w:r w:rsidRPr="00BC0F65">
                          <w:rPr>
                            <w:rFonts w:hAnsi="Arial" w:cs="Arial" w:hint="eastAsia"/>
                            <w:kern w:val="0"/>
                            <w:sz w:val="28"/>
                            <w:szCs w:val="28"/>
                          </w:rPr>
                          <w:t>政府付费（</w:t>
                        </w:r>
                        <w:r w:rsidRPr="00BC0F65">
                          <w:rPr>
                            <w:rFonts w:hAnsi="Arial" w:cs="Arial" w:hint="eastAsia"/>
                            <w:kern w:val="0"/>
                            <w:sz w:val="28"/>
                            <w:szCs w:val="28"/>
                          </w:rPr>
                          <w:t xml:space="preserve">Government </w:t>
                        </w:r>
                        <w:r w:rsidRPr="00BC0F65">
                          <w:rPr>
                            <w:rFonts w:hAnsi="Arial" w:cs="Arial" w:hint="eastAsia"/>
                            <w:kern w:val="0"/>
                            <w:sz w:val="28"/>
                            <w:szCs w:val="28"/>
                          </w:rPr>
                          <w:t>Payment</w:t>
                        </w:r>
                        <w:r w:rsidRPr="00BC0F65">
                          <w:rPr>
                            <w:rFonts w:hAnsi="Arial" w:cs="Arial" w:hint="eastAsia"/>
                            <w:kern w:val="0"/>
                            <w:sz w:val="28"/>
                            <w:szCs w:val="28"/>
                          </w:rPr>
                          <w:t>），是指政府直接付费购买公共产品和服务，主要包括可用性付费（</w:t>
                        </w:r>
                        <w:r w:rsidRPr="00BC0F65">
                          <w:rPr>
                            <w:rFonts w:hAnsi="Arial" w:cs="Arial" w:hint="eastAsia"/>
                            <w:kern w:val="0"/>
                            <w:sz w:val="28"/>
                            <w:szCs w:val="28"/>
                          </w:rPr>
                          <w:t>Availability Payment</w:t>
                        </w:r>
                        <w:r w:rsidRPr="00BC0F65">
                          <w:rPr>
                            <w:rFonts w:hAnsi="Arial" w:cs="Arial" w:hint="eastAsia"/>
                            <w:kern w:val="0"/>
                            <w:sz w:val="28"/>
                            <w:szCs w:val="28"/>
                          </w:rPr>
                          <w:t>）、使用量付费（</w:t>
                        </w:r>
                        <w:r w:rsidRPr="00BC0F65">
                          <w:rPr>
                            <w:rFonts w:hAnsi="Arial" w:cs="Arial" w:hint="eastAsia"/>
                            <w:kern w:val="0"/>
                            <w:sz w:val="28"/>
                            <w:szCs w:val="28"/>
                          </w:rPr>
                          <w:t>Usage Payment</w:t>
                        </w:r>
                        <w:r w:rsidRPr="00BC0F65">
                          <w:rPr>
                            <w:rFonts w:hAnsi="Arial" w:cs="Arial" w:hint="eastAsia"/>
                            <w:kern w:val="0"/>
                            <w:sz w:val="28"/>
                            <w:szCs w:val="28"/>
                          </w:rPr>
                          <w:t>）和绩效付费（</w:t>
                        </w:r>
                        <w:r w:rsidRPr="00BC0F65">
                          <w:rPr>
                            <w:rFonts w:hAnsi="Arial" w:cs="Arial" w:hint="eastAsia"/>
                            <w:kern w:val="0"/>
                            <w:sz w:val="28"/>
                            <w:szCs w:val="28"/>
                          </w:rPr>
                          <w:t>Performance Payment</w:t>
                        </w:r>
                        <w:r w:rsidRPr="00BC0F65">
                          <w:rPr>
                            <w:rFonts w:hAnsi="Arial" w:cs="Arial" w:hint="eastAsia"/>
                            <w:kern w:val="0"/>
                            <w:sz w:val="28"/>
                            <w:szCs w:val="28"/>
                          </w:rPr>
                          <w:t>）。</w:t>
                        </w:r>
                      </w:p>
                      <w:p w:rsidR="00CC2DF7" w:rsidRPr="00BC0F65" w:rsidRDefault="00F768B1">
                        <w:pPr>
                          <w:widowControl/>
                          <w:rPr>
                            <w:rFonts w:hAnsi="Arial" w:cs="Arial"/>
                            <w:kern w:val="0"/>
                            <w:sz w:val="28"/>
                            <w:szCs w:val="28"/>
                          </w:rPr>
                        </w:pPr>
                        <w:r w:rsidRPr="00BC0F65">
                          <w:rPr>
                            <w:rFonts w:hAnsi="Arial" w:cs="Arial" w:hint="eastAsia"/>
                            <w:kern w:val="0"/>
                            <w:sz w:val="28"/>
                            <w:szCs w:val="28"/>
                          </w:rPr>
                          <w:lastRenderedPageBreak/>
                          <w:t xml:space="preserve">　　政府付费的依据主要是设施可用性、产品和服务使用量和质量等要素。</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8.</w:t>
                        </w:r>
                        <w:r w:rsidRPr="00BC0F65">
                          <w:rPr>
                            <w:rFonts w:hAnsi="Arial" w:cs="Arial" w:hint="eastAsia"/>
                            <w:kern w:val="0"/>
                            <w:sz w:val="28"/>
                            <w:szCs w:val="28"/>
                          </w:rPr>
                          <w:t>委托运营（</w:t>
                        </w:r>
                        <w:r w:rsidRPr="00BC0F65">
                          <w:rPr>
                            <w:rFonts w:hAnsi="Arial" w:cs="Arial" w:hint="eastAsia"/>
                            <w:kern w:val="0"/>
                            <w:sz w:val="28"/>
                            <w:szCs w:val="28"/>
                          </w:rPr>
                          <w:t>Operations &amp; Maintenance</w:t>
                        </w:r>
                        <w:r w:rsidRPr="00BC0F65">
                          <w:rPr>
                            <w:rFonts w:hAnsi="Arial" w:cs="Arial" w:hint="eastAsia"/>
                            <w:kern w:val="0"/>
                            <w:sz w:val="28"/>
                            <w:szCs w:val="28"/>
                          </w:rPr>
                          <w:t>，</w:t>
                        </w:r>
                        <w:r w:rsidRPr="00BC0F65">
                          <w:rPr>
                            <w:rFonts w:hAnsi="Arial" w:cs="Arial" w:hint="eastAsia"/>
                            <w:kern w:val="0"/>
                            <w:sz w:val="28"/>
                            <w:szCs w:val="28"/>
                          </w:rPr>
                          <w:t>O&amp;M</w:t>
                        </w:r>
                        <w:r w:rsidRPr="00BC0F65">
                          <w:rPr>
                            <w:rFonts w:hAnsi="Arial" w:cs="Arial" w:hint="eastAsia"/>
                            <w:kern w:val="0"/>
                            <w:sz w:val="28"/>
                            <w:szCs w:val="28"/>
                          </w:rPr>
                          <w:t>）</w:t>
                        </w:r>
                        <w:r w:rsidRPr="00BC0F65">
                          <w:rPr>
                            <w:rFonts w:hAnsi="Arial" w:cs="Arial" w:hint="eastAsia"/>
                            <w:kern w:val="0"/>
                            <w:sz w:val="28"/>
                            <w:szCs w:val="28"/>
                          </w:rPr>
                          <w:t>,</w:t>
                        </w:r>
                        <w:r w:rsidRPr="00BC0F65">
                          <w:rPr>
                            <w:rFonts w:hAnsi="Arial" w:cs="Arial" w:hint="eastAsia"/>
                            <w:kern w:val="0"/>
                            <w:sz w:val="28"/>
                            <w:szCs w:val="28"/>
                          </w:rPr>
                          <w:t>是指政府将存量公共资产的运营维护职责委托给社会资本或项目公司，社会资本或项目公司不负责用户服务的政府和社会资本合作项目运作方式。政府保留资产所有权，只向</w:t>
                        </w:r>
                        <w:r w:rsidRPr="00BC0F65">
                          <w:rPr>
                            <w:rFonts w:hAnsi="Arial" w:cs="Arial" w:hint="eastAsia"/>
                            <w:kern w:val="0"/>
                            <w:sz w:val="28"/>
                            <w:szCs w:val="28"/>
                          </w:rPr>
                          <w:t>社会资本或项目公司支付委托运营费。合同期限一般不超过</w:t>
                        </w:r>
                        <w:r w:rsidRPr="00BC0F65">
                          <w:rPr>
                            <w:rFonts w:hAnsi="Arial" w:cs="Arial" w:hint="eastAsia"/>
                            <w:kern w:val="0"/>
                            <w:sz w:val="28"/>
                            <w:szCs w:val="28"/>
                          </w:rPr>
                          <w:t>8</w:t>
                        </w:r>
                        <w:r w:rsidRPr="00BC0F65">
                          <w:rPr>
                            <w:rFonts w:hAnsi="Arial" w:cs="Arial" w:hint="eastAsia"/>
                            <w:kern w:val="0"/>
                            <w:sz w:val="28"/>
                            <w:szCs w:val="28"/>
                          </w:rPr>
                          <w:t>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9.</w:t>
                        </w:r>
                        <w:r w:rsidRPr="00BC0F65">
                          <w:rPr>
                            <w:rFonts w:hAnsi="Arial" w:cs="Arial" w:hint="eastAsia"/>
                            <w:kern w:val="0"/>
                            <w:sz w:val="28"/>
                            <w:szCs w:val="28"/>
                          </w:rPr>
                          <w:t>管理合同（</w:t>
                        </w:r>
                        <w:r w:rsidRPr="00BC0F65">
                          <w:rPr>
                            <w:rFonts w:hAnsi="Arial" w:cs="Arial" w:hint="eastAsia"/>
                            <w:kern w:val="0"/>
                            <w:sz w:val="28"/>
                            <w:szCs w:val="28"/>
                          </w:rPr>
                          <w:t>Management Contract</w:t>
                        </w:r>
                        <w:r w:rsidRPr="00BC0F65">
                          <w:rPr>
                            <w:rFonts w:hAnsi="Arial" w:cs="Arial" w:hint="eastAsia"/>
                            <w:kern w:val="0"/>
                            <w:sz w:val="28"/>
                            <w:szCs w:val="28"/>
                          </w:rPr>
                          <w:t>，</w:t>
                        </w:r>
                        <w:r w:rsidRPr="00BC0F65">
                          <w:rPr>
                            <w:rFonts w:hAnsi="Arial" w:cs="Arial" w:hint="eastAsia"/>
                            <w:kern w:val="0"/>
                            <w:sz w:val="28"/>
                            <w:szCs w:val="28"/>
                          </w:rPr>
                          <w:t>MC</w:t>
                        </w:r>
                        <w:r w:rsidRPr="00BC0F65">
                          <w:rPr>
                            <w:rFonts w:hAnsi="Arial" w:cs="Arial" w:hint="eastAsia"/>
                            <w:kern w:val="0"/>
                            <w:sz w:val="28"/>
                            <w:szCs w:val="28"/>
                          </w:rPr>
                          <w:t>），是指政府将存量公共资产的运营、维护及用户服务职责授权给社会资本或项目公司的项目运作方式。政府保留资产所有权，只向社会资本或项目公司支付管理费。管理合同通常作为转让</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移交的过渡方式，合同期限一般不超过</w:t>
                        </w:r>
                        <w:r w:rsidRPr="00BC0F65">
                          <w:rPr>
                            <w:rFonts w:hAnsi="Arial" w:cs="Arial" w:hint="eastAsia"/>
                            <w:kern w:val="0"/>
                            <w:sz w:val="28"/>
                            <w:szCs w:val="28"/>
                          </w:rPr>
                          <w:t>3</w:t>
                        </w:r>
                        <w:r w:rsidRPr="00BC0F65">
                          <w:rPr>
                            <w:rFonts w:hAnsi="Arial" w:cs="Arial" w:hint="eastAsia"/>
                            <w:kern w:val="0"/>
                            <w:sz w:val="28"/>
                            <w:szCs w:val="28"/>
                          </w:rPr>
                          <w:t>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10.</w:t>
                        </w:r>
                        <w:r w:rsidRPr="00BC0F65">
                          <w:rPr>
                            <w:rFonts w:hAnsi="Arial" w:cs="Arial" w:hint="eastAsia"/>
                            <w:kern w:val="0"/>
                            <w:sz w:val="28"/>
                            <w:szCs w:val="28"/>
                          </w:rPr>
                          <w:t>建设</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w:t>
                        </w:r>
                        <w:r w:rsidRPr="00BC0F65">
                          <w:rPr>
                            <w:rFonts w:hAnsi="Arial" w:cs="Arial" w:hint="eastAsia"/>
                            <w:kern w:val="0"/>
                            <w:sz w:val="28"/>
                            <w:szCs w:val="28"/>
                          </w:rPr>
                          <w:t>Build-Operate-Transfer</w:t>
                        </w:r>
                        <w:r w:rsidRPr="00BC0F65">
                          <w:rPr>
                            <w:rFonts w:hAnsi="Arial" w:cs="Arial" w:hint="eastAsia"/>
                            <w:kern w:val="0"/>
                            <w:sz w:val="28"/>
                            <w:szCs w:val="28"/>
                          </w:rPr>
                          <w:t>，</w:t>
                        </w:r>
                        <w:r w:rsidRPr="00BC0F65">
                          <w:rPr>
                            <w:rFonts w:hAnsi="Arial" w:cs="Arial" w:hint="eastAsia"/>
                            <w:kern w:val="0"/>
                            <w:sz w:val="28"/>
                            <w:szCs w:val="28"/>
                          </w:rPr>
                          <w:t>BOT</w:t>
                        </w:r>
                        <w:r w:rsidRPr="00BC0F65">
                          <w:rPr>
                            <w:rFonts w:hAnsi="Arial" w:cs="Arial" w:hint="eastAsia"/>
                            <w:kern w:val="0"/>
                            <w:sz w:val="28"/>
                            <w:szCs w:val="28"/>
                          </w:rPr>
                          <w:t>）</w:t>
                        </w:r>
                        <w:r w:rsidRPr="00BC0F65">
                          <w:rPr>
                            <w:rFonts w:hAnsi="Arial" w:cs="Arial" w:hint="eastAsia"/>
                            <w:kern w:val="0"/>
                            <w:sz w:val="28"/>
                            <w:szCs w:val="28"/>
                          </w:rPr>
                          <w:t>,</w:t>
                        </w:r>
                        <w:r w:rsidRPr="00BC0F65">
                          <w:rPr>
                            <w:rFonts w:hAnsi="Arial" w:cs="Arial" w:hint="eastAsia"/>
                            <w:kern w:val="0"/>
                            <w:sz w:val="28"/>
                            <w:szCs w:val="28"/>
                          </w:rPr>
                          <w:t>是指由社会资本或项目公司承担新建项目设计、融资、建造、运营、维护和用户服务职责，合同期满后</w:t>
                        </w:r>
                        <w:r w:rsidRPr="00BC0F65">
                          <w:rPr>
                            <w:rFonts w:hAnsi="Arial" w:cs="Arial" w:hint="eastAsia"/>
                            <w:kern w:val="0"/>
                            <w:sz w:val="28"/>
                            <w:szCs w:val="28"/>
                          </w:rPr>
                          <w:t>项目资产及相关权利等移交给政府的项目运作方式。合同期限一般为</w:t>
                        </w:r>
                        <w:r w:rsidRPr="00BC0F65">
                          <w:rPr>
                            <w:rFonts w:hAnsi="Arial" w:cs="Arial" w:hint="eastAsia"/>
                            <w:kern w:val="0"/>
                            <w:sz w:val="28"/>
                            <w:szCs w:val="28"/>
                          </w:rPr>
                          <w:t>20-30</w:t>
                        </w:r>
                        <w:r w:rsidRPr="00BC0F65">
                          <w:rPr>
                            <w:rFonts w:hAnsi="Arial" w:cs="Arial" w:hint="eastAsia"/>
                            <w:kern w:val="0"/>
                            <w:sz w:val="28"/>
                            <w:szCs w:val="28"/>
                          </w:rPr>
                          <w:t>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11.</w:t>
                        </w:r>
                        <w:r w:rsidRPr="00BC0F65">
                          <w:rPr>
                            <w:rFonts w:ascii="Arial" w:hAnsi="Arial" w:cs="Arial" w:hint="eastAsia"/>
                            <w:kern w:val="0"/>
                            <w:sz w:val="28"/>
                            <w:szCs w:val="28"/>
                          </w:rPr>
                          <w:t> </w:t>
                        </w:r>
                        <w:r w:rsidRPr="00BC0F65">
                          <w:rPr>
                            <w:rFonts w:hAnsi="Arial" w:cs="Arial" w:hint="eastAsia"/>
                            <w:kern w:val="0"/>
                            <w:sz w:val="28"/>
                            <w:szCs w:val="28"/>
                          </w:rPr>
                          <w:t>建设</w:t>
                        </w:r>
                        <w:r w:rsidRPr="00BC0F65">
                          <w:rPr>
                            <w:rFonts w:hAnsi="Arial" w:cs="Arial" w:hint="eastAsia"/>
                            <w:kern w:val="0"/>
                            <w:sz w:val="28"/>
                            <w:szCs w:val="28"/>
                          </w:rPr>
                          <w:t>-</w:t>
                        </w:r>
                        <w:r w:rsidRPr="00BC0F65">
                          <w:rPr>
                            <w:rFonts w:hAnsi="Arial" w:cs="Arial" w:hint="eastAsia"/>
                            <w:kern w:val="0"/>
                            <w:sz w:val="28"/>
                            <w:szCs w:val="28"/>
                          </w:rPr>
                          <w:t>拥有</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Build-Own-Operate</w:t>
                        </w:r>
                        <w:r w:rsidRPr="00BC0F65">
                          <w:rPr>
                            <w:rFonts w:hAnsi="Arial" w:cs="Arial" w:hint="eastAsia"/>
                            <w:kern w:val="0"/>
                            <w:sz w:val="28"/>
                            <w:szCs w:val="28"/>
                          </w:rPr>
                          <w:t>，</w:t>
                        </w:r>
                        <w:r w:rsidRPr="00BC0F65">
                          <w:rPr>
                            <w:rFonts w:hAnsi="Arial" w:cs="Arial" w:hint="eastAsia"/>
                            <w:kern w:val="0"/>
                            <w:sz w:val="28"/>
                            <w:szCs w:val="28"/>
                          </w:rPr>
                          <w:t>BOO</w:t>
                        </w:r>
                        <w:r w:rsidRPr="00BC0F65">
                          <w:rPr>
                            <w:rFonts w:hAnsi="Arial" w:cs="Arial" w:hint="eastAsia"/>
                            <w:kern w:val="0"/>
                            <w:sz w:val="28"/>
                            <w:szCs w:val="28"/>
                          </w:rPr>
                          <w:t>），由</w:t>
                        </w:r>
                        <w:r w:rsidRPr="00BC0F65">
                          <w:rPr>
                            <w:rFonts w:hAnsi="Arial" w:cs="Arial" w:hint="eastAsia"/>
                            <w:kern w:val="0"/>
                            <w:sz w:val="28"/>
                            <w:szCs w:val="28"/>
                          </w:rPr>
                          <w:t>BOT</w:t>
                        </w:r>
                        <w:r w:rsidRPr="00BC0F65">
                          <w:rPr>
                            <w:rFonts w:hAnsi="Arial" w:cs="Arial" w:hint="eastAsia"/>
                            <w:kern w:val="0"/>
                            <w:sz w:val="28"/>
                            <w:szCs w:val="28"/>
                          </w:rPr>
                          <w:t>方式演变而来，二者区别主要是</w:t>
                        </w:r>
                        <w:r w:rsidRPr="00BC0F65">
                          <w:rPr>
                            <w:rFonts w:hAnsi="Arial" w:cs="Arial" w:hint="eastAsia"/>
                            <w:kern w:val="0"/>
                            <w:sz w:val="28"/>
                            <w:szCs w:val="28"/>
                          </w:rPr>
                          <w:t>BOO</w:t>
                        </w:r>
                        <w:r w:rsidRPr="00BC0F65">
                          <w:rPr>
                            <w:rFonts w:hAnsi="Arial" w:cs="Arial" w:hint="eastAsia"/>
                            <w:kern w:val="0"/>
                            <w:sz w:val="28"/>
                            <w:szCs w:val="28"/>
                          </w:rPr>
                          <w:t>方式下社会资本或项目公司拥有项目所有权，但必须在合同中注明保证公益性的约束条款，一般不涉及项目期满移交。</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12.</w:t>
                        </w:r>
                        <w:r w:rsidRPr="00BC0F65">
                          <w:rPr>
                            <w:rFonts w:hAnsi="Arial" w:cs="Arial" w:hint="eastAsia"/>
                            <w:kern w:val="0"/>
                            <w:sz w:val="28"/>
                            <w:szCs w:val="28"/>
                          </w:rPr>
                          <w:t>转让</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w:t>
                        </w:r>
                        <w:r w:rsidRPr="00BC0F65">
                          <w:rPr>
                            <w:rFonts w:hAnsi="Arial" w:cs="Arial" w:hint="eastAsia"/>
                            <w:kern w:val="0"/>
                            <w:sz w:val="28"/>
                            <w:szCs w:val="28"/>
                          </w:rPr>
                          <w:t>Transfer-Operate-Transfer</w:t>
                        </w:r>
                        <w:r w:rsidRPr="00BC0F65">
                          <w:rPr>
                            <w:rFonts w:hAnsi="Arial" w:cs="Arial" w:hint="eastAsia"/>
                            <w:kern w:val="0"/>
                            <w:sz w:val="28"/>
                            <w:szCs w:val="28"/>
                          </w:rPr>
                          <w:t>，</w:t>
                        </w:r>
                        <w:r w:rsidRPr="00BC0F65">
                          <w:rPr>
                            <w:rFonts w:hAnsi="Arial" w:cs="Arial" w:hint="eastAsia"/>
                            <w:kern w:val="0"/>
                            <w:sz w:val="28"/>
                            <w:szCs w:val="28"/>
                          </w:rPr>
                          <w:t>TOT</w:t>
                        </w:r>
                        <w:r w:rsidRPr="00BC0F65">
                          <w:rPr>
                            <w:rFonts w:hAnsi="Arial" w:cs="Arial" w:hint="eastAsia"/>
                            <w:kern w:val="0"/>
                            <w:sz w:val="28"/>
                            <w:szCs w:val="28"/>
                          </w:rPr>
                          <w:t>），是指政府将存量资产所有权有偿转让给社会资本或项目公司，并由其负</w:t>
                        </w:r>
                        <w:r w:rsidRPr="00BC0F65">
                          <w:rPr>
                            <w:rFonts w:hAnsi="Arial" w:cs="Arial" w:hint="eastAsia"/>
                            <w:kern w:val="0"/>
                            <w:sz w:val="28"/>
                            <w:szCs w:val="28"/>
                          </w:rPr>
                          <w:lastRenderedPageBreak/>
                          <w:t>责运营、维护和用户服务，合同期满后资产及其所有权等移交给政府</w:t>
                        </w:r>
                        <w:r w:rsidRPr="00BC0F65">
                          <w:rPr>
                            <w:rFonts w:hAnsi="Arial" w:cs="Arial" w:hint="eastAsia"/>
                            <w:kern w:val="0"/>
                            <w:sz w:val="28"/>
                            <w:szCs w:val="28"/>
                          </w:rPr>
                          <w:t>的项目运作方式。合同期限一般为</w:t>
                        </w:r>
                        <w:r w:rsidRPr="00BC0F65">
                          <w:rPr>
                            <w:rFonts w:hAnsi="Arial" w:cs="Arial" w:hint="eastAsia"/>
                            <w:kern w:val="0"/>
                            <w:sz w:val="28"/>
                            <w:szCs w:val="28"/>
                          </w:rPr>
                          <w:t>20-30</w:t>
                        </w:r>
                        <w:r w:rsidRPr="00BC0F65">
                          <w:rPr>
                            <w:rFonts w:hAnsi="Arial" w:cs="Arial" w:hint="eastAsia"/>
                            <w:kern w:val="0"/>
                            <w:sz w:val="28"/>
                            <w:szCs w:val="28"/>
                          </w:rPr>
                          <w:t>年。</w:t>
                        </w:r>
                      </w:p>
                      <w:p w:rsidR="00CC2DF7" w:rsidRPr="00BC0F65" w:rsidRDefault="00F768B1">
                        <w:pPr>
                          <w:widowControl/>
                          <w:jc w:val="left"/>
                          <w:rPr>
                            <w:rFonts w:hAnsi="Arial" w:cs="Arial"/>
                            <w:kern w:val="0"/>
                            <w:sz w:val="28"/>
                            <w:szCs w:val="28"/>
                          </w:rPr>
                        </w:pPr>
                        <w:r w:rsidRPr="00BC0F65">
                          <w:rPr>
                            <w:rFonts w:hAnsi="Arial" w:cs="Arial" w:hint="eastAsia"/>
                            <w:kern w:val="0"/>
                            <w:sz w:val="28"/>
                            <w:szCs w:val="28"/>
                          </w:rPr>
                          <w:t xml:space="preserve">　　</w:t>
                        </w:r>
                        <w:r w:rsidRPr="00BC0F65">
                          <w:rPr>
                            <w:rFonts w:hAnsi="Arial" w:cs="Arial" w:hint="eastAsia"/>
                            <w:kern w:val="0"/>
                            <w:sz w:val="28"/>
                            <w:szCs w:val="28"/>
                          </w:rPr>
                          <w:t>13.</w:t>
                        </w:r>
                        <w:r w:rsidRPr="00BC0F65">
                          <w:rPr>
                            <w:rFonts w:hAnsi="Arial" w:cs="Arial" w:hint="eastAsia"/>
                            <w:kern w:val="0"/>
                            <w:sz w:val="28"/>
                            <w:szCs w:val="28"/>
                          </w:rPr>
                          <w:t>改建</w:t>
                        </w:r>
                        <w:r w:rsidRPr="00BC0F65">
                          <w:rPr>
                            <w:rFonts w:hAnsi="Arial" w:cs="Arial" w:hint="eastAsia"/>
                            <w:kern w:val="0"/>
                            <w:sz w:val="28"/>
                            <w:szCs w:val="28"/>
                          </w:rPr>
                          <w:t>-</w:t>
                        </w:r>
                        <w:r w:rsidRPr="00BC0F65">
                          <w:rPr>
                            <w:rFonts w:hAnsi="Arial" w:cs="Arial" w:hint="eastAsia"/>
                            <w:kern w:val="0"/>
                            <w:sz w:val="28"/>
                            <w:szCs w:val="28"/>
                          </w:rPr>
                          <w:t>运营</w:t>
                        </w:r>
                        <w:r w:rsidRPr="00BC0F65">
                          <w:rPr>
                            <w:rFonts w:hAnsi="Arial" w:cs="Arial" w:hint="eastAsia"/>
                            <w:kern w:val="0"/>
                            <w:sz w:val="28"/>
                            <w:szCs w:val="28"/>
                          </w:rPr>
                          <w:t>-</w:t>
                        </w:r>
                        <w:r w:rsidRPr="00BC0F65">
                          <w:rPr>
                            <w:rFonts w:hAnsi="Arial" w:cs="Arial" w:hint="eastAsia"/>
                            <w:kern w:val="0"/>
                            <w:sz w:val="28"/>
                            <w:szCs w:val="28"/>
                          </w:rPr>
                          <w:t>移交（</w:t>
                        </w:r>
                        <w:r w:rsidRPr="00BC0F65">
                          <w:rPr>
                            <w:rFonts w:hAnsi="Arial" w:cs="Arial" w:hint="eastAsia"/>
                            <w:kern w:val="0"/>
                            <w:sz w:val="28"/>
                            <w:szCs w:val="28"/>
                          </w:rPr>
                          <w:t>Rehabilitate-Operate-Transfer</w:t>
                        </w:r>
                        <w:r w:rsidRPr="00BC0F65">
                          <w:rPr>
                            <w:rFonts w:hAnsi="Arial" w:cs="Arial" w:hint="eastAsia"/>
                            <w:kern w:val="0"/>
                            <w:sz w:val="28"/>
                            <w:szCs w:val="28"/>
                          </w:rPr>
                          <w:t>，</w:t>
                        </w:r>
                        <w:r w:rsidRPr="00BC0F65">
                          <w:rPr>
                            <w:rFonts w:hAnsi="Arial" w:cs="Arial" w:hint="eastAsia"/>
                            <w:kern w:val="0"/>
                            <w:sz w:val="28"/>
                            <w:szCs w:val="28"/>
                          </w:rPr>
                          <w:t>ROT</w:t>
                        </w:r>
                        <w:r w:rsidRPr="00BC0F65">
                          <w:rPr>
                            <w:rFonts w:hAnsi="Arial" w:cs="Arial" w:hint="eastAsia"/>
                            <w:kern w:val="0"/>
                            <w:sz w:val="28"/>
                            <w:szCs w:val="28"/>
                          </w:rPr>
                          <w:t>），是指政府在</w:t>
                        </w:r>
                        <w:r w:rsidRPr="00BC0F65">
                          <w:rPr>
                            <w:rFonts w:hAnsi="Arial" w:cs="Arial" w:hint="eastAsia"/>
                            <w:kern w:val="0"/>
                            <w:sz w:val="28"/>
                            <w:szCs w:val="28"/>
                          </w:rPr>
                          <w:t>TOT</w:t>
                        </w:r>
                        <w:r w:rsidRPr="00BC0F65">
                          <w:rPr>
                            <w:rFonts w:hAnsi="Arial" w:cs="Arial" w:hint="eastAsia"/>
                            <w:kern w:val="0"/>
                            <w:sz w:val="28"/>
                            <w:szCs w:val="28"/>
                          </w:rPr>
                          <w:t>模式的基础上，增加改扩建内容的项目运作方式。合同期限一般为</w:t>
                        </w:r>
                        <w:r w:rsidRPr="00BC0F65">
                          <w:rPr>
                            <w:rFonts w:hAnsi="Arial" w:cs="Arial" w:hint="eastAsia"/>
                            <w:kern w:val="0"/>
                            <w:sz w:val="28"/>
                            <w:szCs w:val="28"/>
                          </w:rPr>
                          <w:t>20-30</w:t>
                        </w:r>
                        <w:r w:rsidRPr="00BC0F65">
                          <w:rPr>
                            <w:rFonts w:hAnsi="Arial" w:cs="Arial" w:hint="eastAsia"/>
                            <w:kern w:val="0"/>
                            <w:sz w:val="28"/>
                            <w:szCs w:val="28"/>
                          </w:rPr>
                          <w:t>年。</w:t>
                        </w:r>
                      </w:p>
                    </w:tc>
                  </w:tr>
                </w:tbl>
                <w:p w:rsidR="00CC2DF7" w:rsidRDefault="00CC2DF7">
                  <w:pPr>
                    <w:widowControl/>
                    <w:jc w:val="center"/>
                    <w:rPr>
                      <w:rFonts w:hAnsi="Arial" w:cs="Arial"/>
                      <w:kern w:val="0"/>
                      <w:sz w:val="28"/>
                      <w:szCs w:val="28"/>
                    </w:rPr>
                  </w:pPr>
                </w:p>
              </w:tc>
            </w:tr>
          </w:tbl>
          <w:p w:rsidR="00CC2DF7" w:rsidRDefault="00CC2DF7">
            <w:pPr>
              <w:widowControl/>
              <w:jc w:val="left"/>
              <w:rPr>
                <w:rFonts w:hAnsi="Arial" w:cs="Arial"/>
                <w:kern w:val="0"/>
                <w:sz w:val="28"/>
                <w:szCs w:val="28"/>
              </w:rPr>
            </w:pPr>
          </w:p>
        </w:tc>
      </w:tr>
    </w:tbl>
    <w:p w:rsidR="00CC2DF7" w:rsidRDefault="00CC2DF7">
      <w:pPr>
        <w:rPr>
          <w:sz w:val="30"/>
          <w:szCs w:val="30"/>
        </w:rPr>
      </w:pPr>
    </w:p>
    <w:sectPr w:rsidR="00CC2DF7" w:rsidSect="00CC2D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8B1" w:rsidRDefault="00F768B1" w:rsidP="00BC0F65">
      <w:pPr>
        <w:spacing w:line="240" w:lineRule="auto"/>
      </w:pPr>
      <w:r>
        <w:separator/>
      </w:r>
    </w:p>
  </w:endnote>
  <w:endnote w:type="continuationSeparator" w:id="1">
    <w:p w:rsidR="00F768B1" w:rsidRDefault="00F768B1" w:rsidP="00BC0F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8B1" w:rsidRDefault="00F768B1" w:rsidP="00BC0F65">
      <w:pPr>
        <w:spacing w:line="240" w:lineRule="auto"/>
      </w:pPr>
      <w:r>
        <w:separator/>
      </w:r>
    </w:p>
  </w:footnote>
  <w:footnote w:type="continuationSeparator" w:id="1">
    <w:p w:rsidR="00F768B1" w:rsidRDefault="00F768B1" w:rsidP="00BC0F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2B99"/>
    <w:rsid w:val="000016ED"/>
    <w:rsid w:val="00003674"/>
    <w:rsid w:val="0000562D"/>
    <w:rsid w:val="00006EB9"/>
    <w:rsid w:val="00011C61"/>
    <w:rsid w:val="000149D9"/>
    <w:rsid w:val="000331CF"/>
    <w:rsid w:val="000374DA"/>
    <w:rsid w:val="0004029A"/>
    <w:rsid w:val="00046429"/>
    <w:rsid w:val="00056ABE"/>
    <w:rsid w:val="00064BEB"/>
    <w:rsid w:val="00081185"/>
    <w:rsid w:val="000818B9"/>
    <w:rsid w:val="00081CF3"/>
    <w:rsid w:val="000A640E"/>
    <w:rsid w:val="000A7490"/>
    <w:rsid w:val="000B3D97"/>
    <w:rsid w:val="000B6E07"/>
    <w:rsid w:val="000C56EA"/>
    <w:rsid w:val="000C7FE3"/>
    <w:rsid w:val="000D2A61"/>
    <w:rsid w:val="000E2B99"/>
    <w:rsid w:val="00103CC6"/>
    <w:rsid w:val="00104BF7"/>
    <w:rsid w:val="00106FB1"/>
    <w:rsid w:val="00111796"/>
    <w:rsid w:val="00112CE4"/>
    <w:rsid w:val="00125B51"/>
    <w:rsid w:val="00126119"/>
    <w:rsid w:val="0013290D"/>
    <w:rsid w:val="001349BD"/>
    <w:rsid w:val="00135FBE"/>
    <w:rsid w:val="00146A10"/>
    <w:rsid w:val="00166EF1"/>
    <w:rsid w:val="00172FE7"/>
    <w:rsid w:val="00176505"/>
    <w:rsid w:val="00181727"/>
    <w:rsid w:val="0018795D"/>
    <w:rsid w:val="0019796C"/>
    <w:rsid w:val="001A756B"/>
    <w:rsid w:val="001B2FE4"/>
    <w:rsid w:val="001D14E3"/>
    <w:rsid w:val="001F3938"/>
    <w:rsid w:val="001F52EA"/>
    <w:rsid w:val="00211409"/>
    <w:rsid w:val="00212919"/>
    <w:rsid w:val="00217BE2"/>
    <w:rsid w:val="002234E1"/>
    <w:rsid w:val="00223DA2"/>
    <w:rsid w:val="00234471"/>
    <w:rsid w:val="002474DB"/>
    <w:rsid w:val="0025047E"/>
    <w:rsid w:val="002654EC"/>
    <w:rsid w:val="00281F92"/>
    <w:rsid w:val="002878F2"/>
    <w:rsid w:val="002919CE"/>
    <w:rsid w:val="002923C1"/>
    <w:rsid w:val="0029264F"/>
    <w:rsid w:val="002B3CC4"/>
    <w:rsid w:val="002B5030"/>
    <w:rsid w:val="002C7D54"/>
    <w:rsid w:val="002F61BE"/>
    <w:rsid w:val="00302B13"/>
    <w:rsid w:val="00315BC3"/>
    <w:rsid w:val="003211C9"/>
    <w:rsid w:val="0033093F"/>
    <w:rsid w:val="0033586D"/>
    <w:rsid w:val="00337E3B"/>
    <w:rsid w:val="003627EB"/>
    <w:rsid w:val="00363736"/>
    <w:rsid w:val="00365D10"/>
    <w:rsid w:val="0037158D"/>
    <w:rsid w:val="00374437"/>
    <w:rsid w:val="003867DB"/>
    <w:rsid w:val="00392810"/>
    <w:rsid w:val="00394C2B"/>
    <w:rsid w:val="003A235C"/>
    <w:rsid w:val="003B4C6C"/>
    <w:rsid w:val="003C4015"/>
    <w:rsid w:val="003D37B4"/>
    <w:rsid w:val="003D7C5D"/>
    <w:rsid w:val="003F1A33"/>
    <w:rsid w:val="00410C3E"/>
    <w:rsid w:val="004337E6"/>
    <w:rsid w:val="00440D74"/>
    <w:rsid w:val="00447FF0"/>
    <w:rsid w:val="004663D1"/>
    <w:rsid w:val="00471C35"/>
    <w:rsid w:val="004730DE"/>
    <w:rsid w:val="00475A09"/>
    <w:rsid w:val="00482FA0"/>
    <w:rsid w:val="00484F53"/>
    <w:rsid w:val="00491277"/>
    <w:rsid w:val="0049133A"/>
    <w:rsid w:val="004A5CCF"/>
    <w:rsid w:val="004A7ABB"/>
    <w:rsid w:val="004B3D3A"/>
    <w:rsid w:val="004C2FDE"/>
    <w:rsid w:val="004D08D7"/>
    <w:rsid w:val="004D7428"/>
    <w:rsid w:val="004F0076"/>
    <w:rsid w:val="004F57D5"/>
    <w:rsid w:val="004F69C8"/>
    <w:rsid w:val="005254DE"/>
    <w:rsid w:val="00526E09"/>
    <w:rsid w:val="00535222"/>
    <w:rsid w:val="005370F8"/>
    <w:rsid w:val="00547B2F"/>
    <w:rsid w:val="005525FF"/>
    <w:rsid w:val="005658F9"/>
    <w:rsid w:val="0056610E"/>
    <w:rsid w:val="00574ABF"/>
    <w:rsid w:val="005827B4"/>
    <w:rsid w:val="005862EC"/>
    <w:rsid w:val="00596169"/>
    <w:rsid w:val="005B09C3"/>
    <w:rsid w:val="005B3951"/>
    <w:rsid w:val="005B42DD"/>
    <w:rsid w:val="005C56B3"/>
    <w:rsid w:val="00600DA0"/>
    <w:rsid w:val="00615E05"/>
    <w:rsid w:val="00616C29"/>
    <w:rsid w:val="00622E38"/>
    <w:rsid w:val="00636A11"/>
    <w:rsid w:val="00646326"/>
    <w:rsid w:val="00663C7F"/>
    <w:rsid w:val="00667B30"/>
    <w:rsid w:val="006843C5"/>
    <w:rsid w:val="006856EA"/>
    <w:rsid w:val="006908D0"/>
    <w:rsid w:val="006A4469"/>
    <w:rsid w:val="006A6E39"/>
    <w:rsid w:val="006D0916"/>
    <w:rsid w:val="006D5698"/>
    <w:rsid w:val="006E1BAA"/>
    <w:rsid w:val="00704E9D"/>
    <w:rsid w:val="00704FA3"/>
    <w:rsid w:val="00731D8D"/>
    <w:rsid w:val="0073558E"/>
    <w:rsid w:val="00736ABB"/>
    <w:rsid w:val="00754784"/>
    <w:rsid w:val="00761BD4"/>
    <w:rsid w:val="00782C2C"/>
    <w:rsid w:val="00790540"/>
    <w:rsid w:val="00792BF4"/>
    <w:rsid w:val="007A7A32"/>
    <w:rsid w:val="007B0CD0"/>
    <w:rsid w:val="007B1220"/>
    <w:rsid w:val="007B4A05"/>
    <w:rsid w:val="007C2F23"/>
    <w:rsid w:val="007C3E07"/>
    <w:rsid w:val="007C52CB"/>
    <w:rsid w:val="007D78ED"/>
    <w:rsid w:val="007E0D73"/>
    <w:rsid w:val="007E406F"/>
    <w:rsid w:val="00810EFA"/>
    <w:rsid w:val="00835C89"/>
    <w:rsid w:val="0084737F"/>
    <w:rsid w:val="00860EB2"/>
    <w:rsid w:val="00870C11"/>
    <w:rsid w:val="0087311E"/>
    <w:rsid w:val="00875691"/>
    <w:rsid w:val="008961DC"/>
    <w:rsid w:val="008967DE"/>
    <w:rsid w:val="008A5C9D"/>
    <w:rsid w:val="008A7994"/>
    <w:rsid w:val="008B4922"/>
    <w:rsid w:val="008F40CE"/>
    <w:rsid w:val="00903434"/>
    <w:rsid w:val="0090501C"/>
    <w:rsid w:val="00906412"/>
    <w:rsid w:val="00907620"/>
    <w:rsid w:val="00911F56"/>
    <w:rsid w:val="00912E42"/>
    <w:rsid w:val="00914D25"/>
    <w:rsid w:val="00917A7C"/>
    <w:rsid w:val="00951F24"/>
    <w:rsid w:val="00954F3C"/>
    <w:rsid w:val="00960C42"/>
    <w:rsid w:val="00964270"/>
    <w:rsid w:val="0096607F"/>
    <w:rsid w:val="00970AA8"/>
    <w:rsid w:val="00975C4C"/>
    <w:rsid w:val="00985CDA"/>
    <w:rsid w:val="00993044"/>
    <w:rsid w:val="00993DA3"/>
    <w:rsid w:val="009A4A3E"/>
    <w:rsid w:val="009C18F1"/>
    <w:rsid w:val="009C4E84"/>
    <w:rsid w:val="009E0020"/>
    <w:rsid w:val="00A033E7"/>
    <w:rsid w:val="00A05E35"/>
    <w:rsid w:val="00A15CDF"/>
    <w:rsid w:val="00A21F36"/>
    <w:rsid w:val="00A34B2B"/>
    <w:rsid w:val="00A41FB2"/>
    <w:rsid w:val="00A54376"/>
    <w:rsid w:val="00A544FD"/>
    <w:rsid w:val="00A54B1B"/>
    <w:rsid w:val="00A563A0"/>
    <w:rsid w:val="00A65F70"/>
    <w:rsid w:val="00A71634"/>
    <w:rsid w:val="00A730E6"/>
    <w:rsid w:val="00A75620"/>
    <w:rsid w:val="00A824A0"/>
    <w:rsid w:val="00A82732"/>
    <w:rsid w:val="00A8503A"/>
    <w:rsid w:val="00A91610"/>
    <w:rsid w:val="00AA53A5"/>
    <w:rsid w:val="00AA692C"/>
    <w:rsid w:val="00AC3CD4"/>
    <w:rsid w:val="00AC6523"/>
    <w:rsid w:val="00AE275A"/>
    <w:rsid w:val="00AE45D2"/>
    <w:rsid w:val="00AE5623"/>
    <w:rsid w:val="00AE6C6C"/>
    <w:rsid w:val="00AF2D04"/>
    <w:rsid w:val="00B207E5"/>
    <w:rsid w:val="00B20F54"/>
    <w:rsid w:val="00B22156"/>
    <w:rsid w:val="00B379DF"/>
    <w:rsid w:val="00B45D92"/>
    <w:rsid w:val="00B45FD8"/>
    <w:rsid w:val="00B622F6"/>
    <w:rsid w:val="00B62E33"/>
    <w:rsid w:val="00B64F21"/>
    <w:rsid w:val="00B66F3A"/>
    <w:rsid w:val="00B67E53"/>
    <w:rsid w:val="00B74251"/>
    <w:rsid w:val="00B805CF"/>
    <w:rsid w:val="00B80881"/>
    <w:rsid w:val="00B82E12"/>
    <w:rsid w:val="00B90EAB"/>
    <w:rsid w:val="00B92765"/>
    <w:rsid w:val="00B9490D"/>
    <w:rsid w:val="00B9534B"/>
    <w:rsid w:val="00BA3AF7"/>
    <w:rsid w:val="00BB129C"/>
    <w:rsid w:val="00BB339C"/>
    <w:rsid w:val="00BB4D05"/>
    <w:rsid w:val="00BC0F65"/>
    <w:rsid w:val="00BC78F0"/>
    <w:rsid w:val="00BD35E9"/>
    <w:rsid w:val="00BD697F"/>
    <w:rsid w:val="00BE42EE"/>
    <w:rsid w:val="00BF6ED9"/>
    <w:rsid w:val="00BF7DDE"/>
    <w:rsid w:val="00C0452C"/>
    <w:rsid w:val="00C12044"/>
    <w:rsid w:val="00C120C4"/>
    <w:rsid w:val="00C33B01"/>
    <w:rsid w:val="00C446DF"/>
    <w:rsid w:val="00C62B5F"/>
    <w:rsid w:val="00C63E0F"/>
    <w:rsid w:val="00C74042"/>
    <w:rsid w:val="00C824DB"/>
    <w:rsid w:val="00C92315"/>
    <w:rsid w:val="00C95832"/>
    <w:rsid w:val="00C96E88"/>
    <w:rsid w:val="00C97890"/>
    <w:rsid w:val="00CB2F1B"/>
    <w:rsid w:val="00CB320F"/>
    <w:rsid w:val="00CB736F"/>
    <w:rsid w:val="00CC2DF7"/>
    <w:rsid w:val="00CC31E4"/>
    <w:rsid w:val="00CC521E"/>
    <w:rsid w:val="00CC5D0B"/>
    <w:rsid w:val="00CD00B4"/>
    <w:rsid w:val="00CD0F1D"/>
    <w:rsid w:val="00CE2D5D"/>
    <w:rsid w:val="00CF290C"/>
    <w:rsid w:val="00CF5148"/>
    <w:rsid w:val="00D07841"/>
    <w:rsid w:val="00D15AA3"/>
    <w:rsid w:val="00D361EF"/>
    <w:rsid w:val="00D4678E"/>
    <w:rsid w:val="00D5406D"/>
    <w:rsid w:val="00D55399"/>
    <w:rsid w:val="00D620A0"/>
    <w:rsid w:val="00D66471"/>
    <w:rsid w:val="00D66BF8"/>
    <w:rsid w:val="00D734B7"/>
    <w:rsid w:val="00D7652B"/>
    <w:rsid w:val="00D97A03"/>
    <w:rsid w:val="00DA4867"/>
    <w:rsid w:val="00DB18EB"/>
    <w:rsid w:val="00DD22AB"/>
    <w:rsid w:val="00DE4BE8"/>
    <w:rsid w:val="00DF3D58"/>
    <w:rsid w:val="00DF3E3C"/>
    <w:rsid w:val="00E00D6A"/>
    <w:rsid w:val="00E15338"/>
    <w:rsid w:val="00E25C2E"/>
    <w:rsid w:val="00E30128"/>
    <w:rsid w:val="00E326FC"/>
    <w:rsid w:val="00E32A7C"/>
    <w:rsid w:val="00E41940"/>
    <w:rsid w:val="00E43951"/>
    <w:rsid w:val="00E5582A"/>
    <w:rsid w:val="00E84CC2"/>
    <w:rsid w:val="00E94AF8"/>
    <w:rsid w:val="00E94BE7"/>
    <w:rsid w:val="00EA19C5"/>
    <w:rsid w:val="00EA4C86"/>
    <w:rsid w:val="00EB07B8"/>
    <w:rsid w:val="00EB15F6"/>
    <w:rsid w:val="00EB2829"/>
    <w:rsid w:val="00EB38A8"/>
    <w:rsid w:val="00EB5164"/>
    <w:rsid w:val="00EB51FD"/>
    <w:rsid w:val="00EC0B35"/>
    <w:rsid w:val="00EC6C10"/>
    <w:rsid w:val="00ED083D"/>
    <w:rsid w:val="00ED3C0B"/>
    <w:rsid w:val="00EE40B5"/>
    <w:rsid w:val="00F02961"/>
    <w:rsid w:val="00F06C96"/>
    <w:rsid w:val="00F07F98"/>
    <w:rsid w:val="00F1795A"/>
    <w:rsid w:val="00F24D3B"/>
    <w:rsid w:val="00F35800"/>
    <w:rsid w:val="00F4242C"/>
    <w:rsid w:val="00F42F7D"/>
    <w:rsid w:val="00F548BC"/>
    <w:rsid w:val="00F66CD4"/>
    <w:rsid w:val="00F768B1"/>
    <w:rsid w:val="00F769C0"/>
    <w:rsid w:val="00F821C0"/>
    <w:rsid w:val="00F87940"/>
    <w:rsid w:val="00F904A3"/>
    <w:rsid w:val="00F93AE7"/>
    <w:rsid w:val="00F95416"/>
    <w:rsid w:val="00FA1BF7"/>
    <w:rsid w:val="00FA4007"/>
    <w:rsid w:val="00FC04DF"/>
    <w:rsid w:val="00FC3E6C"/>
    <w:rsid w:val="00FD0462"/>
    <w:rsid w:val="00FE1DA6"/>
    <w:rsid w:val="01CE1518"/>
    <w:rsid w:val="2438587A"/>
    <w:rsid w:val="725C6C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_GB2312" w:cs="仿宋_GB231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F7"/>
    <w:pPr>
      <w:widowControl w:val="0"/>
      <w:spacing w:line="360" w:lineRule="auto"/>
      <w:jc w:val="both"/>
    </w:pPr>
    <w:rPr>
      <w:rFonts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C2DF7"/>
    <w:pPr>
      <w:spacing w:line="240" w:lineRule="auto"/>
    </w:pPr>
    <w:rPr>
      <w:sz w:val="18"/>
      <w:szCs w:val="18"/>
    </w:rPr>
  </w:style>
  <w:style w:type="paragraph" w:styleId="a4">
    <w:name w:val="footer"/>
    <w:basedOn w:val="a"/>
    <w:link w:val="Char0"/>
    <w:uiPriority w:val="99"/>
    <w:unhideWhenUsed/>
    <w:rsid w:val="00CC2DF7"/>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rsid w:val="00CC2DF7"/>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rsid w:val="00CC2DF7"/>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CC2DF7"/>
    <w:rPr>
      <w:b/>
      <w:bCs/>
    </w:rPr>
  </w:style>
  <w:style w:type="character" w:customStyle="1" w:styleId="Char">
    <w:name w:val="批注框文本 Char"/>
    <w:basedOn w:val="a0"/>
    <w:link w:val="a3"/>
    <w:uiPriority w:val="99"/>
    <w:semiHidden/>
    <w:rsid w:val="00CC2DF7"/>
    <w:rPr>
      <w:sz w:val="18"/>
      <w:szCs w:val="18"/>
    </w:rPr>
  </w:style>
  <w:style w:type="character" w:customStyle="1" w:styleId="Char1">
    <w:name w:val="页眉 Char"/>
    <w:basedOn w:val="a0"/>
    <w:link w:val="a5"/>
    <w:uiPriority w:val="99"/>
    <w:semiHidden/>
    <w:rsid w:val="00CC2DF7"/>
    <w:rPr>
      <w:sz w:val="18"/>
      <w:szCs w:val="18"/>
    </w:rPr>
  </w:style>
  <w:style w:type="character" w:customStyle="1" w:styleId="Char0">
    <w:name w:val="页脚 Char"/>
    <w:basedOn w:val="a0"/>
    <w:link w:val="a4"/>
    <w:uiPriority w:val="99"/>
    <w:semiHidden/>
    <w:rsid w:val="00CC2D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关于印发政府和社会资本合作模式操作指南（试行）的通知 </dc:title>
  <dc:creator>User</dc:creator>
  <cp:lastModifiedBy>lenovo</cp:lastModifiedBy>
  <cp:revision>1</cp:revision>
  <dcterms:created xsi:type="dcterms:W3CDTF">2014-12-04T08:53:00Z</dcterms:created>
  <dcterms:modified xsi:type="dcterms:W3CDTF">2017-12-04T02:35:00Z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